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EF55" w14:textId="265B838A" w:rsidR="00BA2953" w:rsidRDefault="00BA2953">
      <w:pPr>
        <w:rPr>
          <w:rFonts w:ascii="Times New Roman" w:hAnsi="Times New Roman" w:cs="Times New Roman"/>
          <w:b/>
          <w:sz w:val="24"/>
          <w:szCs w:val="24"/>
        </w:rPr>
      </w:pPr>
      <w:r>
        <w:rPr>
          <w:rFonts w:ascii="Times New Roman" w:hAnsi="Times New Roman" w:cs="Times New Roman"/>
          <w:b/>
          <w:sz w:val="24"/>
          <w:szCs w:val="24"/>
        </w:rPr>
        <w:t>Adam Whittaker, ‘</w:t>
      </w:r>
      <w:r w:rsidRPr="00BA2953">
        <w:rPr>
          <w:rFonts w:ascii="Times New Roman" w:hAnsi="Times New Roman" w:cs="Times New Roman"/>
          <w:b/>
          <w:sz w:val="24"/>
          <w:szCs w:val="24"/>
        </w:rPr>
        <w:t xml:space="preserve">Tinctoris and signa </w:t>
      </w:r>
      <w:r>
        <w:rPr>
          <w:rFonts w:ascii="Times New Roman" w:hAnsi="Times New Roman" w:cs="Times New Roman"/>
          <w:b/>
          <w:sz w:val="24"/>
          <w:szCs w:val="24"/>
        </w:rPr>
        <w:t>congruentiae: a new perspective’</w:t>
      </w:r>
      <w:bookmarkStart w:id="0" w:name="_GoBack"/>
      <w:bookmarkEnd w:id="0"/>
      <w:r>
        <w:rPr>
          <w:rFonts w:ascii="Times New Roman" w:hAnsi="Times New Roman" w:cs="Times New Roman"/>
          <w:b/>
          <w:sz w:val="24"/>
          <w:szCs w:val="24"/>
        </w:rPr>
        <w:t xml:space="preserve">, </w:t>
      </w:r>
      <w:r>
        <w:rPr>
          <w:rFonts w:ascii="Times New Roman" w:hAnsi="Times New Roman" w:cs="Times New Roman"/>
          <w:b/>
          <w:i/>
          <w:sz w:val="24"/>
          <w:szCs w:val="24"/>
        </w:rPr>
        <w:t>Early Music History</w:t>
      </w:r>
      <w:r>
        <w:rPr>
          <w:rFonts w:ascii="Times New Roman" w:hAnsi="Times New Roman" w:cs="Times New Roman"/>
          <w:b/>
          <w:sz w:val="24"/>
          <w:szCs w:val="24"/>
        </w:rPr>
        <w:t>,</w:t>
      </w:r>
      <w:r>
        <w:rPr>
          <w:rFonts w:ascii="Times New Roman" w:hAnsi="Times New Roman" w:cs="Times New Roman"/>
          <w:b/>
          <w:i/>
          <w:sz w:val="24"/>
          <w:szCs w:val="24"/>
        </w:rPr>
        <w:t xml:space="preserve"> </w:t>
      </w:r>
      <w:r>
        <w:rPr>
          <w:rFonts w:ascii="Times New Roman" w:hAnsi="Times New Roman" w:cs="Times New Roman"/>
          <w:b/>
          <w:sz w:val="24"/>
          <w:szCs w:val="24"/>
        </w:rPr>
        <w:t xml:space="preserve">Vol. 38 (2019) - </w:t>
      </w:r>
      <w:hyperlink r:id="rId8" w:history="1">
        <w:r w:rsidRPr="008B1DC8">
          <w:rPr>
            <w:rStyle w:val="Hyperlink"/>
            <w:rFonts w:ascii="Times New Roman" w:hAnsi="Times New Roman" w:cs="Times New Roman"/>
            <w:b/>
            <w:sz w:val="24"/>
            <w:szCs w:val="24"/>
          </w:rPr>
          <w:t>https://www.cambridge.org/core/journals/early-music-history</w:t>
        </w:r>
      </w:hyperlink>
      <w:r>
        <w:rPr>
          <w:rFonts w:ascii="Times New Roman" w:hAnsi="Times New Roman" w:cs="Times New Roman"/>
          <w:b/>
          <w:sz w:val="24"/>
          <w:szCs w:val="24"/>
        </w:rPr>
        <w:t xml:space="preserve"> </w:t>
      </w:r>
      <w:r>
        <w:rPr>
          <w:rFonts w:ascii="Times New Roman" w:hAnsi="Times New Roman" w:cs="Times New Roman"/>
          <w:b/>
          <w:sz w:val="24"/>
          <w:szCs w:val="24"/>
        </w:rPr>
        <w:br w:type="page"/>
      </w:r>
    </w:p>
    <w:p w14:paraId="526812C4" w14:textId="720BEC6C" w:rsidR="00997A8F" w:rsidRPr="002B630E" w:rsidRDefault="00D53D6D" w:rsidP="00B95FCD">
      <w:pPr>
        <w:spacing w:line="480" w:lineRule="auto"/>
        <w:jc w:val="center"/>
        <w:rPr>
          <w:rFonts w:ascii="Times New Roman" w:hAnsi="Times New Roman" w:cs="Times New Roman"/>
          <w:sz w:val="24"/>
          <w:szCs w:val="24"/>
        </w:rPr>
      </w:pPr>
      <w:r w:rsidRPr="002B630E">
        <w:rPr>
          <w:rFonts w:ascii="Times New Roman" w:hAnsi="Times New Roman" w:cs="Times New Roman"/>
          <w:b/>
          <w:sz w:val="24"/>
          <w:szCs w:val="24"/>
        </w:rPr>
        <w:lastRenderedPageBreak/>
        <w:t xml:space="preserve">Tinctoris and </w:t>
      </w:r>
      <w:r w:rsidRPr="002B630E">
        <w:rPr>
          <w:rFonts w:ascii="Times New Roman" w:hAnsi="Times New Roman" w:cs="Times New Roman"/>
          <w:b/>
          <w:i/>
          <w:sz w:val="24"/>
          <w:szCs w:val="24"/>
        </w:rPr>
        <w:t>signa congruentiae</w:t>
      </w:r>
      <w:r w:rsidRPr="002B630E">
        <w:rPr>
          <w:rFonts w:ascii="Times New Roman" w:hAnsi="Times New Roman" w:cs="Times New Roman"/>
          <w:b/>
          <w:sz w:val="24"/>
          <w:szCs w:val="24"/>
        </w:rPr>
        <w:t>: a new perspective</w:t>
      </w:r>
      <w:r w:rsidR="00E721D8">
        <w:rPr>
          <w:rFonts w:ascii="Times New Roman" w:hAnsi="Times New Roman" w:cs="Times New Roman"/>
          <w:b/>
          <w:sz w:val="24"/>
          <w:szCs w:val="24"/>
        </w:rPr>
        <w:t>*</w:t>
      </w:r>
    </w:p>
    <w:p w14:paraId="3DF49AEF" w14:textId="74377C1A" w:rsidR="000133BB" w:rsidRPr="002B630E" w:rsidRDefault="005C6CB5" w:rsidP="005C6CB5">
      <w:pPr>
        <w:spacing w:after="0" w:line="480" w:lineRule="auto"/>
        <w:jc w:val="both"/>
        <w:rPr>
          <w:rFonts w:ascii="Times New Roman" w:hAnsi="Times New Roman" w:cs="Times New Roman"/>
          <w:sz w:val="24"/>
          <w:szCs w:val="24"/>
        </w:rPr>
      </w:pPr>
      <w:r w:rsidRPr="002B630E">
        <w:rPr>
          <w:rFonts w:ascii="Times New Roman" w:hAnsi="Times New Roman" w:cs="Times New Roman"/>
          <w:sz w:val="24"/>
          <w:szCs w:val="24"/>
          <w:u w:val="single"/>
        </w:rPr>
        <w:t>Abstract</w:t>
      </w:r>
    </w:p>
    <w:p w14:paraId="133BE7A1" w14:textId="2585354F" w:rsidR="005C6CB5" w:rsidRPr="002B630E" w:rsidRDefault="005C6CB5" w:rsidP="005C6CB5">
      <w:pPr>
        <w:spacing w:after="0" w:line="480" w:lineRule="auto"/>
        <w:jc w:val="both"/>
        <w:rPr>
          <w:rFonts w:ascii="Times New Roman" w:hAnsi="Times New Roman" w:cs="Times New Roman"/>
          <w:sz w:val="24"/>
          <w:szCs w:val="24"/>
        </w:rPr>
      </w:pPr>
      <w:r w:rsidRPr="002B630E">
        <w:rPr>
          <w:rFonts w:ascii="Times New Roman" w:hAnsi="Times New Roman" w:cs="Times New Roman"/>
          <w:sz w:val="24"/>
          <w:szCs w:val="24"/>
        </w:rPr>
        <w:t xml:space="preserve">The notational treatises of Johannes Tinctoris are among the most important texts on late fifteenth-century musical practice. His monumental treatise on the art of counterpoint, </w:t>
      </w:r>
      <w:r w:rsidRPr="002B630E">
        <w:rPr>
          <w:rFonts w:ascii="Times New Roman" w:hAnsi="Times New Roman" w:cs="Times New Roman"/>
          <w:i/>
          <w:sz w:val="24"/>
          <w:szCs w:val="24"/>
        </w:rPr>
        <w:t>De arte contrapuncti</w:t>
      </w:r>
      <w:r w:rsidRPr="002B630E">
        <w:rPr>
          <w:rFonts w:ascii="Times New Roman" w:hAnsi="Times New Roman" w:cs="Times New Roman"/>
          <w:sz w:val="24"/>
          <w:szCs w:val="24"/>
        </w:rPr>
        <w:t xml:space="preserve">, affords modern scholars a great insight into the intricacies of counterpoint practice </w:t>
      </w:r>
      <w:r w:rsidR="000533F8" w:rsidRPr="002B630E">
        <w:rPr>
          <w:rFonts w:ascii="Times New Roman" w:hAnsi="Times New Roman" w:cs="Times New Roman"/>
          <w:sz w:val="24"/>
          <w:szCs w:val="24"/>
        </w:rPr>
        <w:t xml:space="preserve">on the cusp of the era of music theory printing. </w:t>
      </w:r>
      <w:r w:rsidRPr="002B630E">
        <w:rPr>
          <w:rFonts w:ascii="Times New Roman" w:hAnsi="Times New Roman" w:cs="Times New Roman"/>
          <w:sz w:val="24"/>
          <w:szCs w:val="24"/>
        </w:rPr>
        <w:t xml:space="preserve">In the examples for this text, Tinctoris regularly uses additional markers to raise the visual profile of specific moments of a musical demonstration. These signs often closely resemble </w:t>
      </w:r>
      <w:r w:rsidRPr="002B630E">
        <w:rPr>
          <w:rFonts w:ascii="Times New Roman" w:hAnsi="Times New Roman" w:cs="Times New Roman"/>
          <w:i/>
          <w:sz w:val="24"/>
          <w:szCs w:val="24"/>
        </w:rPr>
        <w:t>signa</w:t>
      </w:r>
      <w:r w:rsidRPr="002B630E">
        <w:rPr>
          <w:rFonts w:ascii="Times New Roman" w:hAnsi="Times New Roman" w:cs="Times New Roman"/>
          <w:sz w:val="24"/>
          <w:szCs w:val="24"/>
        </w:rPr>
        <w:t xml:space="preserve"> </w:t>
      </w:r>
      <w:r w:rsidRPr="002B630E">
        <w:rPr>
          <w:rFonts w:ascii="Times New Roman" w:hAnsi="Times New Roman" w:cs="Times New Roman"/>
          <w:i/>
          <w:sz w:val="24"/>
          <w:szCs w:val="24"/>
        </w:rPr>
        <w:t>congruentiae</w:t>
      </w:r>
      <w:r w:rsidRPr="002B630E">
        <w:rPr>
          <w:rFonts w:ascii="Times New Roman" w:hAnsi="Times New Roman" w:cs="Times New Roman"/>
          <w:sz w:val="24"/>
          <w:szCs w:val="24"/>
        </w:rPr>
        <w:t xml:space="preserve">, though their function in these theoretical contexts is somewhat different from the deployment of such symbols in practical music sources. This article re-examines the historical justification for the term </w:t>
      </w:r>
      <w:r w:rsidRPr="002B630E">
        <w:rPr>
          <w:rFonts w:ascii="Times New Roman" w:hAnsi="Times New Roman" w:cs="Times New Roman"/>
          <w:i/>
          <w:sz w:val="24"/>
          <w:szCs w:val="24"/>
        </w:rPr>
        <w:t>signa congruentiae</w:t>
      </w:r>
      <w:r w:rsidRPr="002B630E">
        <w:rPr>
          <w:rFonts w:ascii="Times New Roman" w:hAnsi="Times New Roman" w:cs="Times New Roman"/>
          <w:sz w:val="24"/>
          <w:szCs w:val="24"/>
        </w:rPr>
        <w:t xml:space="preserve">, </w:t>
      </w:r>
      <w:r w:rsidR="00A20C38" w:rsidRPr="002B630E">
        <w:rPr>
          <w:rFonts w:ascii="Times New Roman" w:hAnsi="Times New Roman" w:cs="Times New Roman"/>
          <w:sz w:val="24"/>
          <w:szCs w:val="24"/>
        </w:rPr>
        <w:t>offering a new perspective on Tinctoris’s usage of such signs to explicate the rich text–example relationship underpinning his theoretical arguments</w:t>
      </w:r>
      <w:r w:rsidR="000533F8" w:rsidRPr="002B630E">
        <w:rPr>
          <w:rFonts w:ascii="Times New Roman" w:hAnsi="Times New Roman" w:cs="Times New Roman"/>
          <w:sz w:val="24"/>
          <w:szCs w:val="24"/>
        </w:rPr>
        <w:t xml:space="preserve"> and drawing</w:t>
      </w:r>
      <w:r w:rsidRPr="002B630E">
        <w:rPr>
          <w:rFonts w:ascii="Times New Roman" w:hAnsi="Times New Roman" w:cs="Times New Roman"/>
          <w:sz w:val="24"/>
          <w:szCs w:val="24"/>
        </w:rPr>
        <w:t xml:space="preserve"> attention </w:t>
      </w:r>
      <w:r w:rsidR="000533F8" w:rsidRPr="002B630E">
        <w:rPr>
          <w:rFonts w:ascii="Times New Roman" w:hAnsi="Times New Roman" w:cs="Times New Roman"/>
          <w:sz w:val="24"/>
          <w:szCs w:val="24"/>
        </w:rPr>
        <w:t>to some</w:t>
      </w:r>
      <w:r w:rsidRPr="002B630E">
        <w:rPr>
          <w:rFonts w:ascii="Times New Roman" w:hAnsi="Times New Roman" w:cs="Times New Roman"/>
          <w:sz w:val="24"/>
          <w:szCs w:val="24"/>
        </w:rPr>
        <w:t xml:space="preserve"> novel uses of these signs to </w:t>
      </w:r>
      <w:r w:rsidR="000533F8" w:rsidRPr="002B630E">
        <w:rPr>
          <w:rFonts w:ascii="Times New Roman" w:hAnsi="Times New Roman" w:cs="Times New Roman"/>
          <w:sz w:val="24"/>
          <w:szCs w:val="24"/>
        </w:rPr>
        <w:t>consolidate</w:t>
      </w:r>
      <w:r w:rsidRPr="002B630E">
        <w:rPr>
          <w:rFonts w:ascii="Times New Roman" w:hAnsi="Times New Roman" w:cs="Times New Roman"/>
          <w:sz w:val="24"/>
          <w:szCs w:val="24"/>
        </w:rPr>
        <w:t xml:space="preserve"> text-example relationship</w:t>
      </w:r>
      <w:r w:rsidR="000533F8" w:rsidRPr="002B630E">
        <w:rPr>
          <w:rFonts w:ascii="Times New Roman" w:hAnsi="Times New Roman" w:cs="Times New Roman"/>
          <w:sz w:val="24"/>
          <w:szCs w:val="24"/>
        </w:rPr>
        <w:t>s.</w:t>
      </w:r>
      <w:r w:rsidRPr="002B630E">
        <w:rPr>
          <w:rFonts w:ascii="Times New Roman" w:hAnsi="Times New Roman" w:cs="Times New Roman"/>
          <w:sz w:val="24"/>
          <w:szCs w:val="24"/>
        </w:rPr>
        <w:t xml:space="preserve"> </w:t>
      </w:r>
    </w:p>
    <w:p w14:paraId="3A10A643" w14:textId="77777777" w:rsidR="005C6CB5" w:rsidRPr="002B630E" w:rsidRDefault="005C6CB5" w:rsidP="00B95FCD">
      <w:pPr>
        <w:spacing w:after="0" w:line="480" w:lineRule="auto"/>
        <w:jc w:val="center"/>
        <w:rPr>
          <w:rFonts w:ascii="Times New Roman" w:hAnsi="Times New Roman" w:cs="Times New Roman"/>
          <w:sz w:val="24"/>
          <w:szCs w:val="24"/>
        </w:rPr>
      </w:pPr>
    </w:p>
    <w:p w14:paraId="025AE840" w14:textId="748C9CD7" w:rsidR="000533F8" w:rsidRPr="002B630E" w:rsidRDefault="000533F8" w:rsidP="000533F8">
      <w:pPr>
        <w:spacing w:line="480" w:lineRule="auto"/>
        <w:jc w:val="center"/>
        <w:rPr>
          <w:rFonts w:ascii="Times New Roman" w:hAnsi="Times New Roman" w:cs="Times New Roman"/>
          <w:sz w:val="24"/>
          <w:szCs w:val="24"/>
        </w:rPr>
      </w:pPr>
      <w:r w:rsidRPr="002B630E">
        <w:rPr>
          <w:rFonts w:ascii="Times New Roman" w:hAnsi="Times New Roman" w:cs="Times New Roman"/>
          <w:sz w:val="24"/>
          <w:szCs w:val="24"/>
        </w:rPr>
        <w:t>***</w:t>
      </w:r>
    </w:p>
    <w:p w14:paraId="1FF817B9" w14:textId="4805E7E7" w:rsidR="00780588" w:rsidRPr="002B630E" w:rsidRDefault="00997A8F"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 xml:space="preserve">The </w:t>
      </w:r>
      <w:r w:rsidRPr="002B630E">
        <w:rPr>
          <w:rFonts w:ascii="Times New Roman" w:hAnsi="Times New Roman" w:cs="Times New Roman"/>
          <w:i/>
          <w:sz w:val="24"/>
          <w:szCs w:val="24"/>
        </w:rPr>
        <w:t>sign</w:t>
      </w:r>
      <w:r w:rsidR="001B232C" w:rsidRPr="002B630E">
        <w:rPr>
          <w:rFonts w:ascii="Times New Roman" w:hAnsi="Times New Roman" w:cs="Times New Roman"/>
          <w:i/>
          <w:sz w:val="24"/>
          <w:szCs w:val="24"/>
        </w:rPr>
        <w:t>um</w:t>
      </w:r>
      <w:r w:rsidRPr="002B630E">
        <w:rPr>
          <w:rFonts w:ascii="Times New Roman" w:hAnsi="Times New Roman" w:cs="Times New Roman"/>
          <w:i/>
          <w:sz w:val="24"/>
          <w:szCs w:val="24"/>
        </w:rPr>
        <w:t xml:space="preserve"> congruentiae</w:t>
      </w:r>
      <w:r w:rsidRPr="002B630E">
        <w:rPr>
          <w:rFonts w:ascii="Times New Roman" w:hAnsi="Times New Roman" w:cs="Times New Roman"/>
          <w:sz w:val="24"/>
          <w:szCs w:val="24"/>
        </w:rPr>
        <w:t xml:space="preserve"> </w:t>
      </w:r>
      <w:r w:rsidR="001B232C" w:rsidRPr="002B630E">
        <w:rPr>
          <w:rFonts w:ascii="Times New Roman" w:hAnsi="Times New Roman" w:cs="Times New Roman"/>
          <w:sz w:val="24"/>
          <w:szCs w:val="24"/>
        </w:rPr>
        <w:t xml:space="preserve">[sign of congruence] </w:t>
      </w:r>
      <w:r w:rsidRPr="002B630E">
        <w:rPr>
          <w:rFonts w:ascii="Times New Roman" w:hAnsi="Times New Roman" w:cs="Times New Roman"/>
          <w:sz w:val="24"/>
          <w:szCs w:val="24"/>
        </w:rPr>
        <w:t xml:space="preserve">is a </w:t>
      </w:r>
      <w:r w:rsidR="00780588" w:rsidRPr="002B630E">
        <w:rPr>
          <w:rFonts w:ascii="Times New Roman" w:hAnsi="Times New Roman" w:cs="Times New Roman"/>
          <w:sz w:val="24"/>
          <w:szCs w:val="24"/>
        </w:rPr>
        <w:t xml:space="preserve">familiar </w:t>
      </w:r>
      <w:r w:rsidR="005402C8" w:rsidRPr="002B630E">
        <w:rPr>
          <w:rFonts w:ascii="Times New Roman" w:hAnsi="Times New Roman" w:cs="Times New Roman"/>
          <w:sz w:val="24"/>
          <w:szCs w:val="24"/>
        </w:rPr>
        <w:t xml:space="preserve">symbol </w:t>
      </w:r>
      <w:r w:rsidR="001B232C" w:rsidRPr="002B630E">
        <w:rPr>
          <w:rFonts w:ascii="Times New Roman" w:hAnsi="Times New Roman" w:cs="Times New Roman"/>
          <w:sz w:val="24"/>
          <w:szCs w:val="24"/>
        </w:rPr>
        <w:t xml:space="preserve">found in many </w:t>
      </w:r>
      <w:r w:rsidR="00172F50" w:rsidRPr="002B630E">
        <w:rPr>
          <w:rFonts w:ascii="Times New Roman" w:hAnsi="Times New Roman" w:cs="Times New Roman"/>
          <w:sz w:val="24"/>
          <w:szCs w:val="24"/>
        </w:rPr>
        <w:t xml:space="preserve">music </w:t>
      </w:r>
      <w:r w:rsidR="001B232C" w:rsidRPr="002B630E">
        <w:rPr>
          <w:rFonts w:ascii="Times New Roman" w:hAnsi="Times New Roman" w:cs="Times New Roman"/>
          <w:sz w:val="24"/>
          <w:szCs w:val="24"/>
        </w:rPr>
        <w:t>manuscripts</w:t>
      </w:r>
      <w:r w:rsidR="005402C8" w:rsidRPr="002B630E">
        <w:rPr>
          <w:rFonts w:ascii="Times New Roman" w:hAnsi="Times New Roman" w:cs="Times New Roman"/>
          <w:sz w:val="24"/>
          <w:szCs w:val="24"/>
        </w:rPr>
        <w:t xml:space="preserve">, particularly </w:t>
      </w:r>
      <w:r w:rsidR="00E60A34" w:rsidRPr="002B630E">
        <w:rPr>
          <w:rFonts w:ascii="Times New Roman" w:hAnsi="Times New Roman" w:cs="Times New Roman"/>
          <w:sz w:val="24"/>
          <w:szCs w:val="24"/>
        </w:rPr>
        <w:t>those</w:t>
      </w:r>
      <w:r w:rsidR="005402C8" w:rsidRPr="002B630E">
        <w:rPr>
          <w:rFonts w:ascii="Times New Roman" w:hAnsi="Times New Roman" w:cs="Times New Roman"/>
          <w:sz w:val="24"/>
          <w:szCs w:val="24"/>
        </w:rPr>
        <w:t xml:space="preserve"> from</w:t>
      </w:r>
      <w:r w:rsidRPr="002B630E">
        <w:rPr>
          <w:rFonts w:ascii="Times New Roman" w:hAnsi="Times New Roman" w:cs="Times New Roman"/>
          <w:sz w:val="24"/>
          <w:szCs w:val="24"/>
        </w:rPr>
        <w:t xml:space="preserve"> the fifteenth century</w:t>
      </w:r>
      <w:r w:rsidR="008E42AB">
        <w:rPr>
          <w:rFonts w:ascii="Times New Roman" w:hAnsi="Times New Roman" w:cs="Times New Roman"/>
          <w:sz w:val="24"/>
          <w:szCs w:val="24"/>
        </w:rPr>
        <w:t>.</w:t>
      </w:r>
      <w:r w:rsidR="001A68F7" w:rsidRPr="002B630E">
        <w:rPr>
          <w:rFonts w:ascii="Times New Roman" w:hAnsi="Times New Roman" w:cs="Times New Roman"/>
          <w:sz w:val="24"/>
          <w:szCs w:val="24"/>
        </w:rPr>
        <w:t xml:space="preserve"> </w:t>
      </w:r>
      <w:r w:rsidR="008E42AB">
        <w:rPr>
          <w:rFonts w:ascii="Times New Roman" w:hAnsi="Times New Roman" w:cs="Times New Roman"/>
          <w:sz w:val="24"/>
          <w:szCs w:val="24"/>
        </w:rPr>
        <w:t xml:space="preserve">It </w:t>
      </w:r>
      <w:r w:rsidR="001A68F7" w:rsidRPr="002B630E">
        <w:rPr>
          <w:rFonts w:ascii="Times New Roman" w:hAnsi="Times New Roman" w:cs="Times New Roman"/>
          <w:sz w:val="24"/>
          <w:szCs w:val="24"/>
        </w:rPr>
        <w:t xml:space="preserve">is a label that has </w:t>
      </w:r>
      <w:r w:rsidRPr="002B630E">
        <w:rPr>
          <w:rFonts w:ascii="Times New Roman" w:hAnsi="Times New Roman" w:cs="Times New Roman"/>
          <w:sz w:val="24"/>
          <w:szCs w:val="24"/>
        </w:rPr>
        <w:t xml:space="preserve">long been accepted </w:t>
      </w:r>
      <w:r w:rsidR="00D942B0" w:rsidRPr="002B630E">
        <w:rPr>
          <w:rFonts w:ascii="Times New Roman" w:hAnsi="Times New Roman" w:cs="Times New Roman"/>
          <w:sz w:val="24"/>
          <w:szCs w:val="24"/>
        </w:rPr>
        <w:t>to</w:t>
      </w:r>
      <w:r w:rsidRPr="002B630E">
        <w:rPr>
          <w:rFonts w:ascii="Times New Roman" w:hAnsi="Times New Roman" w:cs="Times New Roman"/>
          <w:sz w:val="24"/>
          <w:szCs w:val="24"/>
        </w:rPr>
        <w:t xml:space="preserve"> describe a very specific notational symbol found within mensural polyphonic notation</w:t>
      </w:r>
      <w:r w:rsidR="00E2472C" w:rsidRPr="002B630E">
        <w:rPr>
          <w:rFonts w:ascii="Times New Roman" w:hAnsi="Times New Roman" w:cs="Times New Roman"/>
          <w:sz w:val="24"/>
          <w:szCs w:val="24"/>
        </w:rPr>
        <w:t xml:space="preserve"> and makes a frequent appearance in musicological scholarship</w:t>
      </w:r>
      <w:r w:rsidRPr="002B630E">
        <w:rPr>
          <w:rFonts w:ascii="Times New Roman" w:hAnsi="Times New Roman" w:cs="Times New Roman"/>
          <w:sz w:val="24"/>
          <w:szCs w:val="24"/>
        </w:rPr>
        <w:t xml:space="preserve">. </w:t>
      </w:r>
      <w:r w:rsidR="00E2472C" w:rsidRPr="002B630E">
        <w:rPr>
          <w:rFonts w:ascii="Times New Roman" w:hAnsi="Times New Roman" w:cs="Times New Roman"/>
          <w:sz w:val="24"/>
          <w:szCs w:val="24"/>
        </w:rPr>
        <w:t>Under most modern definitions, t</w:t>
      </w:r>
      <w:r w:rsidR="00D53D6D" w:rsidRPr="002B630E">
        <w:rPr>
          <w:rFonts w:ascii="Times New Roman" w:hAnsi="Times New Roman" w:cs="Times New Roman"/>
          <w:sz w:val="24"/>
          <w:szCs w:val="24"/>
        </w:rPr>
        <w:t>his symbol</w:t>
      </w:r>
      <w:r w:rsidR="00D927D0">
        <w:rPr>
          <w:rFonts w:ascii="Times New Roman" w:hAnsi="Times New Roman" w:cs="Times New Roman"/>
          <w:sz w:val="24"/>
          <w:szCs w:val="24"/>
        </w:rPr>
        <w:t xml:space="preserve"> – </w:t>
      </w:r>
      <w:r w:rsidR="001B232C" w:rsidRPr="002B630E">
        <w:rPr>
          <w:rFonts w:ascii="Times New Roman" w:hAnsi="Times New Roman" w:cs="Times New Roman"/>
          <w:sz w:val="24"/>
          <w:szCs w:val="24"/>
        </w:rPr>
        <w:t xml:space="preserve">represented as </w:t>
      </w:r>
      <w:r w:rsidR="00C26B1C" w:rsidRPr="002B630E">
        <w:rPr>
          <w:rFonts w:ascii="Times New Roman" w:hAnsi="Times New Roman" w:cs="Times New Roman"/>
          <w:noProof/>
          <w:sz w:val="24"/>
          <w:szCs w:val="24"/>
          <w:lang w:eastAsia="en-GB"/>
        </w:rPr>
        <w:drawing>
          <wp:inline distT="0" distB="0" distL="0" distR="0" wp14:anchorId="792CDC08" wp14:editId="49020FBF">
            <wp:extent cx="140730" cy="144000"/>
            <wp:effectExtent l="0" t="0" r="1206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30" cy="144000"/>
                    </a:xfrm>
                    <a:prstGeom prst="rect">
                      <a:avLst/>
                    </a:prstGeom>
                    <a:noFill/>
                    <a:ln>
                      <a:noFill/>
                    </a:ln>
                  </pic:spPr>
                </pic:pic>
              </a:graphicData>
            </a:graphic>
          </wp:inline>
        </w:drawing>
      </w:r>
      <w:r w:rsidR="00D927D0">
        <w:rPr>
          <w:rFonts w:ascii="Times New Roman" w:hAnsi="Times New Roman" w:cs="Times New Roman"/>
          <w:sz w:val="24"/>
          <w:szCs w:val="24"/>
        </w:rPr>
        <w:t xml:space="preserve">– </w:t>
      </w:r>
      <w:r w:rsidR="005402C8" w:rsidRPr="002B630E">
        <w:rPr>
          <w:rFonts w:ascii="Times New Roman" w:hAnsi="Times New Roman" w:cs="Times New Roman"/>
          <w:sz w:val="24"/>
          <w:szCs w:val="24"/>
        </w:rPr>
        <w:t>almost</w:t>
      </w:r>
      <w:r w:rsidR="00D53D6D" w:rsidRPr="002B630E">
        <w:rPr>
          <w:rFonts w:ascii="Times New Roman" w:hAnsi="Times New Roman" w:cs="Times New Roman"/>
          <w:sz w:val="24"/>
          <w:szCs w:val="24"/>
        </w:rPr>
        <w:t xml:space="preserve"> always marks a point of alignment across the polyphonic parts</w:t>
      </w:r>
      <w:r w:rsidR="00277FCB" w:rsidRPr="002B630E">
        <w:rPr>
          <w:rFonts w:ascii="Times New Roman" w:hAnsi="Times New Roman" w:cs="Times New Roman"/>
          <w:sz w:val="24"/>
          <w:szCs w:val="24"/>
        </w:rPr>
        <w:t xml:space="preserve"> of a musical work</w:t>
      </w:r>
      <w:r w:rsidR="00D53D6D" w:rsidRPr="002B630E">
        <w:rPr>
          <w:rFonts w:ascii="Times New Roman" w:hAnsi="Times New Roman" w:cs="Times New Roman"/>
          <w:sz w:val="24"/>
          <w:szCs w:val="24"/>
        </w:rPr>
        <w:t xml:space="preserve">, </w:t>
      </w:r>
      <w:r w:rsidR="00D927D0">
        <w:rPr>
          <w:rFonts w:ascii="Times New Roman" w:hAnsi="Times New Roman" w:cs="Times New Roman"/>
          <w:sz w:val="24"/>
          <w:szCs w:val="24"/>
        </w:rPr>
        <w:t>often</w:t>
      </w:r>
      <w:r w:rsidR="00D927D0" w:rsidRPr="002B630E">
        <w:rPr>
          <w:rFonts w:ascii="Times New Roman" w:hAnsi="Times New Roman" w:cs="Times New Roman"/>
          <w:sz w:val="24"/>
          <w:szCs w:val="24"/>
        </w:rPr>
        <w:t xml:space="preserve"> </w:t>
      </w:r>
      <w:r w:rsidR="00D53D6D" w:rsidRPr="002B630E">
        <w:rPr>
          <w:rFonts w:ascii="Times New Roman" w:hAnsi="Times New Roman" w:cs="Times New Roman"/>
          <w:sz w:val="24"/>
          <w:szCs w:val="24"/>
        </w:rPr>
        <w:t xml:space="preserve">occurring at an important structural moment. Whilst we </w:t>
      </w:r>
      <w:r w:rsidR="00DF5324">
        <w:rPr>
          <w:rFonts w:ascii="Times New Roman" w:hAnsi="Times New Roman" w:cs="Times New Roman"/>
          <w:sz w:val="24"/>
          <w:szCs w:val="24"/>
        </w:rPr>
        <w:t>nearly</w:t>
      </w:r>
      <w:r w:rsidR="00DF5324" w:rsidRPr="002B630E">
        <w:rPr>
          <w:rFonts w:ascii="Times New Roman" w:hAnsi="Times New Roman" w:cs="Times New Roman"/>
          <w:sz w:val="24"/>
          <w:szCs w:val="24"/>
        </w:rPr>
        <w:t xml:space="preserve"> </w:t>
      </w:r>
      <w:r w:rsidR="00D53D6D" w:rsidRPr="002B630E">
        <w:rPr>
          <w:rFonts w:ascii="Times New Roman" w:hAnsi="Times New Roman" w:cs="Times New Roman"/>
          <w:sz w:val="24"/>
          <w:szCs w:val="24"/>
        </w:rPr>
        <w:t xml:space="preserve">universally accept </w:t>
      </w:r>
      <w:r w:rsidR="00780588" w:rsidRPr="002B630E">
        <w:rPr>
          <w:rFonts w:ascii="Times New Roman" w:hAnsi="Times New Roman" w:cs="Times New Roman"/>
          <w:sz w:val="24"/>
          <w:szCs w:val="24"/>
        </w:rPr>
        <w:t>this definition</w:t>
      </w:r>
      <w:r w:rsidR="00D53D6D" w:rsidRPr="002B630E">
        <w:rPr>
          <w:rFonts w:ascii="Times New Roman" w:hAnsi="Times New Roman" w:cs="Times New Roman"/>
          <w:sz w:val="24"/>
          <w:szCs w:val="24"/>
        </w:rPr>
        <w:t xml:space="preserve"> </w:t>
      </w:r>
      <w:r w:rsidR="001B232C" w:rsidRPr="002B630E">
        <w:rPr>
          <w:rFonts w:ascii="Times New Roman" w:hAnsi="Times New Roman" w:cs="Times New Roman"/>
          <w:sz w:val="24"/>
          <w:szCs w:val="24"/>
        </w:rPr>
        <w:t>and its label</w:t>
      </w:r>
      <w:r w:rsidR="00D53D6D" w:rsidRPr="002B630E">
        <w:rPr>
          <w:rFonts w:ascii="Times New Roman" w:hAnsi="Times New Roman" w:cs="Times New Roman"/>
          <w:sz w:val="24"/>
          <w:szCs w:val="24"/>
        </w:rPr>
        <w:t xml:space="preserve"> as a ‘sign of congruence’, </w:t>
      </w:r>
      <w:r w:rsidR="00780588" w:rsidRPr="002B630E">
        <w:rPr>
          <w:rFonts w:ascii="Times New Roman" w:hAnsi="Times New Roman" w:cs="Times New Roman"/>
          <w:sz w:val="24"/>
          <w:szCs w:val="24"/>
        </w:rPr>
        <w:t xml:space="preserve">there are </w:t>
      </w:r>
      <w:r w:rsidR="00D942B0" w:rsidRPr="002B630E">
        <w:rPr>
          <w:rFonts w:ascii="Times New Roman" w:hAnsi="Times New Roman" w:cs="Times New Roman"/>
          <w:sz w:val="24"/>
          <w:szCs w:val="24"/>
        </w:rPr>
        <w:t>several</w:t>
      </w:r>
      <w:r w:rsidR="00780588" w:rsidRPr="002B630E">
        <w:rPr>
          <w:rFonts w:ascii="Times New Roman" w:hAnsi="Times New Roman" w:cs="Times New Roman"/>
          <w:sz w:val="24"/>
          <w:szCs w:val="24"/>
        </w:rPr>
        <w:t xml:space="preserve"> instances </w:t>
      </w:r>
      <w:r w:rsidR="00795C10">
        <w:rPr>
          <w:rFonts w:ascii="Times New Roman" w:hAnsi="Times New Roman" w:cs="Times New Roman"/>
          <w:sz w:val="24"/>
          <w:szCs w:val="24"/>
        </w:rPr>
        <w:t xml:space="preserve">in surviving practical and theoretical sources </w:t>
      </w:r>
      <w:r w:rsidR="00780588" w:rsidRPr="002B630E">
        <w:rPr>
          <w:rFonts w:ascii="Times New Roman" w:hAnsi="Times New Roman" w:cs="Times New Roman"/>
          <w:sz w:val="24"/>
          <w:szCs w:val="24"/>
        </w:rPr>
        <w:t>where these symbols seemingly undertake a different function</w:t>
      </w:r>
      <w:r w:rsidR="00172F50" w:rsidRPr="002B630E">
        <w:rPr>
          <w:rFonts w:ascii="Times New Roman" w:hAnsi="Times New Roman" w:cs="Times New Roman"/>
          <w:sz w:val="24"/>
          <w:szCs w:val="24"/>
        </w:rPr>
        <w:t>, something that has received only a small amount of scholarly attention</w:t>
      </w:r>
      <w:r w:rsidR="0001378B" w:rsidRPr="002B630E">
        <w:rPr>
          <w:rFonts w:ascii="Times New Roman" w:hAnsi="Times New Roman" w:cs="Times New Roman"/>
          <w:sz w:val="24"/>
          <w:szCs w:val="24"/>
        </w:rPr>
        <w:t xml:space="preserve"> to date</w:t>
      </w:r>
      <w:r w:rsidR="00780588" w:rsidRPr="002B630E">
        <w:rPr>
          <w:rFonts w:ascii="Times New Roman" w:hAnsi="Times New Roman" w:cs="Times New Roman"/>
          <w:sz w:val="24"/>
          <w:szCs w:val="24"/>
        </w:rPr>
        <w:t xml:space="preserve">. </w:t>
      </w:r>
    </w:p>
    <w:p w14:paraId="64175650" w14:textId="7D4C4415" w:rsidR="00780588" w:rsidRPr="002B630E" w:rsidRDefault="00780588" w:rsidP="00B95FCD">
      <w:pPr>
        <w:spacing w:line="480" w:lineRule="auto"/>
        <w:ind w:firstLine="720"/>
        <w:jc w:val="both"/>
        <w:rPr>
          <w:rFonts w:ascii="Times New Roman" w:hAnsi="Times New Roman" w:cs="Times New Roman"/>
          <w:sz w:val="24"/>
          <w:szCs w:val="24"/>
        </w:rPr>
      </w:pPr>
      <w:r w:rsidRPr="002B630E">
        <w:rPr>
          <w:rFonts w:ascii="Times New Roman" w:hAnsi="Times New Roman" w:cs="Times New Roman"/>
          <w:sz w:val="24"/>
          <w:szCs w:val="24"/>
        </w:rPr>
        <w:lastRenderedPageBreak/>
        <w:t xml:space="preserve">The notational treatises of </w:t>
      </w:r>
      <w:r w:rsidR="00172F50" w:rsidRPr="002B630E">
        <w:rPr>
          <w:rFonts w:ascii="Times New Roman" w:hAnsi="Times New Roman" w:cs="Times New Roman"/>
          <w:sz w:val="24"/>
          <w:szCs w:val="24"/>
        </w:rPr>
        <w:t xml:space="preserve">the fifteenth-century music theorist </w:t>
      </w:r>
      <w:r w:rsidRPr="002B630E">
        <w:rPr>
          <w:rFonts w:ascii="Times New Roman" w:hAnsi="Times New Roman" w:cs="Times New Roman"/>
          <w:sz w:val="24"/>
          <w:szCs w:val="24"/>
        </w:rPr>
        <w:t>Johannes Tinctoris</w:t>
      </w:r>
      <w:r w:rsidR="00A76683">
        <w:rPr>
          <w:rFonts w:ascii="Times New Roman" w:hAnsi="Times New Roman" w:cs="Times New Roman"/>
          <w:sz w:val="24"/>
          <w:szCs w:val="24"/>
        </w:rPr>
        <w:t xml:space="preserve"> (c. 1435–1511)</w:t>
      </w:r>
      <w:r w:rsidRPr="002B630E">
        <w:rPr>
          <w:rFonts w:ascii="Times New Roman" w:hAnsi="Times New Roman" w:cs="Times New Roman"/>
          <w:sz w:val="24"/>
          <w:szCs w:val="24"/>
        </w:rPr>
        <w:t>, well known to scholars of medieval and Renaissance music as some of the most important theoretical texts of the</w:t>
      </w:r>
      <w:r w:rsidR="00172F50" w:rsidRPr="002B630E">
        <w:rPr>
          <w:rFonts w:ascii="Times New Roman" w:hAnsi="Times New Roman" w:cs="Times New Roman"/>
          <w:sz w:val="24"/>
          <w:szCs w:val="24"/>
        </w:rPr>
        <w:t xml:space="preserve"> age,</w:t>
      </w:r>
      <w:r w:rsidRPr="002B630E">
        <w:rPr>
          <w:rFonts w:ascii="Times New Roman" w:hAnsi="Times New Roman" w:cs="Times New Roman"/>
          <w:sz w:val="24"/>
          <w:szCs w:val="24"/>
        </w:rPr>
        <w:t xml:space="preserve"> contain </w:t>
      </w:r>
      <w:r w:rsidR="00D942B0" w:rsidRPr="002B630E">
        <w:rPr>
          <w:rFonts w:ascii="Times New Roman" w:hAnsi="Times New Roman" w:cs="Times New Roman"/>
          <w:sz w:val="24"/>
          <w:szCs w:val="24"/>
        </w:rPr>
        <w:t>a few</w:t>
      </w:r>
      <w:r w:rsidRPr="002B630E">
        <w:rPr>
          <w:rFonts w:ascii="Times New Roman" w:hAnsi="Times New Roman" w:cs="Times New Roman"/>
          <w:sz w:val="24"/>
          <w:szCs w:val="24"/>
        </w:rPr>
        <w:t xml:space="preserve"> intriguing uses of this symbol</w:t>
      </w:r>
      <w:r w:rsidR="003B0E1E" w:rsidRPr="002B630E">
        <w:rPr>
          <w:rFonts w:ascii="Times New Roman" w:hAnsi="Times New Roman" w:cs="Times New Roman"/>
          <w:sz w:val="24"/>
          <w:szCs w:val="24"/>
        </w:rPr>
        <w:t xml:space="preserve"> that are not </w:t>
      </w:r>
      <w:r w:rsidR="00D942B0" w:rsidRPr="002B630E">
        <w:rPr>
          <w:rFonts w:ascii="Times New Roman" w:hAnsi="Times New Roman" w:cs="Times New Roman"/>
          <w:sz w:val="24"/>
          <w:szCs w:val="24"/>
        </w:rPr>
        <w:t>found</w:t>
      </w:r>
      <w:r w:rsidR="003B0E1E" w:rsidRPr="002B630E">
        <w:rPr>
          <w:rFonts w:ascii="Times New Roman" w:hAnsi="Times New Roman" w:cs="Times New Roman"/>
          <w:sz w:val="24"/>
          <w:szCs w:val="24"/>
        </w:rPr>
        <w:t xml:space="preserve"> in practical sources</w:t>
      </w:r>
      <w:r w:rsidRPr="002B630E">
        <w:rPr>
          <w:rFonts w:ascii="Times New Roman" w:hAnsi="Times New Roman" w:cs="Times New Roman"/>
          <w:sz w:val="24"/>
          <w:szCs w:val="24"/>
        </w:rPr>
        <w:t xml:space="preserve">. Tinctoris, ever searching for clarity and precision in </w:t>
      </w:r>
      <w:r w:rsidR="003B0E1E" w:rsidRPr="002B630E">
        <w:rPr>
          <w:rFonts w:ascii="Times New Roman" w:hAnsi="Times New Roman" w:cs="Times New Roman"/>
          <w:sz w:val="24"/>
          <w:szCs w:val="24"/>
        </w:rPr>
        <w:t>musical notation</w:t>
      </w:r>
      <w:r w:rsidR="00172F50" w:rsidRPr="002B630E">
        <w:rPr>
          <w:rFonts w:ascii="Times New Roman" w:hAnsi="Times New Roman" w:cs="Times New Roman"/>
          <w:sz w:val="24"/>
          <w:szCs w:val="24"/>
        </w:rPr>
        <w:t xml:space="preserve"> and lambasting those who</w:t>
      </w:r>
      <w:r w:rsidR="00826EEF">
        <w:rPr>
          <w:rFonts w:ascii="Times New Roman" w:hAnsi="Times New Roman" w:cs="Times New Roman"/>
          <w:sz w:val="24"/>
          <w:szCs w:val="24"/>
        </w:rPr>
        <w:t xml:space="preserve"> introduce ambiguity</w:t>
      </w:r>
      <w:r w:rsidRPr="002B630E">
        <w:rPr>
          <w:rFonts w:ascii="Times New Roman" w:hAnsi="Times New Roman" w:cs="Times New Roman"/>
          <w:sz w:val="24"/>
          <w:szCs w:val="24"/>
        </w:rPr>
        <w:t xml:space="preserve">, seemingly assigns a different function to </w:t>
      </w:r>
      <w:r w:rsidRPr="002B630E">
        <w:rPr>
          <w:rFonts w:ascii="Times New Roman" w:hAnsi="Times New Roman" w:cs="Times New Roman"/>
          <w:i/>
          <w:sz w:val="24"/>
          <w:szCs w:val="24"/>
        </w:rPr>
        <w:t xml:space="preserve">signa congruentiae </w:t>
      </w:r>
      <w:r w:rsidR="003B0E1E" w:rsidRPr="002B630E">
        <w:rPr>
          <w:rFonts w:ascii="Times New Roman" w:hAnsi="Times New Roman" w:cs="Times New Roman"/>
          <w:sz w:val="24"/>
          <w:szCs w:val="24"/>
        </w:rPr>
        <w:t>for specific</w:t>
      </w:r>
      <w:r w:rsidRPr="002B630E">
        <w:rPr>
          <w:rFonts w:ascii="Times New Roman" w:hAnsi="Times New Roman" w:cs="Times New Roman"/>
          <w:sz w:val="24"/>
          <w:szCs w:val="24"/>
        </w:rPr>
        <w:t xml:space="preserve"> points throughout his treatises, </w:t>
      </w:r>
      <w:r w:rsidR="00D942B0" w:rsidRPr="002B630E">
        <w:rPr>
          <w:rFonts w:ascii="Times New Roman" w:hAnsi="Times New Roman" w:cs="Times New Roman"/>
          <w:sz w:val="24"/>
          <w:szCs w:val="24"/>
        </w:rPr>
        <w:t>especially in</w:t>
      </w:r>
      <w:r w:rsidRPr="002B630E">
        <w:rPr>
          <w:rFonts w:ascii="Times New Roman" w:hAnsi="Times New Roman" w:cs="Times New Roman"/>
          <w:sz w:val="24"/>
          <w:szCs w:val="24"/>
        </w:rPr>
        <w:t xml:space="preserve"> </w:t>
      </w:r>
      <w:r w:rsidR="00D942B0" w:rsidRPr="002B630E">
        <w:rPr>
          <w:rFonts w:ascii="Times New Roman" w:hAnsi="Times New Roman" w:cs="Times New Roman"/>
          <w:sz w:val="24"/>
          <w:szCs w:val="24"/>
        </w:rPr>
        <w:t>his magisterial</w:t>
      </w:r>
      <w:r w:rsidRPr="002B630E">
        <w:rPr>
          <w:rFonts w:ascii="Times New Roman" w:hAnsi="Times New Roman" w:cs="Times New Roman"/>
          <w:sz w:val="24"/>
          <w:szCs w:val="24"/>
        </w:rPr>
        <w:t xml:space="preserve"> treatise on </w:t>
      </w:r>
      <w:r w:rsidR="00D942B0" w:rsidRPr="002B630E">
        <w:rPr>
          <w:rFonts w:ascii="Times New Roman" w:hAnsi="Times New Roman" w:cs="Times New Roman"/>
          <w:sz w:val="24"/>
          <w:szCs w:val="24"/>
        </w:rPr>
        <w:t xml:space="preserve">the art of </w:t>
      </w:r>
      <w:r w:rsidRPr="002B630E">
        <w:rPr>
          <w:rFonts w:ascii="Times New Roman" w:hAnsi="Times New Roman" w:cs="Times New Roman"/>
          <w:sz w:val="24"/>
          <w:szCs w:val="24"/>
        </w:rPr>
        <w:t xml:space="preserve">counterpoint, </w:t>
      </w:r>
      <w:r w:rsidRPr="002B630E">
        <w:rPr>
          <w:rFonts w:ascii="Times New Roman" w:hAnsi="Times New Roman" w:cs="Times New Roman"/>
          <w:i/>
          <w:sz w:val="24"/>
          <w:szCs w:val="24"/>
        </w:rPr>
        <w:t>De arte contrapuncti</w:t>
      </w:r>
      <w:r w:rsidRPr="002B630E">
        <w:rPr>
          <w:rFonts w:ascii="Times New Roman" w:hAnsi="Times New Roman" w:cs="Times New Roman"/>
          <w:sz w:val="24"/>
          <w:szCs w:val="24"/>
        </w:rPr>
        <w:t>.</w:t>
      </w:r>
      <w:r w:rsidRPr="002B630E">
        <w:rPr>
          <w:rFonts w:ascii="Times New Roman" w:hAnsi="Times New Roman" w:cs="Times New Roman"/>
          <w:i/>
          <w:sz w:val="24"/>
          <w:szCs w:val="24"/>
        </w:rPr>
        <w:t xml:space="preserve"> </w:t>
      </w:r>
      <w:r w:rsidRPr="002B630E">
        <w:rPr>
          <w:rFonts w:ascii="Times New Roman" w:hAnsi="Times New Roman" w:cs="Times New Roman"/>
          <w:sz w:val="24"/>
          <w:szCs w:val="24"/>
        </w:rPr>
        <w:t xml:space="preserve">This article examines </w:t>
      </w:r>
      <w:r w:rsidR="001B02B8">
        <w:rPr>
          <w:rFonts w:ascii="Times New Roman" w:hAnsi="Times New Roman" w:cs="Times New Roman"/>
          <w:sz w:val="24"/>
          <w:szCs w:val="24"/>
        </w:rPr>
        <w:t xml:space="preserve">in detail </w:t>
      </w:r>
      <w:r w:rsidRPr="002B630E">
        <w:rPr>
          <w:rFonts w:ascii="Times New Roman" w:hAnsi="Times New Roman" w:cs="Times New Roman"/>
          <w:sz w:val="24"/>
          <w:szCs w:val="24"/>
        </w:rPr>
        <w:t>Tinctoris approach towards this sign</w:t>
      </w:r>
      <w:r w:rsidR="00172F50" w:rsidRPr="002B630E">
        <w:rPr>
          <w:rFonts w:ascii="Times New Roman" w:hAnsi="Times New Roman" w:cs="Times New Roman"/>
          <w:sz w:val="24"/>
          <w:szCs w:val="24"/>
        </w:rPr>
        <w:t xml:space="preserve"> across his theoretical output</w:t>
      </w:r>
      <w:r w:rsidRPr="002B630E">
        <w:rPr>
          <w:rFonts w:ascii="Times New Roman" w:hAnsi="Times New Roman" w:cs="Times New Roman"/>
          <w:sz w:val="24"/>
          <w:szCs w:val="24"/>
        </w:rPr>
        <w:t xml:space="preserve"> and considers </w:t>
      </w:r>
      <w:r w:rsidR="000E63E9">
        <w:rPr>
          <w:rFonts w:ascii="Times New Roman" w:hAnsi="Times New Roman" w:cs="Times New Roman"/>
          <w:sz w:val="24"/>
          <w:szCs w:val="24"/>
        </w:rPr>
        <w:t xml:space="preserve">what it might tell us about </w:t>
      </w:r>
      <w:r w:rsidRPr="002B630E">
        <w:rPr>
          <w:rFonts w:ascii="Times New Roman" w:hAnsi="Times New Roman" w:cs="Times New Roman"/>
          <w:sz w:val="24"/>
          <w:szCs w:val="24"/>
        </w:rPr>
        <w:t xml:space="preserve">particular reading approaches for specific points. </w:t>
      </w:r>
    </w:p>
    <w:p w14:paraId="7E559F50" w14:textId="54601649" w:rsidR="00F62748" w:rsidRDefault="00780588" w:rsidP="00B95FCD">
      <w:pPr>
        <w:spacing w:line="480" w:lineRule="auto"/>
        <w:ind w:firstLine="720"/>
        <w:jc w:val="both"/>
        <w:rPr>
          <w:rFonts w:ascii="Times New Roman" w:hAnsi="Times New Roman" w:cs="Times New Roman"/>
          <w:sz w:val="24"/>
          <w:szCs w:val="24"/>
        </w:rPr>
      </w:pPr>
      <w:r w:rsidRPr="002B630E">
        <w:rPr>
          <w:rFonts w:ascii="Times New Roman" w:hAnsi="Times New Roman" w:cs="Times New Roman"/>
          <w:sz w:val="24"/>
          <w:szCs w:val="24"/>
        </w:rPr>
        <w:t xml:space="preserve">Before </w:t>
      </w:r>
      <w:r w:rsidR="00D942B0" w:rsidRPr="002B630E">
        <w:rPr>
          <w:rFonts w:ascii="Times New Roman" w:hAnsi="Times New Roman" w:cs="Times New Roman"/>
          <w:sz w:val="24"/>
          <w:szCs w:val="24"/>
        </w:rPr>
        <w:t>considering</w:t>
      </w:r>
      <w:r w:rsidRPr="002B630E">
        <w:rPr>
          <w:rFonts w:ascii="Times New Roman" w:hAnsi="Times New Roman" w:cs="Times New Roman"/>
          <w:sz w:val="24"/>
          <w:szCs w:val="24"/>
        </w:rPr>
        <w:t xml:space="preserve"> Tinctoris’s texts and examples</w:t>
      </w:r>
      <w:r w:rsidR="00826EEF">
        <w:rPr>
          <w:rFonts w:ascii="Times New Roman" w:hAnsi="Times New Roman" w:cs="Times New Roman"/>
          <w:sz w:val="24"/>
          <w:szCs w:val="24"/>
        </w:rPr>
        <w:t>,</w:t>
      </w:r>
      <w:r w:rsidRPr="002B630E">
        <w:rPr>
          <w:rFonts w:ascii="Times New Roman" w:hAnsi="Times New Roman" w:cs="Times New Roman"/>
          <w:sz w:val="24"/>
          <w:szCs w:val="24"/>
        </w:rPr>
        <w:t xml:space="preserve"> however, a brief </w:t>
      </w:r>
      <w:r w:rsidR="00D942B0" w:rsidRPr="002B630E">
        <w:rPr>
          <w:rFonts w:ascii="Times New Roman" w:hAnsi="Times New Roman" w:cs="Times New Roman"/>
          <w:sz w:val="24"/>
          <w:szCs w:val="24"/>
        </w:rPr>
        <w:t>exploration</w:t>
      </w:r>
      <w:r w:rsidRPr="002B630E">
        <w:rPr>
          <w:rFonts w:ascii="Times New Roman" w:hAnsi="Times New Roman" w:cs="Times New Roman"/>
          <w:sz w:val="24"/>
          <w:szCs w:val="24"/>
        </w:rPr>
        <w:t xml:space="preserve"> of </w:t>
      </w:r>
      <w:r w:rsidR="003B0E1E" w:rsidRPr="002B630E">
        <w:rPr>
          <w:rFonts w:ascii="Times New Roman" w:hAnsi="Times New Roman" w:cs="Times New Roman"/>
          <w:sz w:val="24"/>
          <w:szCs w:val="24"/>
        </w:rPr>
        <w:t xml:space="preserve">the </w:t>
      </w:r>
      <w:r w:rsidR="00ED0836">
        <w:rPr>
          <w:rFonts w:ascii="Times New Roman" w:hAnsi="Times New Roman" w:cs="Times New Roman"/>
          <w:sz w:val="24"/>
          <w:szCs w:val="24"/>
        </w:rPr>
        <w:t xml:space="preserve">various </w:t>
      </w:r>
      <w:r w:rsidR="006B6B9F">
        <w:rPr>
          <w:rFonts w:ascii="Times New Roman" w:hAnsi="Times New Roman" w:cs="Times New Roman"/>
          <w:sz w:val="24"/>
          <w:szCs w:val="24"/>
        </w:rPr>
        <w:t>functions of the sign</w:t>
      </w:r>
      <w:r w:rsidR="00795C10">
        <w:rPr>
          <w:rFonts w:ascii="Times New Roman" w:hAnsi="Times New Roman" w:cs="Times New Roman"/>
          <w:sz w:val="24"/>
          <w:szCs w:val="24"/>
        </w:rPr>
        <w:t xml:space="preserve"> and </w:t>
      </w:r>
      <w:r w:rsidR="006B6B9F">
        <w:rPr>
          <w:rFonts w:ascii="Times New Roman" w:hAnsi="Times New Roman" w:cs="Times New Roman"/>
          <w:sz w:val="24"/>
          <w:szCs w:val="24"/>
        </w:rPr>
        <w:t xml:space="preserve">the </w:t>
      </w:r>
      <w:r w:rsidR="003B0E1E" w:rsidRPr="002B630E">
        <w:rPr>
          <w:rFonts w:ascii="Times New Roman" w:hAnsi="Times New Roman" w:cs="Times New Roman"/>
          <w:sz w:val="24"/>
          <w:szCs w:val="24"/>
        </w:rPr>
        <w:t xml:space="preserve">term itself is in order. </w:t>
      </w:r>
      <w:r w:rsidR="006B6B9F">
        <w:rPr>
          <w:rFonts w:ascii="Times New Roman" w:hAnsi="Times New Roman" w:cs="Times New Roman"/>
          <w:sz w:val="24"/>
          <w:szCs w:val="24"/>
        </w:rPr>
        <w:t xml:space="preserve">The sign appears with some frequency in musical sources from at least the early fifteenth century onwards. In describing the sign and its function, Willi Apel provides a facsimile </w:t>
      </w:r>
      <w:r w:rsidR="009E5964">
        <w:rPr>
          <w:rFonts w:ascii="Times New Roman" w:hAnsi="Times New Roman" w:cs="Times New Roman"/>
          <w:sz w:val="24"/>
          <w:szCs w:val="24"/>
        </w:rPr>
        <w:t xml:space="preserve">example </w:t>
      </w:r>
      <w:r w:rsidR="006B6B9F">
        <w:rPr>
          <w:rFonts w:ascii="Times New Roman" w:hAnsi="Times New Roman" w:cs="Times New Roman"/>
          <w:sz w:val="24"/>
          <w:szCs w:val="24"/>
        </w:rPr>
        <w:t xml:space="preserve">of Du Fay’s three-voice chanson </w:t>
      </w:r>
      <w:r w:rsidR="006B6B9F">
        <w:rPr>
          <w:rFonts w:ascii="Times New Roman" w:hAnsi="Times New Roman" w:cs="Times New Roman"/>
          <w:i/>
          <w:sz w:val="24"/>
          <w:szCs w:val="24"/>
        </w:rPr>
        <w:t xml:space="preserve">Dona i ardenti </w:t>
      </w:r>
      <w:r w:rsidR="006B6B9F">
        <w:rPr>
          <w:rFonts w:ascii="Times New Roman" w:hAnsi="Times New Roman" w:cs="Times New Roman"/>
          <w:sz w:val="24"/>
          <w:szCs w:val="24"/>
        </w:rPr>
        <w:t xml:space="preserve">from </w:t>
      </w:r>
      <w:r w:rsidR="00A360BB" w:rsidRPr="00A360BB">
        <w:rPr>
          <w:rFonts w:ascii="Times New Roman" w:hAnsi="Times New Roman" w:cs="Times New Roman"/>
          <w:sz w:val="24"/>
          <w:szCs w:val="24"/>
        </w:rPr>
        <w:t>GB-Ob MS. Canon. Misc. 213</w:t>
      </w:r>
      <w:r w:rsidR="00A360BB">
        <w:rPr>
          <w:rFonts w:ascii="Times New Roman" w:hAnsi="Times New Roman" w:cs="Times New Roman"/>
          <w:sz w:val="24"/>
          <w:szCs w:val="24"/>
        </w:rPr>
        <w:t xml:space="preserve"> (fol. </w:t>
      </w:r>
      <w:r w:rsidR="00F62748">
        <w:rPr>
          <w:rFonts w:ascii="Times New Roman" w:hAnsi="Times New Roman" w:cs="Times New Roman"/>
          <w:sz w:val="24"/>
          <w:szCs w:val="24"/>
        </w:rPr>
        <w:t>73</w:t>
      </w:r>
      <w:r w:rsidR="00A360BB">
        <w:rPr>
          <w:rFonts w:ascii="Times New Roman" w:hAnsi="Times New Roman" w:cs="Times New Roman"/>
          <w:sz w:val="24"/>
          <w:szCs w:val="24"/>
        </w:rPr>
        <w:t xml:space="preserve">r) which includes two </w:t>
      </w:r>
      <w:r w:rsidR="00A360BB">
        <w:rPr>
          <w:rFonts w:ascii="Times New Roman" w:hAnsi="Times New Roman" w:cs="Times New Roman"/>
          <w:i/>
          <w:sz w:val="24"/>
          <w:szCs w:val="24"/>
        </w:rPr>
        <w:t>signa congruentiae</w:t>
      </w:r>
      <w:r w:rsidR="00A360BB">
        <w:rPr>
          <w:rFonts w:ascii="Times New Roman" w:hAnsi="Times New Roman" w:cs="Times New Roman"/>
          <w:sz w:val="24"/>
          <w:szCs w:val="24"/>
        </w:rPr>
        <w:t xml:space="preserve"> (one in the Discantus and the other in the Tenor).</w:t>
      </w:r>
      <w:r w:rsidR="00F62748">
        <w:rPr>
          <w:rStyle w:val="FootnoteReference"/>
          <w:rFonts w:ascii="Times New Roman" w:hAnsi="Times New Roman" w:cs="Times New Roman"/>
          <w:sz w:val="24"/>
          <w:szCs w:val="24"/>
        </w:rPr>
        <w:footnoteReference w:id="1"/>
      </w:r>
      <w:r w:rsidR="00A360BB">
        <w:rPr>
          <w:rFonts w:ascii="Times New Roman" w:hAnsi="Times New Roman" w:cs="Times New Roman"/>
          <w:sz w:val="24"/>
          <w:szCs w:val="24"/>
        </w:rPr>
        <w:t xml:space="preserve"> </w:t>
      </w:r>
      <w:r w:rsidR="00F62748">
        <w:rPr>
          <w:rFonts w:ascii="Times New Roman" w:hAnsi="Times New Roman" w:cs="Times New Roman"/>
          <w:sz w:val="24"/>
          <w:szCs w:val="24"/>
        </w:rPr>
        <w:t>In this instance, the signs</w:t>
      </w:r>
      <w:r w:rsidR="004C3B8D">
        <w:rPr>
          <w:rFonts w:ascii="Times New Roman" w:hAnsi="Times New Roman" w:cs="Times New Roman"/>
          <w:sz w:val="24"/>
          <w:szCs w:val="24"/>
        </w:rPr>
        <w:t>, made up of three dots in a triangular formation,</w:t>
      </w:r>
      <w:r w:rsidR="00F62748">
        <w:rPr>
          <w:rFonts w:ascii="Times New Roman" w:hAnsi="Times New Roman" w:cs="Times New Roman"/>
          <w:sz w:val="24"/>
          <w:szCs w:val="24"/>
        </w:rPr>
        <w:t xml:space="preserve"> indicate a point of </w:t>
      </w:r>
      <w:r w:rsidR="004C3B8D">
        <w:rPr>
          <w:rFonts w:ascii="Times New Roman" w:hAnsi="Times New Roman" w:cs="Times New Roman"/>
          <w:sz w:val="24"/>
          <w:szCs w:val="24"/>
        </w:rPr>
        <w:t>congruence</w:t>
      </w:r>
      <w:r w:rsidR="00F62748">
        <w:rPr>
          <w:rFonts w:ascii="Times New Roman" w:hAnsi="Times New Roman" w:cs="Times New Roman"/>
          <w:sz w:val="24"/>
          <w:szCs w:val="24"/>
        </w:rPr>
        <w:t xml:space="preserve"> between these </w:t>
      </w:r>
      <w:r w:rsidR="00F62748">
        <w:rPr>
          <w:rFonts w:ascii="Times New Roman" w:hAnsi="Times New Roman" w:cs="Times New Roman"/>
          <w:sz w:val="24"/>
          <w:szCs w:val="24"/>
        </w:rPr>
        <w:lastRenderedPageBreak/>
        <w:t>two voices</w:t>
      </w:r>
      <w:r w:rsidR="004C3B8D">
        <w:rPr>
          <w:rFonts w:ascii="Times New Roman" w:hAnsi="Times New Roman" w:cs="Times New Roman"/>
          <w:sz w:val="24"/>
          <w:szCs w:val="24"/>
        </w:rPr>
        <w:t>. These</w:t>
      </w:r>
      <w:r w:rsidR="00F62748">
        <w:rPr>
          <w:rFonts w:ascii="Times New Roman" w:hAnsi="Times New Roman" w:cs="Times New Roman"/>
          <w:sz w:val="24"/>
          <w:szCs w:val="24"/>
        </w:rPr>
        <w:t xml:space="preserve"> are placed at the end of the opening phrase of this piece</w:t>
      </w:r>
      <w:r w:rsidR="009E5964">
        <w:rPr>
          <w:rFonts w:ascii="Times New Roman" w:hAnsi="Times New Roman" w:cs="Times New Roman"/>
          <w:sz w:val="24"/>
          <w:szCs w:val="24"/>
        </w:rPr>
        <w:t>, creating a visual signifier for a structural marker in this piece</w:t>
      </w:r>
      <w:r w:rsidR="00F62748">
        <w:rPr>
          <w:rFonts w:ascii="Times New Roman" w:hAnsi="Times New Roman" w:cs="Times New Roman"/>
          <w:sz w:val="24"/>
          <w:szCs w:val="24"/>
        </w:rPr>
        <w:t xml:space="preserve">. </w:t>
      </w:r>
      <w:r w:rsidR="004C3B8D" w:rsidRPr="00A360BB">
        <w:rPr>
          <w:rFonts w:ascii="Times New Roman" w:hAnsi="Times New Roman" w:cs="Times New Roman"/>
          <w:sz w:val="24"/>
          <w:szCs w:val="24"/>
        </w:rPr>
        <w:t>GB-Ob MS. Canon. Misc. 213</w:t>
      </w:r>
      <w:r w:rsidR="004C3B8D">
        <w:rPr>
          <w:rFonts w:ascii="Times New Roman" w:hAnsi="Times New Roman" w:cs="Times New Roman"/>
          <w:sz w:val="24"/>
          <w:szCs w:val="24"/>
        </w:rPr>
        <w:t xml:space="preserve"> is certainly not the first sou</w:t>
      </w:r>
      <w:r w:rsidR="00D4602A">
        <w:rPr>
          <w:rFonts w:ascii="Times New Roman" w:hAnsi="Times New Roman" w:cs="Times New Roman"/>
          <w:sz w:val="24"/>
          <w:szCs w:val="24"/>
        </w:rPr>
        <w:t xml:space="preserve">rce to make use of such symbols but provides ample </w:t>
      </w:r>
      <w:r w:rsidR="007A50EF">
        <w:rPr>
          <w:rFonts w:ascii="Times New Roman" w:hAnsi="Times New Roman" w:cs="Times New Roman"/>
          <w:sz w:val="24"/>
          <w:szCs w:val="24"/>
        </w:rPr>
        <w:t xml:space="preserve">introductory </w:t>
      </w:r>
      <w:r w:rsidR="00D4602A">
        <w:rPr>
          <w:rFonts w:ascii="Times New Roman" w:hAnsi="Times New Roman" w:cs="Times New Roman"/>
          <w:sz w:val="24"/>
          <w:szCs w:val="24"/>
        </w:rPr>
        <w:t xml:space="preserve">demonstration </w:t>
      </w:r>
      <w:r w:rsidR="004C3B8D">
        <w:rPr>
          <w:rFonts w:ascii="Times New Roman" w:hAnsi="Times New Roman" w:cs="Times New Roman"/>
          <w:sz w:val="24"/>
          <w:szCs w:val="24"/>
        </w:rPr>
        <w:t xml:space="preserve">that </w:t>
      </w:r>
      <w:r w:rsidR="00E34077">
        <w:rPr>
          <w:rFonts w:ascii="Times New Roman" w:hAnsi="Times New Roman" w:cs="Times New Roman"/>
          <w:sz w:val="24"/>
          <w:szCs w:val="24"/>
        </w:rPr>
        <w:t>these</w:t>
      </w:r>
      <w:r w:rsidR="004C3B8D">
        <w:rPr>
          <w:rFonts w:ascii="Times New Roman" w:hAnsi="Times New Roman" w:cs="Times New Roman"/>
          <w:sz w:val="24"/>
          <w:szCs w:val="24"/>
        </w:rPr>
        <w:t xml:space="preserve"> were </w:t>
      </w:r>
      <w:r w:rsidR="007A50EF">
        <w:rPr>
          <w:rFonts w:ascii="Times New Roman" w:hAnsi="Times New Roman" w:cs="Times New Roman"/>
          <w:sz w:val="24"/>
          <w:szCs w:val="24"/>
        </w:rPr>
        <w:t>common in</w:t>
      </w:r>
      <w:r w:rsidR="004C3B8D">
        <w:rPr>
          <w:rFonts w:ascii="Times New Roman" w:hAnsi="Times New Roman" w:cs="Times New Roman"/>
          <w:sz w:val="24"/>
          <w:szCs w:val="24"/>
        </w:rPr>
        <w:t xml:space="preserve"> mensural notation from at least the generation before Tinctoris.</w:t>
      </w:r>
    </w:p>
    <w:p w14:paraId="137AA82A" w14:textId="07DBFF2C" w:rsidR="006B6B9F" w:rsidRDefault="00F62748" w:rsidP="00B95F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Moving forward some forty or fifty years to Tinctoris’s own circle, it is interesting to note the appearance of these signs in the Mellon Chansonnier,</w:t>
      </w:r>
      <w:r w:rsidR="00912C8A">
        <w:rPr>
          <w:rFonts w:ascii="Times New Roman" w:hAnsi="Times New Roman" w:cs="Times New Roman"/>
          <w:sz w:val="24"/>
          <w:szCs w:val="24"/>
        </w:rPr>
        <w:t xml:space="preserve"> a source with which Tinctoris may have been involved in some kind of editorial capacity.</w:t>
      </w:r>
      <w:r>
        <w:rPr>
          <w:rStyle w:val="FootnoteReference"/>
          <w:rFonts w:ascii="Times New Roman" w:hAnsi="Times New Roman" w:cs="Times New Roman"/>
          <w:sz w:val="24"/>
          <w:szCs w:val="24"/>
        </w:rPr>
        <w:footnoteReference w:id="2"/>
      </w:r>
      <w:r w:rsidR="004C3B8D">
        <w:rPr>
          <w:rFonts w:ascii="Times New Roman" w:hAnsi="Times New Roman" w:cs="Times New Roman"/>
          <w:sz w:val="24"/>
          <w:szCs w:val="24"/>
        </w:rPr>
        <w:t xml:space="preserve"> The sign appears in numerous pieces</w:t>
      </w:r>
      <w:r w:rsidR="00AB1B08">
        <w:rPr>
          <w:rFonts w:ascii="Times New Roman" w:hAnsi="Times New Roman" w:cs="Times New Roman"/>
          <w:sz w:val="24"/>
          <w:szCs w:val="24"/>
        </w:rPr>
        <w:t xml:space="preserve"> across the manuscript</w:t>
      </w:r>
      <w:r w:rsidR="004C3B8D">
        <w:rPr>
          <w:rFonts w:ascii="Times New Roman" w:hAnsi="Times New Roman" w:cs="Times New Roman"/>
          <w:sz w:val="24"/>
          <w:szCs w:val="24"/>
        </w:rPr>
        <w:t>, almost always at the end of sections. It is used to indicate points of congruence</w:t>
      </w:r>
      <w:r w:rsidR="008A535A">
        <w:rPr>
          <w:rFonts w:ascii="Times New Roman" w:hAnsi="Times New Roman" w:cs="Times New Roman"/>
          <w:sz w:val="24"/>
          <w:szCs w:val="24"/>
        </w:rPr>
        <w:t xml:space="preserve">, usually followed by a short rest, or to indicate second endings in pieces, much like the examples discussed later in this article from </w:t>
      </w:r>
      <w:r w:rsidR="008A535A" w:rsidRPr="002B630E">
        <w:rPr>
          <w:rFonts w:ascii="Times New Roman" w:hAnsi="Times New Roman" w:cs="Times New Roman"/>
          <w:sz w:val="24"/>
          <w:szCs w:val="24"/>
        </w:rPr>
        <w:t xml:space="preserve">Paris, Bibliothèque nationale fonds français </w:t>
      </w:r>
      <w:r w:rsidR="00F052B9">
        <w:rPr>
          <w:rFonts w:ascii="Times New Roman" w:hAnsi="Times New Roman" w:cs="Times New Roman"/>
          <w:sz w:val="24"/>
          <w:szCs w:val="24"/>
        </w:rPr>
        <w:t xml:space="preserve">MS </w:t>
      </w:r>
      <w:r w:rsidR="008A535A" w:rsidRPr="002B630E">
        <w:rPr>
          <w:rFonts w:ascii="Times New Roman" w:hAnsi="Times New Roman" w:cs="Times New Roman"/>
          <w:sz w:val="24"/>
          <w:szCs w:val="24"/>
        </w:rPr>
        <w:t>12744 and Paris, Bibliothèque nationale fonds français</w:t>
      </w:r>
      <w:r w:rsidR="00F052B9">
        <w:rPr>
          <w:rFonts w:ascii="Times New Roman" w:hAnsi="Times New Roman" w:cs="Times New Roman"/>
          <w:sz w:val="24"/>
          <w:szCs w:val="24"/>
        </w:rPr>
        <w:t xml:space="preserve"> MS</w:t>
      </w:r>
      <w:r w:rsidR="008A535A" w:rsidRPr="002B630E">
        <w:rPr>
          <w:rFonts w:ascii="Times New Roman" w:hAnsi="Times New Roman" w:cs="Times New Roman"/>
          <w:sz w:val="24"/>
          <w:szCs w:val="24"/>
        </w:rPr>
        <w:t xml:space="preserve"> 9346</w:t>
      </w:r>
      <w:r w:rsidR="008A535A">
        <w:rPr>
          <w:rFonts w:ascii="Times New Roman" w:hAnsi="Times New Roman" w:cs="Times New Roman"/>
          <w:sz w:val="24"/>
          <w:szCs w:val="24"/>
        </w:rPr>
        <w:t>.</w:t>
      </w:r>
      <w:r w:rsidR="00DF5324">
        <w:rPr>
          <w:rStyle w:val="FootnoteReference"/>
          <w:rFonts w:ascii="Times New Roman" w:hAnsi="Times New Roman" w:cs="Times New Roman"/>
          <w:sz w:val="24"/>
          <w:szCs w:val="24"/>
        </w:rPr>
        <w:footnoteReference w:id="3"/>
      </w:r>
      <w:r w:rsidR="008A535A">
        <w:rPr>
          <w:rFonts w:ascii="Times New Roman" w:hAnsi="Times New Roman" w:cs="Times New Roman"/>
          <w:sz w:val="24"/>
          <w:szCs w:val="24"/>
        </w:rPr>
        <w:t xml:space="preserve"> In most cases, these signs are followed by a short rest, a feature which holds some theoretical links to discussions of these signs</w:t>
      </w:r>
      <w:r w:rsidR="00B502CD">
        <w:rPr>
          <w:rFonts w:ascii="Times New Roman" w:hAnsi="Times New Roman" w:cs="Times New Roman"/>
          <w:sz w:val="24"/>
          <w:szCs w:val="24"/>
        </w:rPr>
        <w:t>, as will become clear shortly</w:t>
      </w:r>
      <w:r w:rsidR="008A535A">
        <w:rPr>
          <w:rFonts w:ascii="Times New Roman" w:hAnsi="Times New Roman" w:cs="Times New Roman"/>
          <w:sz w:val="24"/>
          <w:szCs w:val="24"/>
        </w:rPr>
        <w:t xml:space="preserve">. </w:t>
      </w:r>
    </w:p>
    <w:p w14:paraId="5C3E6336" w14:textId="0F387283" w:rsidR="00D942B0" w:rsidRPr="002B630E" w:rsidRDefault="005149C3" w:rsidP="00B95FCD">
      <w:pPr>
        <w:spacing w:line="480" w:lineRule="auto"/>
        <w:ind w:firstLine="720"/>
        <w:jc w:val="both"/>
        <w:rPr>
          <w:rFonts w:ascii="Times New Roman" w:hAnsi="Times New Roman" w:cs="Times New Roman"/>
          <w:sz w:val="24"/>
          <w:szCs w:val="24"/>
        </w:rPr>
      </w:pPr>
      <w:r w:rsidRPr="002B630E">
        <w:rPr>
          <w:rFonts w:ascii="Times New Roman" w:hAnsi="Times New Roman" w:cs="Times New Roman"/>
          <w:sz w:val="24"/>
          <w:szCs w:val="24"/>
        </w:rPr>
        <w:t xml:space="preserve">Although this sign appears with </w:t>
      </w:r>
      <w:r w:rsidR="00B502CD">
        <w:rPr>
          <w:rFonts w:ascii="Times New Roman" w:hAnsi="Times New Roman" w:cs="Times New Roman"/>
          <w:sz w:val="24"/>
          <w:szCs w:val="24"/>
        </w:rPr>
        <w:t>relative</w:t>
      </w:r>
      <w:r w:rsidR="00B502CD" w:rsidRPr="002B630E">
        <w:rPr>
          <w:rFonts w:ascii="Times New Roman" w:hAnsi="Times New Roman" w:cs="Times New Roman"/>
          <w:sz w:val="24"/>
          <w:szCs w:val="24"/>
        </w:rPr>
        <w:t xml:space="preserve"> </w:t>
      </w:r>
      <w:r w:rsidRPr="002B630E">
        <w:rPr>
          <w:rFonts w:ascii="Times New Roman" w:hAnsi="Times New Roman" w:cs="Times New Roman"/>
          <w:sz w:val="24"/>
          <w:szCs w:val="24"/>
        </w:rPr>
        <w:t xml:space="preserve">frequency in practical musical sources </w:t>
      </w:r>
      <w:r w:rsidR="00AB1B08">
        <w:rPr>
          <w:rFonts w:ascii="Times New Roman" w:hAnsi="Times New Roman" w:cs="Times New Roman"/>
          <w:sz w:val="24"/>
          <w:szCs w:val="24"/>
        </w:rPr>
        <w:t xml:space="preserve">and, by implication, without explanation, </w:t>
      </w:r>
      <w:r w:rsidRPr="002B630E">
        <w:rPr>
          <w:rFonts w:ascii="Times New Roman" w:hAnsi="Times New Roman" w:cs="Times New Roman"/>
          <w:sz w:val="24"/>
          <w:szCs w:val="24"/>
        </w:rPr>
        <w:t xml:space="preserve">few theoretical works mention </w:t>
      </w:r>
      <w:r w:rsidR="00172F50" w:rsidRPr="002B630E">
        <w:rPr>
          <w:rFonts w:ascii="Times New Roman" w:hAnsi="Times New Roman" w:cs="Times New Roman"/>
          <w:sz w:val="24"/>
          <w:szCs w:val="24"/>
        </w:rPr>
        <w:t xml:space="preserve">or describe </w:t>
      </w:r>
      <w:r w:rsidRPr="002B630E">
        <w:rPr>
          <w:rFonts w:ascii="Times New Roman" w:hAnsi="Times New Roman" w:cs="Times New Roman"/>
          <w:sz w:val="24"/>
          <w:szCs w:val="24"/>
        </w:rPr>
        <w:t>it</w:t>
      </w:r>
      <w:r w:rsidR="00172F50" w:rsidRPr="002B630E">
        <w:rPr>
          <w:rFonts w:ascii="Times New Roman" w:hAnsi="Times New Roman" w:cs="Times New Roman"/>
          <w:sz w:val="24"/>
          <w:szCs w:val="24"/>
        </w:rPr>
        <w:t xml:space="preserve"> in any real detail. </w:t>
      </w:r>
      <w:r w:rsidR="00D942B0" w:rsidRPr="002B630E">
        <w:rPr>
          <w:rFonts w:ascii="Times New Roman" w:hAnsi="Times New Roman" w:cs="Times New Roman"/>
          <w:sz w:val="24"/>
          <w:szCs w:val="24"/>
        </w:rPr>
        <w:t>T</w:t>
      </w:r>
      <w:r w:rsidR="00D53D6D" w:rsidRPr="002B630E">
        <w:rPr>
          <w:rFonts w:ascii="Times New Roman" w:hAnsi="Times New Roman" w:cs="Times New Roman"/>
          <w:sz w:val="24"/>
          <w:szCs w:val="24"/>
        </w:rPr>
        <w:t>he term ‘</w:t>
      </w:r>
      <w:r w:rsidR="00D53D6D" w:rsidRPr="002B630E">
        <w:rPr>
          <w:rFonts w:ascii="Times New Roman" w:hAnsi="Times New Roman" w:cs="Times New Roman"/>
          <w:i/>
          <w:sz w:val="24"/>
          <w:szCs w:val="24"/>
        </w:rPr>
        <w:t>signa congruentiae</w:t>
      </w:r>
      <w:r w:rsidR="00D53D6D" w:rsidRPr="002B630E">
        <w:rPr>
          <w:rFonts w:ascii="Times New Roman" w:hAnsi="Times New Roman" w:cs="Times New Roman"/>
          <w:sz w:val="24"/>
          <w:szCs w:val="24"/>
        </w:rPr>
        <w:t>’</w:t>
      </w:r>
      <w:r w:rsidR="00D942B0" w:rsidRPr="002B630E">
        <w:rPr>
          <w:rFonts w:ascii="Times New Roman" w:hAnsi="Times New Roman" w:cs="Times New Roman"/>
          <w:sz w:val="24"/>
          <w:szCs w:val="24"/>
        </w:rPr>
        <w:t>, and close relations,</w:t>
      </w:r>
      <w:r w:rsidR="00D53D6D" w:rsidRPr="002B630E">
        <w:rPr>
          <w:rFonts w:ascii="Times New Roman" w:hAnsi="Times New Roman" w:cs="Times New Roman"/>
          <w:sz w:val="24"/>
          <w:szCs w:val="24"/>
        </w:rPr>
        <w:t xml:space="preserve"> appears</w:t>
      </w:r>
      <w:r w:rsidR="001B232C" w:rsidRPr="002B630E">
        <w:rPr>
          <w:rFonts w:ascii="Times New Roman" w:hAnsi="Times New Roman" w:cs="Times New Roman"/>
          <w:sz w:val="24"/>
          <w:szCs w:val="24"/>
        </w:rPr>
        <w:t xml:space="preserve"> in </w:t>
      </w:r>
      <w:r w:rsidR="0044285D" w:rsidRPr="002B630E">
        <w:rPr>
          <w:rFonts w:ascii="Times New Roman" w:hAnsi="Times New Roman" w:cs="Times New Roman"/>
          <w:sz w:val="24"/>
          <w:szCs w:val="24"/>
        </w:rPr>
        <w:t xml:space="preserve">only three </w:t>
      </w:r>
      <w:r w:rsidR="001B232C" w:rsidRPr="002B630E">
        <w:rPr>
          <w:rFonts w:ascii="Times New Roman" w:hAnsi="Times New Roman" w:cs="Times New Roman"/>
          <w:sz w:val="24"/>
          <w:szCs w:val="24"/>
        </w:rPr>
        <w:t>theoretical treatises</w:t>
      </w:r>
      <w:r w:rsidR="000B1D6B" w:rsidRPr="002B630E">
        <w:rPr>
          <w:rFonts w:ascii="Times New Roman" w:hAnsi="Times New Roman" w:cs="Times New Roman"/>
          <w:sz w:val="24"/>
          <w:szCs w:val="24"/>
        </w:rPr>
        <w:t xml:space="preserve">, </w:t>
      </w:r>
      <w:r w:rsidR="00C87FAF">
        <w:rPr>
          <w:rFonts w:ascii="Times New Roman" w:hAnsi="Times New Roman" w:cs="Times New Roman"/>
          <w:sz w:val="24"/>
          <w:szCs w:val="24"/>
        </w:rPr>
        <w:t>all of which date from the mid to late fifteenth-century</w:t>
      </w:r>
      <w:r w:rsidR="002A3442">
        <w:rPr>
          <w:rFonts w:ascii="Times New Roman" w:hAnsi="Times New Roman" w:cs="Times New Roman"/>
          <w:sz w:val="24"/>
          <w:szCs w:val="24"/>
        </w:rPr>
        <w:t>.</w:t>
      </w:r>
      <w:r w:rsidR="00C87FAF">
        <w:rPr>
          <w:rFonts w:ascii="Times New Roman" w:hAnsi="Times New Roman" w:cs="Times New Roman"/>
          <w:sz w:val="24"/>
          <w:szCs w:val="24"/>
        </w:rPr>
        <w:t xml:space="preserve"> </w:t>
      </w:r>
      <w:r w:rsidR="002A3442">
        <w:rPr>
          <w:rFonts w:ascii="Times New Roman" w:hAnsi="Times New Roman" w:cs="Times New Roman"/>
          <w:sz w:val="24"/>
          <w:szCs w:val="24"/>
        </w:rPr>
        <w:t xml:space="preserve">It is significant that </w:t>
      </w:r>
      <w:r w:rsidR="005402C8" w:rsidRPr="002B630E">
        <w:rPr>
          <w:rFonts w:ascii="Times New Roman" w:hAnsi="Times New Roman" w:cs="Times New Roman"/>
          <w:sz w:val="24"/>
          <w:szCs w:val="24"/>
        </w:rPr>
        <w:t xml:space="preserve">none of </w:t>
      </w:r>
      <w:r w:rsidR="002A3442">
        <w:rPr>
          <w:rFonts w:ascii="Times New Roman" w:hAnsi="Times New Roman" w:cs="Times New Roman"/>
          <w:sz w:val="24"/>
          <w:szCs w:val="24"/>
        </w:rPr>
        <w:t>these texts</w:t>
      </w:r>
      <w:r w:rsidR="002A3442" w:rsidRPr="002B630E">
        <w:rPr>
          <w:rFonts w:ascii="Times New Roman" w:hAnsi="Times New Roman" w:cs="Times New Roman"/>
          <w:sz w:val="24"/>
          <w:szCs w:val="24"/>
        </w:rPr>
        <w:t xml:space="preserve"> </w:t>
      </w:r>
      <w:r w:rsidRPr="002B630E">
        <w:rPr>
          <w:rFonts w:ascii="Times New Roman" w:hAnsi="Times New Roman" w:cs="Times New Roman"/>
          <w:sz w:val="24"/>
          <w:szCs w:val="24"/>
        </w:rPr>
        <w:lastRenderedPageBreak/>
        <w:t>had particularly widespread circulation</w:t>
      </w:r>
      <w:r w:rsidR="000B1D6B" w:rsidRPr="002B630E">
        <w:rPr>
          <w:rFonts w:ascii="Times New Roman" w:hAnsi="Times New Roman" w:cs="Times New Roman"/>
          <w:sz w:val="24"/>
          <w:szCs w:val="24"/>
        </w:rPr>
        <w:t xml:space="preserve"> if the surviving sources are taken as an indicator of dissemination. </w:t>
      </w:r>
      <w:r w:rsidR="00780588" w:rsidRPr="002B630E">
        <w:rPr>
          <w:rFonts w:ascii="Times New Roman" w:hAnsi="Times New Roman" w:cs="Times New Roman"/>
          <w:sz w:val="24"/>
          <w:szCs w:val="24"/>
        </w:rPr>
        <w:t>The definitions found in these treatises are also highly ambiguous and</w:t>
      </w:r>
      <w:r w:rsidR="003B0E1E" w:rsidRPr="002B630E">
        <w:rPr>
          <w:rFonts w:ascii="Times New Roman" w:hAnsi="Times New Roman" w:cs="Times New Roman"/>
          <w:sz w:val="24"/>
          <w:szCs w:val="24"/>
        </w:rPr>
        <w:t xml:space="preserve">, in some senses, </w:t>
      </w:r>
      <w:r w:rsidR="00780588" w:rsidRPr="002B630E">
        <w:rPr>
          <w:rFonts w:ascii="Times New Roman" w:hAnsi="Times New Roman" w:cs="Times New Roman"/>
          <w:sz w:val="24"/>
          <w:szCs w:val="24"/>
        </w:rPr>
        <w:t xml:space="preserve">raise </w:t>
      </w:r>
      <w:r w:rsidR="003B0E1E" w:rsidRPr="002B630E">
        <w:rPr>
          <w:rFonts w:ascii="Times New Roman" w:hAnsi="Times New Roman" w:cs="Times New Roman"/>
          <w:sz w:val="24"/>
          <w:szCs w:val="24"/>
        </w:rPr>
        <w:t>more questions than they answer</w:t>
      </w:r>
      <w:r w:rsidR="00780588" w:rsidRPr="002B630E">
        <w:rPr>
          <w:rFonts w:ascii="Times New Roman" w:hAnsi="Times New Roman" w:cs="Times New Roman"/>
          <w:sz w:val="24"/>
          <w:szCs w:val="24"/>
        </w:rPr>
        <w:t xml:space="preserve">. </w:t>
      </w:r>
      <w:r w:rsidR="00D942B0" w:rsidRPr="002B630E">
        <w:rPr>
          <w:rFonts w:ascii="Times New Roman" w:hAnsi="Times New Roman" w:cs="Times New Roman"/>
          <w:sz w:val="24"/>
          <w:szCs w:val="24"/>
        </w:rPr>
        <w:t>Thus, the term</w:t>
      </w:r>
      <w:r w:rsidR="00B502CD">
        <w:rPr>
          <w:rFonts w:ascii="Times New Roman" w:hAnsi="Times New Roman" w:cs="Times New Roman"/>
          <w:sz w:val="24"/>
          <w:szCs w:val="24"/>
        </w:rPr>
        <w:t>, if not the symbol,</w:t>
      </w:r>
      <w:r w:rsidR="00D942B0" w:rsidRPr="002B630E">
        <w:rPr>
          <w:rFonts w:ascii="Times New Roman" w:hAnsi="Times New Roman" w:cs="Times New Roman"/>
          <w:sz w:val="24"/>
          <w:szCs w:val="24"/>
        </w:rPr>
        <w:t xml:space="preserve"> is far from a contemporary commonplace and should perhaps be accepted more cautiously given its rather limited historical justification. </w:t>
      </w:r>
      <w:r w:rsidR="007A20DC">
        <w:rPr>
          <w:rFonts w:ascii="Times New Roman" w:hAnsi="Times New Roman" w:cs="Times New Roman"/>
          <w:sz w:val="24"/>
          <w:szCs w:val="24"/>
        </w:rPr>
        <w:t>The three definitions</w:t>
      </w:r>
      <w:r w:rsidR="007C60C7">
        <w:rPr>
          <w:rFonts w:ascii="Times New Roman" w:hAnsi="Times New Roman" w:cs="Times New Roman"/>
          <w:sz w:val="24"/>
          <w:szCs w:val="24"/>
        </w:rPr>
        <w:t>, and their compatability with modern-day assumptions about these markings,</w:t>
      </w:r>
      <w:r w:rsidR="007A20DC">
        <w:rPr>
          <w:rFonts w:ascii="Times New Roman" w:hAnsi="Times New Roman" w:cs="Times New Roman"/>
          <w:sz w:val="24"/>
          <w:szCs w:val="24"/>
        </w:rPr>
        <w:t xml:space="preserve"> will now be explored. </w:t>
      </w:r>
    </w:p>
    <w:p w14:paraId="056E8AE5" w14:textId="490DEE50" w:rsidR="003834BC" w:rsidRPr="002B630E" w:rsidRDefault="003B0E1E" w:rsidP="00B95FCD">
      <w:pPr>
        <w:spacing w:line="480" w:lineRule="auto"/>
        <w:ind w:firstLine="720"/>
        <w:jc w:val="both"/>
        <w:rPr>
          <w:rFonts w:ascii="Times New Roman" w:hAnsi="Times New Roman" w:cs="Times New Roman"/>
          <w:sz w:val="24"/>
          <w:szCs w:val="24"/>
        </w:rPr>
      </w:pPr>
      <w:r w:rsidRPr="002B630E">
        <w:rPr>
          <w:rFonts w:ascii="Times New Roman" w:hAnsi="Times New Roman" w:cs="Times New Roman"/>
          <w:sz w:val="24"/>
          <w:szCs w:val="24"/>
        </w:rPr>
        <w:t>One of the treatises to</w:t>
      </w:r>
      <w:r w:rsidR="000B1D6B" w:rsidRPr="002B630E">
        <w:rPr>
          <w:rFonts w:ascii="Times New Roman" w:hAnsi="Times New Roman" w:cs="Times New Roman"/>
          <w:sz w:val="24"/>
          <w:szCs w:val="24"/>
        </w:rPr>
        <w:t xml:space="preserve"> include </w:t>
      </w:r>
      <w:r w:rsidRPr="002B630E">
        <w:rPr>
          <w:rFonts w:ascii="Times New Roman" w:hAnsi="Times New Roman" w:cs="Times New Roman"/>
          <w:sz w:val="24"/>
          <w:szCs w:val="24"/>
        </w:rPr>
        <w:t xml:space="preserve">a definition of this sign is </w:t>
      </w:r>
      <w:r w:rsidR="000B1D6B" w:rsidRPr="002B630E">
        <w:rPr>
          <w:rFonts w:ascii="Times New Roman" w:hAnsi="Times New Roman" w:cs="Times New Roman"/>
          <w:sz w:val="24"/>
          <w:szCs w:val="24"/>
        </w:rPr>
        <w:t xml:space="preserve">the </w:t>
      </w:r>
      <w:r w:rsidR="000C312E" w:rsidRPr="002B630E">
        <w:rPr>
          <w:rFonts w:ascii="Times New Roman" w:hAnsi="Times New Roman" w:cs="Times New Roman"/>
          <w:i/>
          <w:sz w:val="24"/>
          <w:szCs w:val="24"/>
        </w:rPr>
        <w:t>Tractatus et compendium cantus figurati</w:t>
      </w:r>
      <w:r w:rsidR="000E3771" w:rsidRPr="002B630E">
        <w:rPr>
          <w:rFonts w:ascii="Times New Roman" w:hAnsi="Times New Roman" w:cs="Times New Roman"/>
          <w:sz w:val="24"/>
          <w:szCs w:val="24"/>
        </w:rPr>
        <w:t xml:space="preserve"> by Coussemaker’s Anonymous XII</w:t>
      </w:r>
      <w:r w:rsidR="003D4B9F">
        <w:rPr>
          <w:rFonts w:ascii="Times New Roman" w:hAnsi="Times New Roman" w:cs="Times New Roman"/>
          <w:sz w:val="24"/>
          <w:szCs w:val="24"/>
        </w:rPr>
        <w:t xml:space="preserve"> (c. 1460–1471), a treatise known for its introduction of new reduced note value terminology that remained in use in Germany throughout the sixteenth century</w:t>
      </w:r>
      <w:r w:rsidR="00DB5FB2" w:rsidRPr="002B630E">
        <w:rPr>
          <w:rFonts w:ascii="Times New Roman" w:hAnsi="Times New Roman" w:cs="Times New Roman"/>
          <w:sz w:val="24"/>
          <w:szCs w:val="24"/>
        </w:rPr>
        <w:t>.</w:t>
      </w:r>
      <w:r w:rsidR="003D4B9F">
        <w:rPr>
          <w:rStyle w:val="FootnoteReference"/>
          <w:rFonts w:ascii="Times New Roman" w:hAnsi="Times New Roman" w:cs="Times New Roman"/>
          <w:sz w:val="24"/>
          <w:szCs w:val="24"/>
        </w:rPr>
        <w:footnoteReference w:id="4"/>
      </w:r>
      <w:r w:rsidR="00DB5FB2" w:rsidRPr="002B630E">
        <w:rPr>
          <w:rFonts w:ascii="Times New Roman" w:hAnsi="Times New Roman" w:cs="Times New Roman"/>
          <w:sz w:val="24"/>
          <w:szCs w:val="24"/>
        </w:rPr>
        <w:t xml:space="preserve"> </w:t>
      </w:r>
      <w:r w:rsidR="00474A21">
        <w:rPr>
          <w:rFonts w:ascii="Times New Roman" w:hAnsi="Times New Roman" w:cs="Times New Roman"/>
          <w:sz w:val="24"/>
          <w:szCs w:val="24"/>
        </w:rPr>
        <w:t>The treatise is somewhat geographically distant from Tinctoris’s theoretical spheres of influence</w:t>
      </w:r>
      <w:r w:rsidR="00007A73">
        <w:rPr>
          <w:rFonts w:ascii="Times New Roman" w:hAnsi="Times New Roman" w:cs="Times New Roman"/>
          <w:sz w:val="24"/>
          <w:szCs w:val="24"/>
        </w:rPr>
        <w:t xml:space="preserve"> and it seems unlikely he knew its contents</w:t>
      </w:r>
      <w:r w:rsidR="00474A21">
        <w:rPr>
          <w:rFonts w:ascii="Times New Roman" w:hAnsi="Times New Roman" w:cs="Times New Roman"/>
          <w:sz w:val="24"/>
          <w:szCs w:val="24"/>
        </w:rPr>
        <w:t xml:space="preserve">, </w:t>
      </w:r>
      <w:r w:rsidR="00007A73">
        <w:rPr>
          <w:rFonts w:ascii="Times New Roman" w:hAnsi="Times New Roman" w:cs="Times New Roman"/>
          <w:sz w:val="24"/>
          <w:szCs w:val="24"/>
        </w:rPr>
        <w:t>even though it is</w:t>
      </w:r>
      <w:r w:rsidR="00474A21">
        <w:rPr>
          <w:rFonts w:ascii="Times New Roman" w:hAnsi="Times New Roman" w:cs="Times New Roman"/>
          <w:sz w:val="24"/>
          <w:szCs w:val="24"/>
        </w:rPr>
        <w:t xml:space="preserve"> contemporaneous with the composition of his texts. </w:t>
      </w:r>
      <w:r w:rsidR="00DF5324">
        <w:rPr>
          <w:rFonts w:ascii="Times New Roman" w:hAnsi="Times New Roman" w:cs="Times New Roman"/>
          <w:sz w:val="24"/>
          <w:szCs w:val="24"/>
        </w:rPr>
        <w:t>At the end of</w:t>
      </w:r>
      <w:r w:rsidR="00B502CD">
        <w:rPr>
          <w:rFonts w:ascii="Times New Roman" w:hAnsi="Times New Roman" w:cs="Times New Roman"/>
          <w:sz w:val="24"/>
          <w:szCs w:val="24"/>
        </w:rPr>
        <w:t xml:space="preserve"> a list </w:t>
      </w:r>
      <w:r w:rsidR="00BA3D9D">
        <w:rPr>
          <w:rFonts w:ascii="Times New Roman" w:hAnsi="Times New Roman" w:cs="Times New Roman"/>
          <w:sz w:val="24"/>
          <w:szCs w:val="24"/>
        </w:rPr>
        <w:t>of musical signs—</w:t>
      </w:r>
      <w:r w:rsidR="00857A42">
        <w:rPr>
          <w:rFonts w:ascii="Times New Roman" w:hAnsi="Times New Roman" w:cs="Times New Roman"/>
          <w:sz w:val="24"/>
          <w:szCs w:val="24"/>
        </w:rPr>
        <w:t xml:space="preserve">including </w:t>
      </w:r>
      <w:r w:rsidR="00BA3D9D">
        <w:rPr>
          <w:rFonts w:ascii="Times New Roman" w:hAnsi="Times New Roman" w:cs="Times New Roman"/>
          <w:sz w:val="24"/>
          <w:szCs w:val="24"/>
        </w:rPr>
        <w:t xml:space="preserve">those indicating </w:t>
      </w:r>
      <w:r w:rsidR="00857A42">
        <w:rPr>
          <w:rFonts w:ascii="Times New Roman" w:hAnsi="Times New Roman" w:cs="Times New Roman"/>
          <w:sz w:val="24"/>
          <w:szCs w:val="24"/>
        </w:rPr>
        <w:t>mensuration and prolation</w:t>
      </w:r>
      <w:r w:rsidR="00BA3D9D">
        <w:rPr>
          <w:rFonts w:ascii="Times New Roman" w:hAnsi="Times New Roman" w:cs="Times New Roman"/>
          <w:sz w:val="24"/>
          <w:szCs w:val="24"/>
        </w:rPr>
        <w:t xml:space="preserve">, and those described as </w:t>
      </w:r>
      <w:r w:rsidR="00BA3D9D">
        <w:rPr>
          <w:rFonts w:ascii="Times New Roman" w:hAnsi="Times New Roman" w:cs="Times New Roman"/>
          <w:i/>
          <w:sz w:val="24"/>
          <w:szCs w:val="24"/>
        </w:rPr>
        <w:t xml:space="preserve">signum aspirationis </w:t>
      </w:r>
      <w:r w:rsidR="00BA3D9D">
        <w:rPr>
          <w:rFonts w:ascii="Times New Roman" w:hAnsi="Times New Roman" w:cs="Times New Roman"/>
          <w:sz w:val="24"/>
          <w:szCs w:val="24"/>
        </w:rPr>
        <w:t xml:space="preserve">and </w:t>
      </w:r>
      <w:r w:rsidR="00BA3D9D">
        <w:rPr>
          <w:rFonts w:ascii="Times New Roman" w:hAnsi="Times New Roman" w:cs="Times New Roman"/>
          <w:i/>
          <w:sz w:val="24"/>
          <w:szCs w:val="24"/>
        </w:rPr>
        <w:t>signum signum concordationis</w:t>
      </w:r>
      <w:r w:rsidR="00E276D7">
        <w:rPr>
          <w:rFonts w:ascii="Times New Roman" w:hAnsi="Times New Roman" w:cs="Times New Roman"/>
          <w:sz w:val="24"/>
          <w:szCs w:val="24"/>
        </w:rPr>
        <w:t>—</w:t>
      </w:r>
      <w:r w:rsidR="00DF5324">
        <w:rPr>
          <w:rFonts w:ascii="Times New Roman" w:hAnsi="Times New Roman" w:cs="Times New Roman"/>
          <w:sz w:val="24"/>
          <w:szCs w:val="24"/>
        </w:rPr>
        <w:t>t</w:t>
      </w:r>
      <w:r w:rsidR="00DB5FB2" w:rsidRPr="002B630E">
        <w:rPr>
          <w:rFonts w:ascii="Times New Roman" w:hAnsi="Times New Roman" w:cs="Times New Roman"/>
          <w:sz w:val="24"/>
          <w:szCs w:val="24"/>
        </w:rPr>
        <w:t>he anonymous author</w:t>
      </w:r>
      <w:r w:rsidR="000E3771" w:rsidRPr="002B630E">
        <w:rPr>
          <w:rFonts w:ascii="Times New Roman" w:hAnsi="Times New Roman" w:cs="Times New Roman"/>
          <w:sz w:val="24"/>
          <w:szCs w:val="24"/>
        </w:rPr>
        <w:t xml:space="preserve"> </w:t>
      </w:r>
      <w:r w:rsidR="00E2472C" w:rsidRPr="002B630E">
        <w:rPr>
          <w:rFonts w:ascii="Times New Roman" w:hAnsi="Times New Roman" w:cs="Times New Roman"/>
          <w:sz w:val="24"/>
          <w:szCs w:val="24"/>
        </w:rPr>
        <w:t xml:space="preserve">provides a </w:t>
      </w:r>
      <w:r w:rsidRPr="002B630E">
        <w:rPr>
          <w:rFonts w:ascii="Times New Roman" w:hAnsi="Times New Roman" w:cs="Times New Roman"/>
          <w:sz w:val="24"/>
          <w:szCs w:val="24"/>
        </w:rPr>
        <w:t>short</w:t>
      </w:r>
      <w:r w:rsidR="00E2472C" w:rsidRPr="002B630E">
        <w:rPr>
          <w:rFonts w:ascii="Times New Roman" w:hAnsi="Times New Roman" w:cs="Times New Roman"/>
          <w:sz w:val="24"/>
          <w:szCs w:val="24"/>
        </w:rPr>
        <w:t xml:space="preserve"> </w:t>
      </w:r>
      <w:r w:rsidRPr="002B630E">
        <w:rPr>
          <w:rFonts w:ascii="Times New Roman" w:hAnsi="Times New Roman" w:cs="Times New Roman"/>
          <w:sz w:val="24"/>
          <w:szCs w:val="24"/>
        </w:rPr>
        <w:t>definition</w:t>
      </w:r>
      <w:r w:rsidR="00E2472C" w:rsidRPr="002B630E">
        <w:rPr>
          <w:rFonts w:ascii="Times New Roman" w:hAnsi="Times New Roman" w:cs="Times New Roman"/>
          <w:sz w:val="24"/>
          <w:szCs w:val="24"/>
        </w:rPr>
        <w:t xml:space="preserve"> of t</w:t>
      </w:r>
      <w:r w:rsidR="000E3771" w:rsidRPr="002B630E">
        <w:rPr>
          <w:rFonts w:ascii="Times New Roman" w:hAnsi="Times New Roman" w:cs="Times New Roman"/>
          <w:sz w:val="24"/>
          <w:szCs w:val="24"/>
        </w:rPr>
        <w:t xml:space="preserve">he </w:t>
      </w:r>
      <w:r w:rsidR="000E3771" w:rsidRPr="002B630E">
        <w:rPr>
          <w:rFonts w:ascii="Times New Roman" w:hAnsi="Times New Roman" w:cs="Times New Roman"/>
          <w:i/>
          <w:sz w:val="24"/>
          <w:szCs w:val="24"/>
        </w:rPr>
        <w:t xml:space="preserve">signa congruentiae </w:t>
      </w:r>
      <w:r w:rsidR="000E3771" w:rsidRPr="002B630E">
        <w:rPr>
          <w:rFonts w:ascii="Times New Roman" w:hAnsi="Times New Roman" w:cs="Times New Roman"/>
          <w:sz w:val="24"/>
          <w:szCs w:val="24"/>
        </w:rPr>
        <w:t xml:space="preserve">amongst a list of nine other types of </w:t>
      </w:r>
      <w:r w:rsidR="00DB5FB2" w:rsidRPr="002B630E">
        <w:rPr>
          <w:rFonts w:ascii="Times New Roman" w:hAnsi="Times New Roman" w:cs="Times New Roman"/>
          <w:sz w:val="24"/>
          <w:szCs w:val="24"/>
        </w:rPr>
        <w:t xml:space="preserve">notational </w:t>
      </w:r>
      <w:r w:rsidR="000E3771" w:rsidRPr="002B630E">
        <w:rPr>
          <w:rFonts w:ascii="Times New Roman" w:hAnsi="Times New Roman" w:cs="Times New Roman"/>
          <w:sz w:val="24"/>
          <w:szCs w:val="24"/>
        </w:rPr>
        <w:t>sign</w:t>
      </w:r>
      <w:r w:rsidR="000E3771" w:rsidRPr="002B630E">
        <w:rPr>
          <w:rFonts w:ascii="Times New Roman" w:hAnsi="Times New Roman" w:cs="Times New Roman"/>
          <w:i/>
          <w:sz w:val="24"/>
          <w:szCs w:val="24"/>
        </w:rPr>
        <w:t>.</w:t>
      </w:r>
      <w:r w:rsidR="00920C83" w:rsidRPr="002B630E">
        <w:rPr>
          <w:rStyle w:val="FootnoteReference"/>
          <w:rFonts w:ascii="Times New Roman" w:hAnsi="Times New Roman" w:cs="Times New Roman"/>
          <w:sz w:val="24"/>
          <w:szCs w:val="24"/>
        </w:rPr>
        <w:footnoteReference w:id="5"/>
      </w:r>
      <w:r w:rsidR="000C312E" w:rsidRPr="002B630E">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8"/>
        <w:gridCol w:w="4508"/>
      </w:tblGrid>
      <w:tr w:rsidR="009F0F85" w:rsidRPr="002B630E" w14:paraId="5B534E0E" w14:textId="77777777" w:rsidTr="00650CE6">
        <w:tc>
          <w:tcPr>
            <w:tcW w:w="4621" w:type="dxa"/>
          </w:tcPr>
          <w:p w14:paraId="582A079D" w14:textId="3A8E1F55" w:rsidR="009F0F85" w:rsidRPr="002B630E" w:rsidRDefault="009F0F85"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 xml:space="preserve">‘Decimo: aliquod signum dicitur signum congruentiae, scilicet ubi cantus universi congruunt: </w:t>
            </w:r>
            <w:r w:rsidR="00F751D6" w:rsidRPr="002B630E">
              <w:rPr>
                <w:rFonts w:ascii="Times New Roman" w:hAnsi="Times New Roman" w:cs="Times New Roman"/>
                <w:noProof/>
                <w:sz w:val="24"/>
                <w:szCs w:val="24"/>
                <w:lang w:eastAsia="en-GB"/>
              </w:rPr>
              <w:drawing>
                <wp:inline distT="0" distB="0" distL="0" distR="0" wp14:anchorId="402BC784" wp14:editId="6A91E380">
                  <wp:extent cx="140730" cy="144000"/>
                  <wp:effectExtent l="0" t="0" r="1206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30" cy="144000"/>
                          </a:xfrm>
                          <a:prstGeom prst="rect">
                            <a:avLst/>
                          </a:prstGeom>
                          <a:noFill/>
                          <a:ln>
                            <a:noFill/>
                          </a:ln>
                        </pic:spPr>
                      </pic:pic>
                    </a:graphicData>
                  </a:graphic>
                </wp:inline>
              </w:drawing>
            </w:r>
            <w:r w:rsidR="00F751D6">
              <w:rPr>
                <w:rFonts w:ascii="Times New Roman" w:hAnsi="Times New Roman" w:cs="Times New Roman"/>
                <w:sz w:val="24"/>
                <w:szCs w:val="24"/>
              </w:rPr>
              <w:t xml:space="preserve"> </w:t>
            </w:r>
            <w:r w:rsidRPr="002B630E">
              <w:rPr>
                <w:rFonts w:ascii="Times New Roman" w:hAnsi="Times New Roman" w:cs="Times New Roman"/>
                <w:sz w:val="24"/>
                <w:szCs w:val="24"/>
              </w:rPr>
              <w:t>in quo signo ponuntur tria puncta triangulariter.’</w:t>
            </w:r>
            <w:r w:rsidRPr="002B630E">
              <w:rPr>
                <w:rStyle w:val="FootnoteReference"/>
                <w:rFonts w:ascii="Times New Roman" w:hAnsi="Times New Roman" w:cs="Times New Roman"/>
                <w:sz w:val="24"/>
                <w:szCs w:val="24"/>
              </w:rPr>
              <w:footnoteReference w:id="6"/>
            </w:r>
          </w:p>
        </w:tc>
        <w:tc>
          <w:tcPr>
            <w:tcW w:w="4621" w:type="dxa"/>
          </w:tcPr>
          <w:p w14:paraId="5F7309FE" w14:textId="5DBC469B" w:rsidR="009F0F85" w:rsidRPr="002B630E" w:rsidRDefault="009F0F85" w:rsidP="00B95FCD">
            <w:pPr>
              <w:spacing w:line="480" w:lineRule="auto"/>
              <w:rPr>
                <w:rFonts w:ascii="Times New Roman" w:hAnsi="Times New Roman" w:cs="Times New Roman"/>
                <w:sz w:val="24"/>
                <w:szCs w:val="24"/>
              </w:rPr>
            </w:pPr>
            <w:r w:rsidRPr="002B630E">
              <w:rPr>
                <w:rFonts w:ascii="Times New Roman" w:hAnsi="Times New Roman" w:cs="Times New Roman"/>
                <w:sz w:val="24"/>
                <w:szCs w:val="24"/>
              </w:rPr>
              <w:t xml:space="preserve">Tenth: the sign that some call the sign of congruence, that is, where all the voices come together: </w:t>
            </w:r>
            <w:r w:rsidR="005E4374" w:rsidRPr="002B630E">
              <w:rPr>
                <w:rFonts w:ascii="Times New Roman" w:hAnsi="Times New Roman" w:cs="Times New Roman"/>
                <w:noProof/>
                <w:sz w:val="24"/>
                <w:szCs w:val="24"/>
                <w:lang w:eastAsia="en-GB"/>
              </w:rPr>
              <w:drawing>
                <wp:inline distT="0" distB="0" distL="0" distR="0" wp14:anchorId="476A4D6E" wp14:editId="29A66125">
                  <wp:extent cx="140730" cy="144000"/>
                  <wp:effectExtent l="0" t="0" r="1206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30" cy="144000"/>
                          </a:xfrm>
                          <a:prstGeom prst="rect">
                            <a:avLst/>
                          </a:prstGeom>
                          <a:noFill/>
                          <a:ln>
                            <a:noFill/>
                          </a:ln>
                        </pic:spPr>
                      </pic:pic>
                    </a:graphicData>
                  </a:graphic>
                </wp:inline>
              </w:drawing>
            </w:r>
            <w:r w:rsidR="005E4374" w:rsidRPr="002B630E">
              <w:rPr>
                <w:rFonts w:ascii="Times New Roman" w:hAnsi="Times New Roman" w:cs="Times New Roman"/>
                <w:sz w:val="24"/>
                <w:szCs w:val="24"/>
              </w:rPr>
              <w:t xml:space="preserve"> </w:t>
            </w:r>
            <w:r w:rsidRPr="002B630E">
              <w:rPr>
                <w:rFonts w:ascii="Times New Roman" w:hAnsi="Times New Roman" w:cs="Times New Roman"/>
                <w:sz w:val="24"/>
                <w:szCs w:val="24"/>
              </w:rPr>
              <w:t xml:space="preserve">in which </w:t>
            </w:r>
            <w:r w:rsidR="00BD16FF" w:rsidRPr="002B630E">
              <w:rPr>
                <w:rFonts w:ascii="Times New Roman" w:hAnsi="Times New Roman" w:cs="Times New Roman"/>
                <w:sz w:val="24"/>
                <w:szCs w:val="24"/>
              </w:rPr>
              <w:t xml:space="preserve">the sign has three points </w:t>
            </w:r>
            <w:r w:rsidRPr="002B630E">
              <w:rPr>
                <w:rFonts w:ascii="Times New Roman" w:hAnsi="Times New Roman" w:cs="Times New Roman"/>
                <w:sz w:val="24"/>
                <w:szCs w:val="24"/>
              </w:rPr>
              <w:t>placed in a triangle</w:t>
            </w:r>
            <w:r w:rsidR="00BD16FF" w:rsidRPr="002B630E">
              <w:rPr>
                <w:rFonts w:ascii="Times New Roman" w:hAnsi="Times New Roman" w:cs="Times New Roman"/>
                <w:sz w:val="24"/>
                <w:szCs w:val="24"/>
              </w:rPr>
              <w:t xml:space="preserve"> shape</w:t>
            </w:r>
            <w:r w:rsidRPr="002B630E">
              <w:rPr>
                <w:rFonts w:ascii="Times New Roman" w:hAnsi="Times New Roman" w:cs="Times New Roman"/>
                <w:sz w:val="24"/>
                <w:szCs w:val="24"/>
              </w:rPr>
              <w:t xml:space="preserve">.  </w:t>
            </w:r>
          </w:p>
        </w:tc>
      </w:tr>
    </w:tbl>
    <w:p w14:paraId="4A5EEBD4" w14:textId="77777777" w:rsidR="00EE5C4B" w:rsidRDefault="00EE5C4B" w:rsidP="00B95FCD">
      <w:pPr>
        <w:spacing w:line="480" w:lineRule="auto"/>
        <w:jc w:val="both"/>
        <w:rPr>
          <w:rFonts w:ascii="Times New Roman" w:hAnsi="Times New Roman" w:cs="Times New Roman"/>
          <w:sz w:val="24"/>
          <w:szCs w:val="24"/>
        </w:rPr>
      </w:pPr>
    </w:p>
    <w:p w14:paraId="7CD3155B" w14:textId="0CDE61E9" w:rsidR="00680D7D" w:rsidRPr="002B630E" w:rsidRDefault="00F93F5D"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 xml:space="preserve">Anon. XII places the </w:t>
      </w:r>
      <w:r w:rsidR="001B232C" w:rsidRPr="002B630E">
        <w:rPr>
          <w:rFonts w:ascii="Times New Roman" w:hAnsi="Times New Roman" w:cs="Times New Roman"/>
          <w:i/>
          <w:sz w:val="24"/>
          <w:szCs w:val="24"/>
        </w:rPr>
        <w:t>signum</w:t>
      </w:r>
      <w:r w:rsidRPr="002B630E">
        <w:rPr>
          <w:rFonts w:ascii="Times New Roman" w:hAnsi="Times New Roman" w:cs="Times New Roman"/>
          <w:i/>
          <w:sz w:val="24"/>
          <w:szCs w:val="24"/>
        </w:rPr>
        <w:t xml:space="preserve"> congruentiae</w:t>
      </w:r>
      <w:r w:rsidRPr="002B630E">
        <w:rPr>
          <w:rFonts w:ascii="Times New Roman" w:hAnsi="Times New Roman" w:cs="Times New Roman"/>
          <w:sz w:val="24"/>
          <w:szCs w:val="24"/>
        </w:rPr>
        <w:t xml:space="preserve"> alongside </w:t>
      </w:r>
      <w:r w:rsidR="000B028E" w:rsidRPr="002B630E">
        <w:rPr>
          <w:rFonts w:ascii="Times New Roman" w:hAnsi="Times New Roman" w:cs="Times New Roman"/>
          <w:sz w:val="24"/>
          <w:szCs w:val="24"/>
        </w:rPr>
        <w:t xml:space="preserve">mensuration signs and </w:t>
      </w:r>
      <w:r w:rsidR="00C36C16" w:rsidRPr="002B630E">
        <w:rPr>
          <w:rFonts w:ascii="Times New Roman" w:hAnsi="Times New Roman" w:cs="Times New Roman"/>
          <w:sz w:val="24"/>
          <w:szCs w:val="24"/>
        </w:rPr>
        <w:t xml:space="preserve">proportional </w:t>
      </w:r>
      <w:r w:rsidR="000B028E" w:rsidRPr="002B630E">
        <w:rPr>
          <w:rFonts w:ascii="Times New Roman" w:hAnsi="Times New Roman" w:cs="Times New Roman"/>
          <w:sz w:val="24"/>
          <w:szCs w:val="24"/>
        </w:rPr>
        <w:t>signatures</w:t>
      </w:r>
      <w:r w:rsidR="00780588" w:rsidRPr="002B630E">
        <w:rPr>
          <w:rFonts w:ascii="Times New Roman" w:hAnsi="Times New Roman" w:cs="Times New Roman"/>
          <w:sz w:val="24"/>
          <w:szCs w:val="24"/>
        </w:rPr>
        <w:t>, grouping this sign together with the principal notational symbols used in mensural notation that are not noteshapes</w:t>
      </w:r>
      <w:r w:rsidR="007C60C7">
        <w:rPr>
          <w:rFonts w:ascii="Times New Roman" w:hAnsi="Times New Roman" w:cs="Times New Roman"/>
          <w:sz w:val="24"/>
          <w:szCs w:val="24"/>
        </w:rPr>
        <w:t xml:space="preserve"> or rests</w:t>
      </w:r>
      <w:r w:rsidR="00780588" w:rsidRPr="002B630E">
        <w:rPr>
          <w:rFonts w:ascii="Times New Roman" w:hAnsi="Times New Roman" w:cs="Times New Roman"/>
          <w:sz w:val="24"/>
          <w:szCs w:val="24"/>
        </w:rPr>
        <w:t xml:space="preserve">. </w:t>
      </w:r>
      <w:r w:rsidR="008844DD" w:rsidRPr="002B630E">
        <w:rPr>
          <w:rFonts w:ascii="Times New Roman" w:hAnsi="Times New Roman" w:cs="Times New Roman"/>
          <w:sz w:val="24"/>
          <w:szCs w:val="24"/>
        </w:rPr>
        <w:t xml:space="preserve">Proximity to these important notational symbols suggests that </w:t>
      </w:r>
      <w:r w:rsidR="00780588" w:rsidRPr="002B630E">
        <w:rPr>
          <w:rFonts w:ascii="Times New Roman" w:hAnsi="Times New Roman" w:cs="Times New Roman"/>
          <w:sz w:val="24"/>
          <w:szCs w:val="24"/>
        </w:rPr>
        <w:t>the anonymous theorist recognise</w:t>
      </w:r>
      <w:r w:rsidR="008844DD" w:rsidRPr="002B630E">
        <w:rPr>
          <w:rFonts w:ascii="Times New Roman" w:hAnsi="Times New Roman" w:cs="Times New Roman"/>
          <w:sz w:val="24"/>
          <w:szCs w:val="24"/>
        </w:rPr>
        <w:t>d</w:t>
      </w:r>
      <w:r w:rsidR="00780588" w:rsidRPr="002B630E">
        <w:rPr>
          <w:rFonts w:ascii="Times New Roman" w:hAnsi="Times New Roman" w:cs="Times New Roman"/>
          <w:sz w:val="24"/>
          <w:szCs w:val="24"/>
        </w:rPr>
        <w:t xml:space="preserve"> </w:t>
      </w:r>
      <w:r w:rsidR="007868C3" w:rsidRPr="002B630E">
        <w:rPr>
          <w:rFonts w:ascii="Times New Roman" w:hAnsi="Times New Roman" w:cs="Times New Roman"/>
          <w:sz w:val="24"/>
          <w:szCs w:val="24"/>
        </w:rPr>
        <w:t xml:space="preserve">implicitly </w:t>
      </w:r>
      <w:r w:rsidR="00780588" w:rsidRPr="002B630E">
        <w:rPr>
          <w:rFonts w:ascii="Times New Roman" w:hAnsi="Times New Roman" w:cs="Times New Roman"/>
          <w:sz w:val="24"/>
          <w:szCs w:val="24"/>
        </w:rPr>
        <w:t>the importance of this symbol in contemporary thought</w:t>
      </w:r>
      <w:r w:rsidR="00C36C16" w:rsidRPr="002B630E">
        <w:rPr>
          <w:rFonts w:ascii="Times New Roman" w:hAnsi="Times New Roman" w:cs="Times New Roman"/>
          <w:sz w:val="24"/>
          <w:szCs w:val="24"/>
        </w:rPr>
        <w:t xml:space="preserve"> and musical practice</w:t>
      </w:r>
      <w:r w:rsidR="00780588" w:rsidRPr="002B630E">
        <w:rPr>
          <w:rFonts w:ascii="Times New Roman" w:hAnsi="Times New Roman" w:cs="Times New Roman"/>
          <w:sz w:val="24"/>
          <w:szCs w:val="24"/>
        </w:rPr>
        <w:t xml:space="preserve">. </w:t>
      </w:r>
      <w:r w:rsidR="007E0ACC" w:rsidRPr="002B630E">
        <w:rPr>
          <w:rFonts w:ascii="Times New Roman" w:hAnsi="Times New Roman" w:cs="Times New Roman"/>
          <w:sz w:val="24"/>
          <w:szCs w:val="24"/>
        </w:rPr>
        <w:t xml:space="preserve">The text provides a short explanation of what a sign of congruence shows, </w:t>
      </w:r>
      <w:r w:rsidR="008844DD" w:rsidRPr="002B630E">
        <w:rPr>
          <w:rFonts w:ascii="Times New Roman" w:hAnsi="Times New Roman" w:cs="Times New Roman"/>
          <w:sz w:val="24"/>
          <w:szCs w:val="24"/>
        </w:rPr>
        <w:t xml:space="preserve">noting </w:t>
      </w:r>
      <w:r w:rsidR="007E0ACC" w:rsidRPr="002B630E">
        <w:rPr>
          <w:rFonts w:ascii="Times New Roman" w:hAnsi="Times New Roman" w:cs="Times New Roman"/>
          <w:sz w:val="24"/>
          <w:szCs w:val="24"/>
        </w:rPr>
        <w:t xml:space="preserve">that it is placed ‘where all voices </w:t>
      </w:r>
      <w:r w:rsidR="00780588" w:rsidRPr="002B630E">
        <w:rPr>
          <w:rFonts w:ascii="Times New Roman" w:hAnsi="Times New Roman" w:cs="Times New Roman"/>
          <w:sz w:val="24"/>
          <w:szCs w:val="24"/>
        </w:rPr>
        <w:t>come together’</w:t>
      </w:r>
      <w:r w:rsidR="007E0ACC" w:rsidRPr="002B630E">
        <w:rPr>
          <w:rFonts w:ascii="Times New Roman" w:hAnsi="Times New Roman" w:cs="Times New Roman"/>
          <w:sz w:val="24"/>
          <w:szCs w:val="24"/>
        </w:rPr>
        <w:t>. Although the description is very brief, it</w:t>
      </w:r>
      <w:r w:rsidR="00225C17" w:rsidRPr="002B630E">
        <w:rPr>
          <w:rFonts w:ascii="Times New Roman" w:hAnsi="Times New Roman" w:cs="Times New Roman"/>
          <w:sz w:val="24"/>
          <w:szCs w:val="24"/>
        </w:rPr>
        <w:t>s definition is clear</w:t>
      </w:r>
      <w:r w:rsidR="008844DD" w:rsidRPr="002B630E">
        <w:rPr>
          <w:rFonts w:ascii="Times New Roman" w:hAnsi="Times New Roman" w:cs="Times New Roman"/>
          <w:sz w:val="24"/>
          <w:szCs w:val="24"/>
        </w:rPr>
        <w:t xml:space="preserve"> and to the point: the sign is </w:t>
      </w:r>
      <w:r w:rsidR="005402C8" w:rsidRPr="002B630E">
        <w:rPr>
          <w:rFonts w:ascii="Times New Roman" w:hAnsi="Times New Roman" w:cs="Times New Roman"/>
          <w:sz w:val="24"/>
          <w:szCs w:val="24"/>
        </w:rPr>
        <w:t>used to mark</w:t>
      </w:r>
      <w:r w:rsidR="00225C17" w:rsidRPr="002B630E">
        <w:rPr>
          <w:rFonts w:ascii="Times New Roman" w:hAnsi="Times New Roman" w:cs="Times New Roman"/>
          <w:sz w:val="24"/>
          <w:szCs w:val="24"/>
        </w:rPr>
        <w:t xml:space="preserve"> </w:t>
      </w:r>
      <w:r w:rsidR="005402C8" w:rsidRPr="002B630E">
        <w:rPr>
          <w:rFonts w:ascii="Times New Roman" w:hAnsi="Times New Roman" w:cs="Times New Roman"/>
          <w:sz w:val="24"/>
          <w:szCs w:val="24"/>
        </w:rPr>
        <w:t xml:space="preserve">a point </w:t>
      </w:r>
      <w:r w:rsidR="00225C17" w:rsidRPr="002B630E">
        <w:rPr>
          <w:rFonts w:ascii="Times New Roman" w:hAnsi="Times New Roman" w:cs="Times New Roman"/>
          <w:sz w:val="24"/>
          <w:szCs w:val="24"/>
        </w:rPr>
        <w:t xml:space="preserve">where </w:t>
      </w:r>
      <w:r w:rsidR="00225C17" w:rsidRPr="002B630E">
        <w:rPr>
          <w:rFonts w:ascii="Times New Roman" w:hAnsi="Times New Roman" w:cs="Times New Roman"/>
          <w:b/>
          <w:sz w:val="24"/>
          <w:szCs w:val="24"/>
        </w:rPr>
        <w:t xml:space="preserve">all </w:t>
      </w:r>
      <w:r w:rsidR="00225C17" w:rsidRPr="002B630E">
        <w:rPr>
          <w:rFonts w:ascii="Times New Roman" w:hAnsi="Times New Roman" w:cs="Times New Roman"/>
          <w:sz w:val="24"/>
          <w:szCs w:val="24"/>
        </w:rPr>
        <w:t xml:space="preserve">voices coincide. </w:t>
      </w:r>
      <w:r w:rsidR="008844DD" w:rsidRPr="002B630E">
        <w:rPr>
          <w:rFonts w:ascii="Times New Roman" w:hAnsi="Times New Roman" w:cs="Times New Roman"/>
          <w:sz w:val="24"/>
          <w:szCs w:val="24"/>
        </w:rPr>
        <w:t xml:space="preserve">Interestingly, the anonymous author’s </w:t>
      </w:r>
      <w:r w:rsidR="00780588" w:rsidRPr="002B630E">
        <w:rPr>
          <w:rFonts w:ascii="Times New Roman" w:hAnsi="Times New Roman" w:cs="Times New Roman"/>
          <w:sz w:val="24"/>
          <w:szCs w:val="24"/>
        </w:rPr>
        <w:t xml:space="preserve">text is curiously quiet on the extra meanings that we </w:t>
      </w:r>
      <w:r w:rsidR="00992EAE" w:rsidRPr="002B630E">
        <w:rPr>
          <w:rFonts w:ascii="Times New Roman" w:hAnsi="Times New Roman" w:cs="Times New Roman"/>
          <w:sz w:val="24"/>
          <w:szCs w:val="24"/>
        </w:rPr>
        <w:t>attach to such symbols as indicating important structural moments</w:t>
      </w:r>
      <w:r w:rsidR="00225C17" w:rsidRPr="002B630E">
        <w:rPr>
          <w:rFonts w:ascii="Times New Roman" w:hAnsi="Times New Roman" w:cs="Times New Roman"/>
          <w:sz w:val="24"/>
          <w:szCs w:val="24"/>
        </w:rPr>
        <w:t>, repeat markings</w:t>
      </w:r>
      <w:r w:rsidR="00992EAE" w:rsidRPr="002B630E">
        <w:rPr>
          <w:rFonts w:ascii="Times New Roman" w:hAnsi="Times New Roman" w:cs="Times New Roman"/>
          <w:sz w:val="24"/>
          <w:szCs w:val="24"/>
        </w:rPr>
        <w:t xml:space="preserve"> or other musical points</w:t>
      </w:r>
      <w:r w:rsidR="004C6C7D" w:rsidRPr="002B630E">
        <w:rPr>
          <w:rFonts w:ascii="Times New Roman" w:hAnsi="Times New Roman" w:cs="Times New Roman"/>
          <w:sz w:val="24"/>
          <w:szCs w:val="24"/>
        </w:rPr>
        <w:t xml:space="preserve"> in his text</w:t>
      </w:r>
      <w:r w:rsidR="00992EAE" w:rsidRPr="002B630E">
        <w:rPr>
          <w:rFonts w:ascii="Times New Roman" w:hAnsi="Times New Roman" w:cs="Times New Roman"/>
          <w:sz w:val="24"/>
          <w:szCs w:val="24"/>
        </w:rPr>
        <w:t>.</w:t>
      </w:r>
      <w:r w:rsidR="00215263" w:rsidRPr="002B630E">
        <w:rPr>
          <w:rStyle w:val="FootnoteReference"/>
          <w:rFonts w:ascii="Times New Roman" w:hAnsi="Times New Roman" w:cs="Times New Roman"/>
          <w:sz w:val="24"/>
          <w:szCs w:val="24"/>
        </w:rPr>
        <w:footnoteReference w:id="7"/>
      </w:r>
      <w:r w:rsidR="00992EAE" w:rsidRPr="002B630E">
        <w:rPr>
          <w:rFonts w:ascii="Times New Roman" w:hAnsi="Times New Roman" w:cs="Times New Roman"/>
          <w:sz w:val="24"/>
          <w:szCs w:val="24"/>
        </w:rPr>
        <w:t xml:space="preserve"> </w:t>
      </w:r>
      <w:r w:rsidR="00780588" w:rsidRPr="002B630E">
        <w:rPr>
          <w:rFonts w:ascii="Times New Roman" w:hAnsi="Times New Roman" w:cs="Times New Roman"/>
          <w:sz w:val="24"/>
          <w:szCs w:val="24"/>
        </w:rPr>
        <w:t xml:space="preserve">For this theorist, the sign simply represents a point of coincidence: structural significance is not required for the sign to be applied. </w:t>
      </w:r>
    </w:p>
    <w:p w14:paraId="2408FEB9" w14:textId="77777777" w:rsidR="00DD77C2" w:rsidRDefault="0044285D"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t xml:space="preserve">The second source for a definition of a symbol resembling that of the </w:t>
      </w:r>
      <w:r w:rsidRPr="002B630E">
        <w:rPr>
          <w:rFonts w:ascii="Times New Roman" w:hAnsi="Times New Roman" w:cs="Times New Roman"/>
          <w:i/>
          <w:sz w:val="24"/>
          <w:szCs w:val="24"/>
        </w:rPr>
        <w:t>signum congruentiae</w:t>
      </w:r>
      <w:r w:rsidRPr="002B630E">
        <w:rPr>
          <w:rFonts w:ascii="Times New Roman" w:hAnsi="Times New Roman" w:cs="Times New Roman"/>
          <w:sz w:val="24"/>
          <w:szCs w:val="24"/>
        </w:rPr>
        <w:t xml:space="preserve"> is drawn from a treatise related to that of Anon. XII</w:t>
      </w:r>
      <w:r w:rsidR="008844DD" w:rsidRPr="002B630E">
        <w:rPr>
          <w:rFonts w:ascii="Times New Roman" w:hAnsi="Times New Roman" w:cs="Times New Roman"/>
          <w:sz w:val="24"/>
          <w:szCs w:val="24"/>
        </w:rPr>
        <w:t xml:space="preserve">, </w:t>
      </w:r>
      <w:r w:rsidR="004C6C7D" w:rsidRPr="002B630E">
        <w:rPr>
          <w:rFonts w:ascii="Times New Roman" w:hAnsi="Times New Roman" w:cs="Times New Roman"/>
          <w:sz w:val="24"/>
          <w:szCs w:val="24"/>
        </w:rPr>
        <w:t xml:space="preserve">and </w:t>
      </w:r>
      <w:r w:rsidR="007C60C7">
        <w:rPr>
          <w:rFonts w:ascii="Times New Roman" w:hAnsi="Times New Roman" w:cs="Times New Roman"/>
          <w:sz w:val="24"/>
          <w:szCs w:val="24"/>
        </w:rPr>
        <w:t>offers a partial extension to</w:t>
      </w:r>
      <w:r w:rsidR="008844DD" w:rsidRPr="002B630E">
        <w:rPr>
          <w:rFonts w:ascii="Times New Roman" w:hAnsi="Times New Roman" w:cs="Times New Roman"/>
          <w:sz w:val="24"/>
          <w:szCs w:val="24"/>
        </w:rPr>
        <w:t xml:space="preserve"> </w:t>
      </w:r>
      <w:r w:rsidR="00263312">
        <w:rPr>
          <w:rFonts w:ascii="Times New Roman" w:hAnsi="Times New Roman" w:cs="Times New Roman"/>
          <w:sz w:val="24"/>
          <w:szCs w:val="24"/>
        </w:rPr>
        <w:t>our anonymous theorist’s</w:t>
      </w:r>
      <w:r w:rsidR="00263312" w:rsidRPr="002B630E">
        <w:rPr>
          <w:rFonts w:ascii="Times New Roman" w:hAnsi="Times New Roman" w:cs="Times New Roman"/>
          <w:sz w:val="24"/>
          <w:szCs w:val="24"/>
        </w:rPr>
        <w:t xml:space="preserve"> </w:t>
      </w:r>
      <w:r w:rsidR="004C6C7D" w:rsidRPr="002B630E">
        <w:rPr>
          <w:rFonts w:ascii="Times New Roman" w:hAnsi="Times New Roman" w:cs="Times New Roman"/>
          <w:sz w:val="24"/>
          <w:szCs w:val="24"/>
        </w:rPr>
        <w:t>theoretical point</w:t>
      </w:r>
      <w:r w:rsidRPr="002B630E">
        <w:rPr>
          <w:rFonts w:ascii="Times New Roman" w:hAnsi="Times New Roman" w:cs="Times New Roman"/>
          <w:sz w:val="24"/>
          <w:szCs w:val="24"/>
        </w:rPr>
        <w:t>.</w:t>
      </w:r>
      <w:r w:rsidR="00751B74">
        <w:rPr>
          <w:rFonts w:ascii="Times New Roman" w:hAnsi="Times New Roman" w:cs="Times New Roman"/>
          <w:sz w:val="24"/>
          <w:szCs w:val="24"/>
        </w:rPr>
        <w:t xml:space="preserve"> </w:t>
      </w:r>
      <w:r w:rsidRPr="002B630E">
        <w:rPr>
          <w:rFonts w:ascii="Times New Roman" w:hAnsi="Times New Roman" w:cs="Times New Roman"/>
          <w:sz w:val="24"/>
          <w:szCs w:val="24"/>
        </w:rPr>
        <w:t xml:space="preserve">The anonymous </w:t>
      </w:r>
      <w:r w:rsidR="00C627FD" w:rsidRPr="002B630E">
        <w:rPr>
          <w:rFonts w:ascii="Times New Roman" w:hAnsi="Times New Roman" w:cs="Times New Roman"/>
          <w:sz w:val="24"/>
          <w:szCs w:val="24"/>
        </w:rPr>
        <w:t xml:space="preserve">treatise entitled </w:t>
      </w:r>
      <w:r w:rsidR="00C627FD" w:rsidRPr="002B630E">
        <w:rPr>
          <w:rFonts w:ascii="Times New Roman" w:hAnsi="Times New Roman" w:cs="Times New Roman"/>
          <w:i/>
          <w:sz w:val="24"/>
          <w:szCs w:val="24"/>
        </w:rPr>
        <w:t>Anonimi tractatus de musica compendium cantus figurati</w:t>
      </w:r>
      <w:r w:rsidR="00C627FD" w:rsidRPr="002B630E">
        <w:rPr>
          <w:rFonts w:ascii="Times New Roman" w:hAnsi="Times New Roman" w:cs="Times New Roman"/>
          <w:sz w:val="24"/>
          <w:szCs w:val="24"/>
        </w:rPr>
        <w:t xml:space="preserve"> </w:t>
      </w:r>
      <w:r w:rsidR="008844DD" w:rsidRPr="002B630E">
        <w:rPr>
          <w:rFonts w:ascii="Times New Roman" w:hAnsi="Times New Roman" w:cs="Times New Roman"/>
          <w:sz w:val="24"/>
          <w:szCs w:val="24"/>
        </w:rPr>
        <w:t xml:space="preserve">terms </w:t>
      </w:r>
      <w:r w:rsidRPr="002B630E">
        <w:rPr>
          <w:rFonts w:ascii="Times New Roman" w:hAnsi="Times New Roman" w:cs="Times New Roman"/>
          <w:sz w:val="24"/>
          <w:szCs w:val="24"/>
        </w:rPr>
        <w:t xml:space="preserve">this symbol as the </w:t>
      </w:r>
      <w:r w:rsidRPr="002B630E">
        <w:rPr>
          <w:rFonts w:ascii="Times New Roman" w:hAnsi="Times New Roman" w:cs="Times New Roman"/>
          <w:i/>
          <w:sz w:val="24"/>
          <w:szCs w:val="24"/>
        </w:rPr>
        <w:t>signum conventientiae</w:t>
      </w:r>
      <w:r w:rsidRPr="002B630E">
        <w:rPr>
          <w:rFonts w:ascii="Times New Roman" w:hAnsi="Times New Roman" w:cs="Times New Roman"/>
          <w:sz w:val="24"/>
          <w:szCs w:val="24"/>
        </w:rPr>
        <w:t xml:space="preserve"> or </w:t>
      </w:r>
      <w:r w:rsidR="00263312">
        <w:rPr>
          <w:rFonts w:ascii="Times New Roman" w:hAnsi="Times New Roman" w:cs="Times New Roman"/>
          <w:i/>
          <w:sz w:val="24"/>
          <w:szCs w:val="24"/>
        </w:rPr>
        <w:t xml:space="preserve">signum </w:t>
      </w:r>
      <w:r w:rsidRPr="002B630E">
        <w:rPr>
          <w:rFonts w:ascii="Times New Roman" w:hAnsi="Times New Roman" w:cs="Times New Roman"/>
          <w:i/>
          <w:sz w:val="24"/>
          <w:szCs w:val="24"/>
        </w:rPr>
        <w:t>cadentiae</w:t>
      </w:r>
      <w:r w:rsidR="00263312">
        <w:rPr>
          <w:rFonts w:ascii="Times New Roman" w:hAnsi="Times New Roman" w:cs="Times New Roman"/>
          <w:sz w:val="24"/>
          <w:szCs w:val="24"/>
        </w:rPr>
        <w:t xml:space="preserve">. The theorist </w:t>
      </w:r>
      <w:r w:rsidRPr="002B630E">
        <w:rPr>
          <w:rFonts w:ascii="Times New Roman" w:hAnsi="Times New Roman" w:cs="Times New Roman"/>
          <w:sz w:val="24"/>
          <w:szCs w:val="24"/>
        </w:rPr>
        <w:t xml:space="preserve">provides a symbol that closely resembles that </w:t>
      </w:r>
      <w:r w:rsidRPr="002B630E">
        <w:rPr>
          <w:rFonts w:ascii="Times New Roman" w:hAnsi="Times New Roman" w:cs="Times New Roman"/>
          <w:sz w:val="24"/>
          <w:szCs w:val="24"/>
        </w:rPr>
        <w:lastRenderedPageBreak/>
        <w:t xml:space="preserve">of the </w:t>
      </w:r>
      <w:r w:rsidRPr="002B630E">
        <w:rPr>
          <w:rFonts w:ascii="Times New Roman" w:hAnsi="Times New Roman" w:cs="Times New Roman"/>
          <w:i/>
          <w:sz w:val="24"/>
          <w:szCs w:val="24"/>
        </w:rPr>
        <w:t>signum congruentiae</w:t>
      </w:r>
      <w:r w:rsidRPr="002B630E">
        <w:rPr>
          <w:rFonts w:ascii="Times New Roman" w:hAnsi="Times New Roman" w:cs="Times New Roman"/>
          <w:sz w:val="24"/>
          <w:szCs w:val="24"/>
        </w:rPr>
        <w:t>.</w:t>
      </w:r>
      <w:r w:rsidRPr="002B630E">
        <w:rPr>
          <w:rStyle w:val="FootnoteReference"/>
          <w:rFonts w:ascii="Times New Roman" w:hAnsi="Times New Roman" w:cs="Times New Roman"/>
          <w:sz w:val="24"/>
          <w:szCs w:val="24"/>
        </w:rPr>
        <w:footnoteReference w:id="8"/>
      </w:r>
      <w:r w:rsidRPr="002B630E">
        <w:rPr>
          <w:rFonts w:ascii="Times New Roman" w:hAnsi="Times New Roman" w:cs="Times New Roman"/>
          <w:sz w:val="24"/>
          <w:szCs w:val="24"/>
        </w:rPr>
        <w:t xml:space="preserve"> </w:t>
      </w:r>
      <w:r w:rsidR="007A3B72">
        <w:rPr>
          <w:rFonts w:ascii="Times New Roman" w:hAnsi="Times New Roman" w:cs="Times New Roman"/>
          <w:sz w:val="24"/>
          <w:szCs w:val="24"/>
        </w:rPr>
        <w:t>In contrast to its other highly derivative points, this</w:t>
      </w:r>
      <w:r w:rsidR="00751B74">
        <w:rPr>
          <w:rFonts w:ascii="Times New Roman" w:hAnsi="Times New Roman" w:cs="Times New Roman"/>
          <w:sz w:val="24"/>
          <w:szCs w:val="24"/>
        </w:rPr>
        <w:t xml:space="preserve"> is a rare instance where this text offers an extension to the definitions set out by Anon. XII</w:t>
      </w:r>
      <w:r w:rsidR="007A3B72">
        <w:rPr>
          <w:rFonts w:ascii="Times New Roman" w:hAnsi="Times New Roman" w:cs="Times New Roman"/>
          <w:sz w:val="24"/>
          <w:szCs w:val="24"/>
        </w:rPr>
        <w:t xml:space="preserve">. </w:t>
      </w:r>
    </w:p>
    <w:p w14:paraId="3E879955" w14:textId="60E1E92F" w:rsidR="0044285D" w:rsidRPr="002B630E" w:rsidRDefault="007A3B72" w:rsidP="00DD77C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w:t>
      </w:r>
      <w:r w:rsidR="00751B74">
        <w:rPr>
          <w:rFonts w:ascii="Times New Roman" w:hAnsi="Times New Roman" w:cs="Times New Roman"/>
          <w:sz w:val="24"/>
          <w:szCs w:val="24"/>
        </w:rPr>
        <w:t>this slight elaboration does relatively little to fully clarify the function of this symbol.</w:t>
      </w:r>
      <w:r w:rsidR="00DD77C2">
        <w:rPr>
          <w:rFonts w:ascii="Times New Roman" w:hAnsi="Times New Roman" w:cs="Times New Roman"/>
          <w:sz w:val="24"/>
          <w:szCs w:val="24"/>
        </w:rPr>
        <w:t xml:space="preserve"> </w:t>
      </w:r>
      <w:r w:rsidR="008844DD" w:rsidRPr="002B630E">
        <w:rPr>
          <w:rFonts w:ascii="Times New Roman" w:hAnsi="Times New Roman" w:cs="Times New Roman"/>
          <w:sz w:val="24"/>
          <w:szCs w:val="24"/>
        </w:rPr>
        <w:t xml:space="preserve">Such a sign </w:t>
      </w:r>
      <w:r w:rsidR="0044285D" w:rsidRPr="002B630E">
        <w:rPr>
          <w:rFonts w:ascii="Times New Roman" w:hAnsi="Times New Roman" w:cs="Times New Roman"/>
          <w:sz w:val="24"/>
          <w:szCs w:val="24"/>
        </w:rPr>
        <w:t xml:space="preserve">is described as being used </w:t>
      </w:r>
      <w:r w:rsidR="00D3757B" w:rsidRPr="002B630E">
        <w:rPr>
          <w:rFonts w:ascii="Times New Roman" w:hAnsi="Times New Roman" w:cs="Times New Roman"/>
          <w:sz w:val="24"/>
          <w:szCs w:val="24"/>
        </w:rPr>
        <w:t>‘where one voice falls upon the rest [of the voices] after rests’</w:t>
      </w:r>
      <w:r w:rsidR="004C6C7D" w:rsidRPr="002B630E">
        <w:rPr>
          <w:rFonts w:ascii="Times New Roman" w:hAnsi="Times New Roman" w:cs="Times New Roman"/>
          <w:sz w:val="24"/>
          <w:szCs w:val="24"/>
        </w:rPr>
        <w:t xml:space="preserve">, providing some evidence that </w:t>
      </w:r>
      <w:r w:rsidR="004C6C7D" w:rsidRPr="002B630E">
        <w:rPr>
          <w:rFonts w:ascii="Times New Roman" w:hAnsi="Times New Roman" w:cs="Times New Roman"/>
          <w:i/>
          <w:sz w:val="24"/>
          <w:szCs w:val="24"/>
        </w:rPr>
        <w:t>signa</w:t>
      </w:r>
      <w:r w:rsidR="004C6C7D" w:rsidRPr="002B630E">
        <w:rPr>
          <w:rFonts w:ascii="Times New Roman" w:hAnsi="Times New Roman" w:cs="Times New Roman"/>
          <w:sz w:val="24"/>
          <w:szCs w:val="24"/>
        </w:rPr>
        <w:t xml:space="preserve"> of this type could be used to indicate canonical entries or the re-entry of a voice after a period of rest</w:t>
      </w:r>
      <w:r w:rsidR="00D3757B" w:rsidRPr="002B630E">
        <w:rPr>
          <w:rFonts w:ascii="Times New Roman" w:hAnsi="Times New Roman" w:cs="Times New Roman"/>
          <w:sz w:val="24"/>
          <w:szCs w:val="24"/>
        </w:rPr>
        <w:t>.</w:t>
      </w:r>
      <w:r w:rsidR="00D3757B" w:rsidRPr="002B630E">
        <w:rPr>
          <w:rStyle w:val="FootnoteReference"/>
          <w:rFonts w:ascii="Times New Roman" w:hAnsi="Times New Roman" w:cs="Times New Roman"/>
          <w:sz w:val="24"/>
          <w:szCs w:val="24"/>
        </w:rPr>
        <w:footnoteReference w:id="9"/>
      </w:r>
      <w:r w:rsidR="00C627FD" w:rsidRPr="002B630E">
        <w:rPr>
          <w:rFonts w:ascii="Times New Roman" w:hAnsi="Times New Roman" w:cs="Times New Roman"/>
          <w:sz w:val="24"/>
          <w:szCs w:val="24"/>
        </w:rPr>
        <w:t xml:space="preserve"> Thus, this second definition provides some information that is missing from the first, offering a suggestion of the likely placement of such symbols within a practical context</w:t>
      </w:r>
      <w:r w:rsidR="003B56D1">
        <w:rPr>
          <w:rFonts w:ascii="Times New Roman" w:hAnsi="Times New Roman" w:cs="Times New Roman"/>
          <w:sz w:val="24"/>
          <w:szCs w:val="24"/>
        </w:rPr>
        <w:t xml:space="preserve">. This takes the definition a step closer to our modern understanding of this symbol. </w:t>
      </w:r>
    </w:p>
    <w:p w14:paraId="48E73DAB" w14:textId="44892D14" w:rsidR="00F90990" w:rsidRPr="002B630E" w:rsidRDefault="00680D7D"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r>
      <w:r w:rsidR="007E0ACC" w:rsidRPr="002B630E">
        <w:rPr>
          <w:rFonts w:ascii="Times New Roman" w:hAnsi="Times New Roman" w:cs="Times New Roman"/>
          <w:sz w:val="24"/>
          <w:szCs w:val="24"/>
        </w:rPr>
        <w:t xml:space="preserve"> </w:t>
      </w:r>
      <w:r w:rsidR="00DD77C2">
        <w:rPr>
          <w:rFonts w:ascii="Times New Roman" w:hAnsi="Times New Roman" w:cs="Times New Roman"/>
          <w:sz w:val="24"/>
          <w:szCs w:val="24"/>
        </w:rPr>
        <w:t>The</w:t>
      </w:r>
      <w:r w:rsidR="00A4684A" w:rsidRPr="002B630E">
        <w:rPr>
          <w:rFonts w:ascii="Times New Roman" w:hAnsi="Times New Roman" w:cs="Times New Roman"/>
          <w:sz w:val="24"/>
          <w:szCs w:val="24"/>
        </w:rPr>
        <w:t xml:space="preserve"> same symbol is </w:t>
      </w:r>
      <w:r w:rsidR="00DD77C2">
        <w:rPr>
          <w:rFonts w:ascii="Times New Roman" w:hAnsi="Times New Roman" w:cs="Times New Roman"/>
          <w:sz w:val="24"/>
          <w:szCs w:val="24"/>
        </w:rPr>
        <w:t xml:space="preserve">similarly defined </w:t>
      </w:r>
      <w:r w:rsidR="00A4684A" w:rsidRPr="002B630E">
        <w:rPr>
          <w:rFonts w:ascii="Times New Roman" w:hAnsi="Times New Roman" w:cs="Times New Roman"/>
          <w:sz w:val="24"/>
          <w:szCs w:val="24"/>
        </w:rPr>
        <w:t xml:space="preserve">in the version of Tinctoris’s </w:t>
      </w:r>
      <w:r w:rsidR="00A4684A" w:rsidRPr="002B630E">
        <w:rPr>
          <w:rFonts w:ascii="Times New Roman" w:hAnsi="Times New Roman" w:cs="Times New Roman"/>
          <w:i/>
          <w:sz w:val="24"/>
          <w:szCs w:val="24"/>
        </w:rPr>
        <w:t xml:space="preserve">De punctis </w:t>
      </w:r>
      <w:r w:rsidR="00A4684A" w:rsidRPr="002B630E">
        <w:rPr>
          <w:rFonts w:ascii="Times New Roman" w:hAnsi="Times New Roman" w:cs="Times New Roman"/>
          <w:sz w:val="24"/>
          <w:szCs w:val="24"/>
        </w:rPr>
        <w:t xml:space="preserve">that survives in </w:t>
      </w:r>
      <w:r w:rsidR="00E4714E" w:rsidRPr="002B630E">
        <w:rPr>
          <w:rFonts w:ascii="Times New Roman" w:hAnsi="Times New Roman" w:cs="Times New Roman"/>
          <w:sz w:val="24"/>
          <w:szCs w:val="24"/>
        </w:rPr>
        <w:t xml:space="preserve">Ghent, Universiteitsbibliotheek, MS 70 (henceforth, </w:t>
      </w:r>
      <w:r w:rsidR="00A4684A" w:rsidRPr="003B4139">
        <w:rPr>
          <w:rFonts w:ascii="Times New Roman" w:hAnsi="Times New Roman" w:cs="Times New Roman"/>
          <w:b/>
          <w:sz w:val="24"/>
          <w:szCs w:val="24"/>
        </w:rPr>
        <w:t>B-Gu 70</w:t>
      </w:r>
      <w:r w:rsidR="00E4714E" w:rsidRPr="002B630E">
        <w:rPr>
          <w:rFonts w:ascii="Times New Roman" w:hAnsi="Times New Roman" w:cs="Times New Roman"/>
          <w:sz w:val="24"/>
          <w:szCs w:val="24"/>
        </w:rPr>
        <w:t>)</w:t>
      </w:r>
      <w:r w:rsidR="00A4684A" w:rsidRPr="002B630E">
        <w:rPr>
          <w:rFonts w:ascii="Times New Roman" w:hAnsi="Times New Roman" w:cs="Times New Roman"/>
          <w:sz w:val="24"/>
          <w:szCs w:val="24"/>
        </w:rPr>
        <w:t xml:space="preserve">. The twentieth chapter of the text labels these symbols as ‘puncti acceptionis’ [points of take-up]. As the chapter that discusses these symbols in Tinctoris’s </w:t>
      </w:r>
      <w:r w:rsidR="00877506">
        <w:rPr>
          <w:rFonts w:ascii="Times New Roman" w:hAnsi="Times New Roman" w:cs="Times New Roman"/>
          <w:i/>
          <w:sz w:val="24"/>
          <w:szCs w:val="24"/>
        </w:rPr>
        <w:t>De punctis</w:t>
      </w:r>
      <w:r w:rsidR="00877506" w:rsidRPr="002B630E">
        <w:rPr>
          <w:rFonts w:ascii="Times New Roman" w:hAnsi="Times New Roman" w:cs="Times New Roman"/>
          <w:sz w:val="24"/>
          <w:szCs w:val="24"/>
        </w:rPr>
        <w:t xml:space="preserve"> </w:t>
      </w:r>
      <w:r w:rsidR="00EB1E17" w:rsidRPr="002B630E">
        <w:rPr>
          <w:rFonts w:ascii="Times New Roman" w:hAnsi="Times New Roman" w:cs="Times New Roman"/>
          <w:sz w:val="24"/>
          <w:szCs w:val="24"/>
        </w:rPr>
        <w:t>survives only</w:t>
      </w:r>
      <w:r w:rsidR="00A4684A" w:rsidRPr="002B630E">
        <w:rPr>
          <w:rFonts w:ascii="Times New Roman" w:hAnsi="Times New Roman" w:cs="Times New Roman"/>
          <w:sz w:val="24"/>
          <w:szCs w:val="24"/>
        </w:rPr>
        <w:t xml:space="preserve"> in </w:t>
      </w:r>
      <w:r w:rsidR="00E4714E" w:rsidRPr="003B4139">
        <w:rPr>
          <w:rFonts w:ascii="Times New Roman" w:hAnsi="Times New Roman" w:cs="Times New Roman"/>
          <w:b/>
          <w:sz w:val="24"/>
          <w:szCs w:val="24"/>
        </w:rPr>
        <w:t>B-Gu 70</w:t>
      </w:r>
      <w:r w:rsidR="00E4714E" w:rsidRPr="002B630E">
        <w:rPr>
          <w:rFonts w:ascii="Times New Roman" w:hAnsi="Times New Roman" w:cs="Times New Roman"/>
          <w:sz w:val="24"/>
          <w:szCs w:val="24"/>
        </w:rPr>
        <w:t xml:space="preserve"> </w:t>
      </w:r>
      <w:r w:rsidR="00A4684A" w:rsidRPr="002B630E">
        <w:rPr>
          <w:rFonts w:ascii="Times New Roman" w:hAnsi="Times New Roman" w:cs="Times New Roman"/>
          <w:sz w:val="24"/>
          <w:szCs w:val="24"/>
        </w:rPr>
        <w:t xml:space="preserve">and not in the three </w:t>
      </w:r>
      <w:r w:rsidR="00EB1E17" w:rsidRPr="002B630E">
        <w:rPr>
          <w:rFonts w:ascii="Times New Roman" w:hAnsi="Times New Roman" w:cs="Times New Roman"/>
          <w:sz w:val="24"/>
          <w:szCs w:val="24"/>
        </w:rPr>
        <w:t>‘</w:t>
      </w:r>
      <w:r w:rsidR="00A4684A" w:rsidRPr="002B630E">
        <w:rPr>
          <w:rFonts w:ascii="Times New Roman" w:hAnsi="Times New Roman" w:cs="Times New Roman"/>
          <w:sz w:val="24"/>
          <w:szCs w:val="24"/>
        </w:rPr>
        <w:t>main</w:t>
      </w:r>
      <w:r w:rsidR="00EB1E17" w:rsidRPr="002B630E">
        <w:rPr>
          <w:rFonts w:ascii="Times New Roman" w:hAnsi="Times New Roman" w:cs="Times New Roman"/>
          <w:sz w:val="24"/>
          <w:szCs w:val="24"/>
        </w:rPr>
        <w:t>'</w:t>
      </w:r>
      <w:r w:rsidR="00A4684A" w:rsidRPr="002B630E">
        <w:rPr>
          <w:rFonts w:ascii="Times New Roman" w:hAnsi="Times New Roman" w:cs="Times New Roman"/>
          <w:sz w:val="24"/>
          <w:szCs w:val="24"/>
        </w:rPr>
        <w:t xml:space="preserve"> sources</w:t>
      </w:r>
      <w:r w:rsidR="00F74342" w:rsidRPr="002B630E">
        <w:rPr>
          <w:rFonts w:ascii="Times New Roman" w:hAnsi="Times New Roman" w:cs="Times New Roman"/>
          <w:sz w:val="24"/>
          <w:szCs w:val="24"/>
        </w:rPr>
        <w:t xml:space="preserve"> for Tinctoris’s texts</w:t>
      </w:r>
      <w:r w:rsidR="00F345A3" w:rsidRPr="002B630E">
        <w:rPr>
          <w:rFonts w:ascii="Times New Roman" w:hAnsi="Times New Roman" w:cs="Times New Roman"/>
          <w:sz w:val="24"/>
          <w:szCs w:val="24"/>
        </w:rPr>
        <w:t>–Brussels, Bibliothèque Royale, MS II 4147</w:t>
      </w:r>
      <w:r w:rsidR="00F345A3" w:rsidRPr="002B630E" w:rsidDel="00F345A3">
        <w:rPr>
          <w:rFonts w:ascii="Times New Roman" w:hAnsi="Times New Roman" w:cs="Times New Roman"/>
          <w:sz w:val="24"/>
          <w:szCs w:val="24"/>
        </w:rPr>
        <w:t xml:space="preserve"> </w:t>
      </w:r>
      <w:r w:rsidR="00F345A3" w:rsidRPr="002B630E">
        <w:rPr>
          <w:rFonts w:ascii="Times New Roman" w:hAnsi="Times New Roman" w:cs="Times New Roman"/>
          <w:sz w:val="24"/>
          <w:szCs w:val="24"/>
        </w:rPr>
        <w:t>(</w:t>
      </w:r>
      <w:r w:rsidR="00F345A3" w:rsidRPr="002B630E">
        <w:rPr>
          <w:rFonts w:ascii="Times New Roman" w:hAnsi="Times New Roman" w:cs="Times New Roman"/>
          <w:b/>
          <w:sz w:val="24"/>
          <w:szCs w:val="24"/>
        </w:rPr>
        <w:t>Br1</w:t>
      </w:r>
      <w:r w:rsidR="00F345A3" w:rsidRPr="002B630E">
        <w:rPr>
          <w:rFonts w:ascii="Times New Roman" w:hAnsi="Times New Roman" w:cs="Times New Roman"/>
          <w:sz w:val="24"/>
          <w:szCs w:val="24"/>
        </w:rPr>
        <w:t>)</w:t>
      </w:r>
      <w:r w:rsidR="00F74342" w:rsidRPr="002B630E">
        <w:rPr>
          <w:rFonts w:ascii="Times New Roman" w:hAnsi="Times New Roman" w:cs="Times New Roman"/>
          <w:sz w:val="24"/>
          <w:szCs w:val="24"/>
        </w:rPr>
        <w:t xml:space="preserve">, </w:t>
      </w:r>
      <w:r w:rsidR="00F345A3" w:rsidRPr="002B630E">
        <w:rPr>
          <w:rFonts w:ascii="Times New Roman" w:hAnsi="Times New Roman" w:cs="Times New Roman"/>
          <w:sz w:val="24"/>
          <w:szCs w:val="24"/>
        </w:rPr>
        <w:t>Valencia, Universitat de València, Biblioteca Històrica, MS 835</w:t>
      </w:r>
      <w:r w:rsidR="00F345A3" w:rsidRPr="002B630E" w:rsidDel="00F345A3">
        <w:rPr>
          <w:rFonts w:ascii="Times New Roman" w:hAnsi="Times New Roman" w:cs="Times New Roman"/>
          <w:sz w:val="24"/>
          <w:szCs w:val="24"/>
        </w:rPr>
        <w:t xml:space="preserve"> </w:t>
      </w:r>
      <w:r w:rsidR="00F345A3" w:rsidRPr="002B630E">
        <w:rPr>
          <w:rFonts w:ascii="Times New Roman" w:hAnsi="Times New Roman" w:cs="Times New Roman"/>
          <w:sz w:val="24"/>
          <w:szCs w:val="24"/>
        </w:rPr>
        <w:t>(</w:t>
      </w:r>
      <w:r w:rsidR="00F345A3" w:rsidRPr="002B630E">
        <w:rPr>
          <w:rFonts w:ascii="Times New Roman" w:hAnsi="Times New Roman" w:cs="Times New Roman"/>
          <w:b/>
          <w:sz w:val="24"/>
          <w:szCs w:val="24"/>
        </w:rPr>
        <w:t>V</w:t>
      </w:r>
      <w:r w:rsidR="00F345A3" w:rsidRPr="002B630E">
        <w:rPr>
          <w:rFonts w:ascii="Times New Roman" w:hAnsi="Times New Roman" w:cs="Times New Roman"/>
          <w:sz w:val="24"/>
          <w:szCs w:val="24"/>
        </w:rPr>
        <w:t>)</w:t>
      </w:r>
      <w:r w:rsidR="00F74342" w:rsidRPr="002B630E">
        <w:rPr>
          <w:rFonts w:ascii="Times New Roman" w:hAnsi="Times New Roman" w:cs="Times New Roman"/>
          <w:sz w:val="24"/>
          <w:szCs w:val="24"/>
        </w:rPr>
        <w:t xml:space="preserve">, and </w:t>
      </w:r>
      <w:r w:rsidR="00F345A3" w:rsidRPr="002B630E">
        <w:rPr>
          <w:rFonts w:ascii="Times New Roman" w:hAnsi="Times New Roman" w:cs="Times New Roman"/>
          <w:sz w:val="24"/>
          <w:szCs w:val="24"/>
        </w:rPr>
        <w:t>Bologna, Biblioteca Universitaria, MS 2573 (</w:t>
      </w:r>
      <w:r w:rsidR="00F345A3" w:rsidRPr="002B630E">
        <w:rPr>
          <w:rFonts w:ascii="Times New Roman" w:hAnsi="Times New Roman" w:cs="Times New Roman"/>
          <w:b/>
          <w:sz w:val="24"/>
          <w:szCs w:val="24"/>
        </w:rPr>
        <w:t>BU</w:t>
      </w:r>
      <w:r w:rsidR="00F345A3" w:rsidRPr="002B630E">
        <w:rPr>
          <w:rFonts w:ascii="Times New Roman" w:hAnsi="Times New Roman" w:cs="Times New Roman"/>
          <w:sz w:val="24"/>
          <w:szCs w:val="24"/>
        </w:rPr>
        <w:t>)–</w:t>
      </w:r>
      <w:r w:rsidR="00A4684A" w:rsidRPr="002B630E">
        <w:rPr>
          <w:rFonts w:ascii="Times New Roman" w:hAnsi="Times New Roman" w:cs="Times New Roman"/>
          <w:sz w:val="24"/>
          <w:szCs w:val="24"/>
        </w:rPr>
        <w:t>it</w:t>
      </w:r>
      <w:r w:rsidR="00877506">
        <w:rPr>
          <w:rFonts w:ascii="Times New Roman" w:hAnsi="Times New Roman" w:cs="Times New Roman"/>
          <w:sz w:val="24"/>
          <w:szCs w:val="24"/>
        </w:rPr>
        <w:t>s</w:t>
      </w:r>
      <w:r w:rsidR="00A4684A" w:rsidRPr="002B630E">
        <w:rPr>
          <w:rFonts w:ascii="Times New Roman" w:hAnsi="Times New Roman" w:cs="Times New Roman"/>
          <w:sz w:val="24"/>
          <w:szCs w:val="24"/>
        </w:rPr>
        <w:t xml:space="preserve"> </w:t>
      </w:r>
      <w:r w:rsidR="00877506">
        <w:rPr>
          <w:rFonts w:ascii="Times New Roman" w:hAnsi="Times New Roman" w:cs="Times New Roman"/>
          <w:sz w:val="24"/>
          <w:szCs w:val="24"/>
        </w:rPr>
        <w:t>attribution to Tinctoris is questionable</w:t>
      </w:r>
      <w:r w:rsidR="00A4684A" w:rsidRPr="002B630E">
        <w:rPr>
          <w:rFonts w:ascii="Times New Roman" w:hAnsi="Times New Roman" w:cs="Times New Roman"/>
          <w:sz w:val="24"/>
          <w:szCs w:val="24"/>
        </w:rPr>
        <w:t>.</w:t>
      </w:r>
      <w:r w:rsidR="00EB1E17" w:rsidRPr="002B630E">
        <w:rPr>
          <w:rStyle w:val="FootnoteReference"/>
          <w:rFonts w:ascii="Times New Roman" w:hAnsi="Times New Roman" w:cs="Times New Roman"/>
          <w:sz w:val="24"/>
          <w:szCs w:val="24"/>
        </w:rPr>
        <w:footnoteReference w:id="10"/>
      </w:r>
      <w:r w:rsidR="00A4684A" w:rsidRPr="002B630E">
        <w:rPr>
          <w:rFonts w:ascii="Times New Roman" w:hAnsi="Times New Roman" w:cs="Times New Roman"/>
          <w:sz w:val="24"/>
          <w:szCs w:val="24"/>
        </w:rPr>
        <w:t xml:space="preserve"> </w:t>
      </w:r>
      <w:r w:rsidR="007C60C7">
        <w:rPr>
          <w:rFonts w:ascii="Times New Roman" w:hAnsi="Times New Roman" w:cs="Times New Roman"/>
          <w:sz w:val="24"/>
          <w:szCs w:val="24"/>
        </w:rPr>
        <w:t xml:space="preserve">Further evidence to support this is found in the absence of the term from </w:t>
      </w:r>
      <w:r w:rsidR="003D6A28">
        <w:rPr>
          <w:rFonts w:ascii="Times New Roman" w:hAnsi="Times New Roman" w:cs="Times New Roman"/>
          <w:sz w:val="24"/>
          <w:szCs w:val="24"/>
        </w:rPr>
        <w:t xml:space="preserve">the </w:t>
      </w:r>
      <w:r w:rsidR="003D6A28">
        <w:rPr>
          <w:rFonts w:ascii="Times New Roman" w:hAnsi="Times New Roman" w:cs="Times New Roman"/>
          <w:i/>
          <w:sz w:val="24"/>
          <w:szCs w:val="24"/>
        </w:rPr>
        <w:t>Diffinitorium</w:t>
      </w:r>
      <w:r w:rsidR="003D6A28">
        <w:rPr>
          <w:rFonts w:ascii="Times New Roman" w:hAnsi="Times New Roman" w:cs="Times New Roman"/>
          <w:sz w:val="24"/>
          <w:szCs w:val="24"/>
        </w:rPr>
        <w:t xml:space="preserve">, raising </w:t>
      </w:r>
      <w:r w:rsidR="003D6A28">
        <w:rPr>
          <w:rFonts w:ascii="Times New Roman" w:hAnsi="Times New Roman" w:cs="Times New Roman"/>
          <w:sz w:val="24"/>
          <w:szCs w:val="24"/>
        </w:rPr>
        <w:lastRenderedPageBreak/>
        <w:t>further doubt on Tinctoris’s authorship, and all but confirming this was written by another</w:t>
      </w:r>
      <w:r w:rsidR="00877506">
        <w:rPr>
          <w:rFonts w:ascii="Times New Roman" w:hAnsi="Times New Roman" w:cs="Times New Roman"/>
          <w:sz w:val="24"/>
          <w:szCs w:val="24"/>
        </w:rPr>
        <w:t xml:space="preserve"> author</w:t>
      </w:r>
      <w:r w:rsidR="003D6A28">
        <w:rPr>
          <w:rFonts w:ascii="Times New Roman" w:hAnsi="Times New Roman" w:cs="Times New Roman"/>
          <w:sz w:val="24"/>
          <w:szCs w:val="24"/>
        </w:rPr>
        <w:t>.</w:t>
      </w:r>
      <w:r w:rsidR="003D6A28">
        <w:rPr>
          <w:rFonts w:ascii="Times New Roman" w:hAnsi="Times New Roman" w:cs="Times New Roman"/>
          <w:i/>
          <w:sz w:val="24"/>
          <w:szCs w:val="24"/>
        </w:rPr>
        <w:t xml:space="preserve"> </w:t>
      </w:r>
      <w:r w:rsidR="00A4684A" w:rsidRPr="002B630E">
        <w:rPr>
          <w:rFonts w:ascii="Times New Roman" w:hAnsi="Times New Roman" w:cs="Times New Roman"/>
          <w:sz w:val="24"/>
          <w:szCs w:val="24"/>
        </w:rPr>
        <w:t xml:space="preserve">The identity of this other author is unlikely ever to be unearthed unless new evidence comes to light. The peculiarities of </w:t>
      </w:r>
      <w:r w:rsidR="00E4714E" w:rsidRPr="003B4139">
        <w:rPr>
          <w:rFonts w:ascii="Times New Roman" w:hAnsi="Times New Roman" w:cs="Times New Roman"/>
          <w:b/>
          <w:sz w:val="24"/>
          <w:szCs w:val="24"/>
        </w:rPr>
        <w:t>B-Gu 70</w:t>
      </w:r>
      <w:r w:rsidR="00E4714E" w:rsidRPr="002B630E">
        <w:rPr>
          <w:rFonts w:ascii="Times New Roman" w:hAnsi="Times New Roman" w:cs="Times New Roman"/>
          <w:sz w:val="24"/>
          <w:szCs w:val="24"/>
        </w:rPr>
        <w:t xml:space="preserve"> </w:t>
      </w:r>
      <w:r w:rsidR="00A4684A" w:rsidRPr="002B630E">
        <w:rPr>
          <w:rFonts w:ascii="Times New Roman" w:hAnsi="Times New Roman" w:cs="Times New Roman"/>
          <w:sz w:val="24"/>
          <w:szCs w:val="24"/>
        </w:rPr>
        <w:t xml:space="preserve">contribute to this too, as this source seems to represent a different transmission process outside of the three </w:t>
      </w:r>
      <w:r w:rsidR="0078214B" w:rsidRPr="002B630E">
        <w:rPr>
          <w:rFonts w:ascii="Times New Roman" w:hAnsi="Times New Roman" w:cs="Times New Roman"/>
          <w:sz w:val="24"/>
          <w:szCs w:val="24"/>
        </w:rPr>
        <w:t>principal manuscripts</w:t>
      </w:r>
      <w:r w:rsidR="00A4684A" w:rsidRPr="002B630E">
        <w:rPr>
          <w:rFonts w:ascii="Times New Roman" w:hAnsi="Times New Roman" w:cs="Times New Roman"/>
          <w:sz w:val="24"/>
          <w:szCs w:val="24"/>
        </w:rPr>
        <w:t xml:space="preserve">, and thus it might </w:t>
      </w:r>
      <w:r w:rsidR="00877506">
        <w:rPr>
          <w:rFonts w:ascii="Times New Roman" w:hAnsi="Times New Roman" w:cs="Times New Roman"/>
          <w:sz w:val="24"/>
          <w:szCs w:val="24"/>
        </w:rPr>
        <w:t>preserve</w:t>
      </w:r>
      <w:r w:rsidR="00877506" w:rsidRPr="002B630E">
        <w:rPr>
          <w:rFonts w:ascii="Times New Roman" w:hAnsi="Times New Roman" w:cs="Times New Roman"/>
          <w:sz w:val="24"/>
          <w:szCs w:val="24"/>
        </w:rPr>
        <w:t xml:space="preserve"> </w:t>
      </w:r>
      <w:r w:rsidR="00A4684A" w:rsidRPr="002B630E">
        <w:rPr>
          <w:rFonts w:ascii="Times New Roman" w:hAnsi="Times New Roman" w:cs="Times New Roman"/>
          <w:sz w:val="24"/>
          <w:szCs w:val="24"/>
        </w:rPr>
        <w:t xml:space="preserve">an alternative tradition of Tinctoris’s treatises, perhaps </w:t>
      </w:r>
      <w:r w:rsidR="0078214B" w:rsidRPr="002B630E">
        <w:rPr>
          <w:rFonts w:ascii="Times New Roman" w:hAnsi="Times New Roman" w:cs="Times New Roman"/>
          <w:sz w:val="24"/>
          <w:szCs w:val="24"/>
        </w:rPr>
        <w:t xml:space="preserve">even </w:t>
      </w:r>
      <w:r w:rsidR="00A4684A" w:rsidRPr="002B630E">
        <w:rPr>
          <w:rFonts w:ascii="Times New Roman" w:hAnsi="Times New Roman" w:cs="Times New Roman"/>
          <w:sz w:val="24"/>
          <w:szCs w:val="24"/>
        </w:rPr>
        <w:t xml:space="preserve">in slightly earlier incarnations. For the present discussion, the author of this chapter </w:t>
      </w:r>
      <w:r w:rsidR="00DD77C2">
        <w:rPr>
          <w:rFonts w:ascii="Times New Roman" w:hAnsi="Times New Roman" w:cs="Times New Roman"/>
          <w:sz w:val="24"/>
          <w:szCs w:val="24"/>
        </w:rPr>
        <w:t xml:space="preserve">(provided below) </w:t>
      </w:r>
      <w:r w:rsidR="00A4684A" w:rsidRPr="002B630E">
        <w:rPr>
          <w:rFonts w:ascii="Times New Roman" w:hAnsi="Times New Roman" w:cs="Times New Roman"/>
          <w:sz w:val="24"/>
          <w:szCs w:val="24"/>
        </w:rPr>
        <w:t>will be labelled ‘pseudo-Tinctoris’ in the absence of a</w:t>
      </w:r>
      <w:r w:rsidR="008F2B85" w:rsidRPr="002B630E">
        <w:rPr>
          <w:rFonts w:ascii="Times New Roman" w:hAnsi="Times New Roman" w:cs="Times New Roman"/>
          <w:sz w:val="24"/>
          <w:szCs w:val="24"/>
        </w:rPr>
        <w:t xml:space="preserve"> more</w:t>
      </w:r>
      <w:r w:rsidR="00A4684A" w:rsidRPr="002B630E">
        <w:rPr>
          <w:rFonts w:ascii="Times New Roman" w:hAnsi="Times New Roman" w:cs="Times New Roman"/>
          <w:sz w:val="24"/>
          <w:szCs w:val="24"/>
        </w:rPr>
        <w:t xml:space="preserve"> accurate identification.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9"/>
        <w:gridCol w:w="4507"/>
      </w:tblGrid>
      <w:tr w:rsidR="00F90990" w:rsidRPr="002B630E" w14:paraId="5F7C4620" w14:textId="77777777" w:rsidTr="00530281">
        <w:tc>
          <w:tcPr>
            <w:tcW w:w="4621" w:type="dxa"/>
          </w:tcPr>
          <w:p w14:paraId="259A15F9" w14:textId="0BB4C511" w:rsidR="00F90990" w:rsidRPr="002B630E" w:rsidRDefault="00F90990" w:rsidP="00530281">
            <w:pPr>
              <w:pStyle w:val="onecolumn"/>
              <w:spacing w:line="480" w:lineRule="auto"/>
              <w:jc w:val="both"/>
            </w:pPr>
            <w:r w:rsidRPr="002B630E">
              <w:rPr>
                <w:rStyle w:val="sentence-1"/>
              </w:rPr>
              <w:t xml:space="preserve">‘Utuntur aliqui etiam </w:t>
            </w:r>
            <w:r w:rsidRPr="002B630E">
              <w:rPr>
                <w:rStyle w:val="sentence-1"/>
                <w:i/>
              </w:rPr>
              <w:t>tribus punctis in modum figure triangularis supra notam alicuius partis cantus simul positis</w:t>
            </w:r>
            <w:r w:rsidRPr="002B630E">
              <w:t>,</w:t>
            </w:r>
            <w:r w:rsidRPr="002B630E">
              <w:rPr>
                <w:rStyle w:val="sentence-1"/>
              </w:rPr>
              <w:t xml:space="preserve"> a quorum summitate virgula reflexa educitur</w:t>
            </w:r>
            <w:r w:rsidRPr="002B630E">
              <w:t>,</w:t>
            </w:r>
            <w:r w:rsidRPr="002B630E">
              <w:rPr>
                <w:rStyle w:val="sentence-1"/>
              </w:rPr>
              <w:t xml:space="preserve"> quibus his quos pause fastidiunt acceptio designatur.</w:t>
            </w:r>
            <w:r w:rsidRPr="002B630E">
              <w:rPr>
                <w:rStyle w:val="sentence-2"/>
              </w:rPr>
              <w:t xml:space="preserve"> Quosquidem punctos acceptionis dicunt.</w:t>
            </w:r>
            <w:r w:rsidRPr="002B630E">
              <w:rPr>
                <w:rStyle w:val="sentence-3"/>
              </w:rPr>
              <w:t xml:space="preserve"> Hinc eos sic diffiniunt: Puncti acceptionis sunt signa supra notam alicuius partis cantus posita</w:t>
            </w:r>
            <w:r w:rsidRPr="002B630E">
              <w:t>,</w:t>
            </w:r>
            <w:r w:rsidRPr="002B630E">
              <w:rPr>
                <w:rStyle w:val="sentence-3"/>
              </w:rPr>
              <w:t xml:space="preserve"> per que acceptio alicuius alterius partis post pausas suas ostenditur</w:t>
            </w:r>
            <w:r w:rsidRPr="002B630E">
              <w:t>,</w:t>
            </w:r>
            <w:r w:rsidRPr="002B630E">
              <w:rPr>
                <w:rStyle w:val="sentence-3"/>
              </w:rPr>
              <w:t xml:space="preserve"> ut in exemplo subsequenti:’</w:t>
            </w:r>
            <w:r w:rsidRPr="002B630E">
              <w:rPr>
                <w:rStyle w:val="FootnoteReference"/>
              </w:rPr>
              <w:footnoteReference w:id="11"/>
            </w:r>
          </w:p>
        </w:tc>
        <w:tc>
          <w:tcPr>
            <w:tcW w:w="4621" w:type="dxa"/>
          </w:tcPr>
          <w:p w14:paraId="2349C0F5" w14:textId="77777777" w:rsidR="00F90990" w:rsidRPr="002B630E" w:rsidRDefault="00F90990" w:rsidP="00B95FCD">
            <w:pPr>
              <w:pStyle w:val="onecolumn"/>
              <w:spacing w:line="480" w:lineRule="auto"/>
              <w:jc w:val="both"/>
            </w:pPr>
            <w:r w:rsidRPr="002B630E">
              <w:rPr>
                <w:rStyle w:val="sentence-1"/>
              </w:rPr>
              <w:t xml:space="preserve">Some people likewise use </w:t>
            </w:r>
            <w:r w:rsidRPr="002B630E">
              <w:rPr>
                <w:rStyle w:val="sentence-1"/>
                <w:i/>
              </w:rPr>
              <w:t>three dots placed together in the manner of a triangular figure above a note of any part of a piece</w:t>
            </w:r>
            <w:r w:rsidRPr="002B630E">
              <w:rPr>
                <w:rStyle w:val="sentence-1"/>
              </w:rPr>
              <w:t>, from whose top a turned-back stroke is drawn out, by which the take-up is designated for those whom rests annoy.</w:t>
            </w:r>
            <w:r w:rsidRPr="002B630E">
              <w:rPr>
                <w:rStyle w:val="sentence-2"/>
              </w:rPr>
              <w:t xml:space="preserve"> And indeed they call these dots of take-up.</w:t>
            </w:r>
            <w:r w:rsidRPr="002B630E">
              <w:rPr>
                <w:rStyle w:val="sentence-3"/>
              </w:rPr>
              <w:t xml:space="preserve"> Hence they define them thus: Dots of take-up are signs placed above a note of any part of a piece, by which the take-up of any other part after its rests is shown, as in the succeeding example:</w:t>
            </w:r>
          </w:p>
        </w:tc>
      </w:tr>
    </w:tbl>
    <w:p w14:paraId="30F8DD8A" w14:textId="77777777" w:rsidR="00530281" w:rsidRPr="002B630E" w:rsidRDefault="00530281" w:rsidP="00B95FCD">
      <w:pPr>
        <w:spacing w:line="480" w:lineRule="auto"/>
        <w:jc w:val="both"/>
        <w:rPr>
          <w:rFonts w:ascii="Times New Roman" w:hAnsi="Times New Roman" w:cs="Times New Roman"/>
          <w:sz w:val="24"/>
          <w:szCs w:val="24"/>
        </w:rPr>
      </w:pPr>
    </w:p>
    <w:p w14:paraId="3D9B32A2" w14:textId="16E4606F" w:rsidR="00F93F5D" w:rsidRPr="002B630E" w:rsidRDefault="00E4714E"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 xml:space="preserve">Pseudo-Tinctoris’s text, </w:t>
      </w:r>
      <w:r w:rsidR="00F90990" w:rsidRPr="002B630E">
        <w:rPr>
          <w:rFonts w:ascii="Times New Roman" w:hAnsi="Times New Roman" w:cs="Times New Roman"/>
          <w:sz w:val="24"/>
          <w:szCs w:val="24"/>
        </w:rPr>
        <w:t xml:space="preserve">unlike that of Anon. XII, </w:t>
      </w:r>
      <w:r w:rsidR="00531977" w:rsidRPr="002B630E">
        <w:rPr>
          <w:rFonts w:ascii="Times New Roman" w:hAnsi="Times New Roman" w:cs="Times New Roman"/>
          <w:sz w:val="24"/>
          <w:szCs w:val="24"/>
        </w:rPr>
        <w:t xml:space="preserve">clearly </w:t>
      </w:r>
      <w:r w:rsidR="00F90990" w:rsidRPr="002B630E">
        <w:rPr>
          <w:rFonts w:ascii="Times New Roman" w:hAnsi="Times New Roman" w:cs="Times New Roman"/>
          <w:sz w:val="24"/>
          <w:szCs w:val="24"/>
        </w:rPr>
        <w:t xml:space="preserve">describes the shape and form of </w:t>
      </w:r>
      <w:r w:rsidR="00017386" w:rsidRPr="002B630E">
        <w:rPr>
          <w:rFonts w:ascii="Times New Roman" w:hAnsi="Times New Roman" w:cs="Times New Roman"/>
          <w:sz w:val="24"/>
          <w:szCs w:val="24"/>
        </w:rPr>
        <w:t xml:space="preserve">these </w:t>
      </w:r>
      <w:r w:rsidR="00F90990" w:rsidRPr="002B630E">
        <w:rPr>
          <w:rFonts w:ascii="Times New Roman" w:hAnsi="Times New Roman" w:cs="Times New Roman"/>
          <w:i/>
          <w:sz w:val="24"/>
          <w:szCs w:val="24"/>
        </w:rPr>
        <w:t>signa</w:t>
      </w:r>
      <w:r w:rsidR="00206DC3" w:rsidRPr="002B630E">
        <w:rPr>
          <w:rFonts w:ascii="Times New Roman" w:hAnsi="Times New Roman" w:cs="Times New Roman"/>
          <w:i/>
          <w:sz w:val="24"/>
          <w:szCs w:val="24"/>
        </w:rPr>
        <w:t xml:space="preserve"> </w:t>
      </w:r>
      <w:r w:rsidR="00206DC3" w:rsidRPr="002B630E">
        <w:rPr>
          <w:rFonts w:ascii="Times New Roman" w:hAnsi="Times New Roman" w:cs="Times New Roman"/>
          <w:sz w:val="24"/>
          <w:szCs w:val="24"/>
        </w:rPr>
        <w:t xml:space="preserve">as </w:t>
      </w:r>
      <w:r w:rsidR="00842FFF" w:rsidRPr="002B630E">
        <w:rPr>
          <w:rFonts w:ascii="Times New Roman" w:hAnsi="Times New Roman" w:cs="Times New Roman"/>
          <w:sz w:val="24"/>
          <w:szCs w:val="24"/>
        </w:rPr>
        <w:t>consisting</w:t>
      </w:r>
      <w:r w:rsidR="00206DC3" w:rsidRPr="002B630E">
        <w:rPr>
          <w:rFonts w:ascii="Times New Roman" w:hAnsi="Times New Roman" w:cs="Times New Roman"/>
          <w:sz w:val="24"/>
          <w:szCs w:val="24"/>
        </w:rPr>
        <w:t xml:space="preserve"> of three dots placed together as a triangular figure from which a turned-</w:t>
      </w:r>
      <w:r w:rsidR="00206DC3" w:rsidRPr="002B630E">
        <w:rPr>
          <w:rFonts w:ascii="Times New Roman" w:hAnsi="Times New Roman" w:cs="Times New Roman"/>
          <w:sz w:val="24"/>
          <w:szCs w:val="24"/>
        </w:rPr>
        <w:lastRenderedPageBreak/>
        <w:t>back stroke is drawn out. The</w:t>
      </w:r>
      <w:r w:rsidR="005A1A27" w:rsidRPr="002B630E">
        <w:rPr>
          <w:rFonts w:ascii="Times New Roman" w:hAnsi="Times New Roman" w:cs="Times New Roman"/>
          <w:sz w:val="24"/>
          <w:szCs w:val="24"/>
        </w:rPr>
        <w:t xml:space="preserve"> description </w:t>
      </w:r>
      <w:r w:rsidR="00206DC3" w:rsidRPr="002B630E">
        <w:rPr>
          <w:rFonts w:ascii="Times New Roman" w:hAnsi="Times New Roman" w:cs="Times New Roman"/>
          <w:sz w:val="24"/>
          <w:szCs w:val="24"/>
        </w:rPr>
        <w:t xml:space="preserve">of </w:t>
      </w:r>
      <w:r w:rsidR="0079680C" w:rsidRPr="002B630E">
        <w:rPr>
          <w:rFonts w:ascii="Times New Roman" w:hAnsi="Times New Roman" w:cs="Times New Roman"/>
          <w:sz w:val="24"/>
          <w:szCs w:val="24"/>
        </w:rPr>
        <w:t xml:space="preserve">the </w:t>
      </w:r>
      <w:r w:rsidR="00206DC3" w:rsidRPr="002B630E">
        <w:rPr>
          <w:rFonts w:ascii="Times New Roman" w:hAnsi="Times New Roman" w:cs="Times New Roman"/>
          <w:sz w:val="24"/>
          <w:szCs w:val="24"/>
        </w:rPr>
        <w:t xml:space="preserve">shape and part of its function </w:t>
      </w:r>
      <w:r w:rsidR="0079680C" w:rsidRPr="002B630E">
        <w:rPr>
          <w:rFonts w:ascii="Times New Roman" w:hAnsi="Times New Roman" w:cs="Times New Roman"/>
          <w:sz w:val="24"/>
          <w:szCs w:val="24"/>
        </w:rPr>
        <w:t>seems to match</w:t>
      </w:r>
      <w:r w:rsidR="00206DC3" w:rsidRPr="002B630E">
        <w:rPr>
          <w:rFonts w:ascii="Times New Roman" w:hAnsi="Times New Roman" w:cs="Times New Roman"/>
          <w:sz w:val="24"/>
          <w:szCs w:val="24"/>
        </w:rPr>
        <w:t xml:space="preserve"> </w:t>
      </w:r>
      <w:r w:rsidR="005A1A27" w:rsidRPr="002B630E">
        <w:rPr>
          <w:rFonts w:ascii="Times New Roman" w:hAnsi="Times New Roman" w:cs="Times New Roman"/>
          <w:sz w:val="24"/>
          <w:szCs w:val="24"/>
        </w:rPr>
        <w:t xml:space="preserve">our modern conception of the </w:t>
      </w:r>
      <w:r w:rsidR="005A1A27" w:rsidRPr="002B630E">
        <w:rPr>
          <w:rFonts w:ascii="Times New Roman" w:hAnsi="Times New Roman" w:cs="Times New Roman"/>
          <w:i/>
          <w:sz w:val="24"/>
          <w:szCs w:val="24"/>
        </w:rPr>
        <w:t>signum congruentiae</w:t>
      </w:r>
      <w:r w:rsidR="0079680C" w:rsidRPr="002B630E">
        <w:rPr>
          <w:rFonts w:ascii="Times New Roman" w:hAnsi="Times New Roman" w:cs="Times New Roman"/>
          <w:sz w:val="24"/>
          <w:szCs w:val="24"/>
        </w:rPr>
        <w:t>.</w:t>
      </w:r>
      <w:r w:rsidR="005A1A27" w:rsidRPr="002B630E">
        <w:rPr>
          <w:rFonts w:ascii="Times New Roman" w:hAnsi="Times New Roman" w:cs="Times New Roman"/>
          <w:sz w:val="24"/>
          <w:szCs w:val="24"/>
        </w:rPr>
        <w:t xml:space="preserve"> </w:t>
      </w:r>
      <w:r w:rsidR="0079680C" w:rsidRPr="002B630E">
        <w:rPr>
          <w:rFonts w:ascii="Times New Roman" w:hAnsi="Times New Roman" w:cs="Times New Roman"/>
          <w:sz w:val="24"/>
          <w:szCs w:val="24"/>
        </w:rPr>
        <w:t>T</w:t>
      </w:r>
      <w:r w:rsidR="005A1A27" w:rsidRPr="002B630E">
        <w:rPr>
          <w:rFonts w:ascii="Times New Roman" w:hAnsi="Times New Roman" w:cs="Times New Roman"/>
          <w:sz w:val="24"/>
          <w:szCs w:val="24"/>
        </w:rPr>
        <w:t>hus it seems that</w:t>
      </w:r>
      <w:r w:rsidR="0079680C" w:rsidRPr="002B630E">
        <w:rPr>
          <w:rFonts w:ascii="Times New Roman" w:hAnsi="Times New Roman" w:cs="Times New Roman"/>
          <w:sz w:val="24"/>
          <w:szCs w:val="24"/>
        </w:rPr>
        <w:t>, on a basic level,</w:t>
      </w:r>
      <w:r w:rsidR="005A1A27" w:rsidRPr="002B630E">
        <w:rPr>
          <w:rFonts w:ascii="Times New Roman" w:hAnsi="Times New Roman" w:cs="Times New Roman"/>
          <w:sz w:val="24"/>
          <w:szCs w:val="24"/>
        </w:rPr>
        <w:t xml:space="preserve"> we can draw rough equivalence between these labels. If the definition is consulted carefully, however, </w:t>
      </w:r>
      <w:r w:rsidR="00405D29" w:rsidRPr="002B630E">
        <w:rPr>
          <w:rFonts w:ascii="Times New Roman" w:hAnsi="Times New Roman" w:cs="Times New Roman"/>
          <w:sz w:val="24"/>
          <w:szCs w:val="24"/>
        </w:rPr>
        <w:t xml:space="preserve">it is clear that the two labels indicate </w:t>
      </w:r>
      <w:r w:rsidR="00791304">
        <w:rPr>
          <w:rFonts w:ascii="Times New Roman" w:hAnsi="Times New Roman" w:cs="Times New Roman"/>
          <w:sz w:val="24"/>
          <w:szCs w:val="24"/>
        </w:rPr>
        <w:t xml:space="preserve">subtly </w:t>
      </w:r>
      <w:r w:rsidR="00405D29" w:rsidRPr="002B630E">
        <w:rPr>
          <w:rFonts w:ascii="Times New Roman" w:hAnsi="Times New Roman" w:cs="Times New Roman"/>
          <w:sz w:val="24"/>
          <w:szCs w:val="24"/>
        </w:rPr>
        <w:t>different things.</w:t>
      </w:r>
    </w:p>
    <w:p w14:paraId="05F2581B" w14:textId="06361B3D" w:rsidR="00EB15ED" w:rsidRPr="002B630E" w:rsidRDefault="00405D29"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r>
      <w:r w:rsidRPr="002B630E">
        <w:rPr>
          <w:rFonts w:ascii="Times New Roman" w:hAnsi="Times New Roman" w:cs="Times New Roman"/>
          <w:i/>
          <w:sz w:val="24"/>
          <w:szCs w:val="24"/>
        </w:rPr>
        <w:t>Puncti acceptionis</w:t>
      </w:r>
      <w:r w:rsidRPr="002B630E">
        <w:rPr>
          <w:rFonts w:ascii="Times New Roman" w:hAnsi="Times New Roman" w:cs="Times New Roman"/>
          <w:sz w:val="24"/>
          <w:szCs w:val="24"/>
        </w:rPr>
        <w:t xml:space="preserve"> are described as indicating a point of take-up to aid those ‘whom rests annoy’. </w:t>
      </w:r>
      <w:r w:rsidR="00017386" w:rsidRPr="002B630E">
        <w:rPr>
          <w:rFonts w:ascii="Times New Roman" w:hAnsi="Times New Roman" w:cs="Times New Roman"/>
          <w:sz w:val="24"/>
          <w:szCs w:val="24"/>
        </w:rPr>
        <w:t xml:space="preserve">We might infer from this </w:t>
      </w:r>
      <w:r w:rsidRPr="002B630E">
        <w:rPr>
          <w:rFonts w:ascii="Times New Roman" w:hAnsi="Times New Roman" w:cs="Times New Roman"/>
          <w:sz w:val="24"/>
          <w:szCs w:val="24"/>
        </w:rPr>
        <w:t xml:space="preserve">that such symbols were to be used after a long period of rest in a voice part, during which time a singer could consult another part and follow </w:t>
      </w:r>
      <w:r w:rsidR="008C2CD5" w:rsidRPr="002B630E">
        <w:rPr>
          <w:rFonts w:ascii="Times New Roman" w:hAnsi="Times New Roman" w:cs="Times New Roman"/>
          <w:sz w:val="24"/>
          <w:szCs w:val="24"/>
        </w:rPr>
        <w:t xml:space="preserve">it </w:t>
      </w:r>
      <w:r w:rsidRPr="002B630E">
        <w:rPr>
          <w:rFonts w:ascii="Times New Roman" w:hAnsi="Times New Roman" w:cs="Times New Roman"/>
          <w:sz w:val="24"/>
          <w:szCs w:val="24"/>
        </w:rPr>
        <w:t>until their point of entry. Undoubtedly, this would have helped a singer</w:t>
      </w:r>
      <w:r w:rsidR="0079680C" w:rsidRPr="002B630E">
        <w:rPr>
          <w:rFonts w:ascii="Times New Roman" w:hAnsi="Times New Roman" w:cs="Times New Roman"/>
          <w:sz w:val="24"/>
          <w:szCs w:val="24"/>
        </w:rPr>
        <w:t xml:space="preserve"> in practical performance</w:t>
      </w:r>
      <w:r w:rsidRPr="002B630E">
        <w:rPr>
          <w:rFonts w:ascii="Times New Roman" w:hAnsi="Times New Roman" w:cs="Times New Roman"/>
          <w:sz w:val="24"/>
          <w:szCs w:val="24"/>
        </w:rPr>
        <w:t xml:space="preserve">, particularly </w:t>
      </w:r>
      <w:r w:rsidR="00CA087B" w:rsidRPr="002B630E">
        <w:rPr>
          <w:rFonts w:ascii="Times New Roman" w:hAnsi="Times New Roman" w:cs="Times New Roman"/>
          <w:sz w:val="24"/>
          <w:szCs w:val="24"/>
        </w:rPr>
        <w:t>one</w:t>
      </w:r>
      <w:r w:rsidRPr="002B630E">
        <w:rPr>
          <w:rFonts w:ascii="Times New Roman" w:hAnsi="Times New Roman" w:cs="Times New Roman"/>
          <w:sz w:val="24"/>
          <w:szCs w:val="24"/>
        </w:rPr>
        <w:t xml:space="preserve"> with less experience</w:t>
      </w:r>
      <w:r w:rsidR="003F1420" w:rsidRPr="002B630E">
        <w:rPr>
          <w:rFonts w:ascii="Times New Roman" w:hAnsi="Times New Roman" w:cs="Times New Roman"/>
          <w:sz w:val="24"/>
          <w:szCs w:val="24"/>
        </w:rPr>
        <w:t xml:space="preserve"> of reading polyphonic mensural notation</w:t>
      </w:r>
      <w:r w:rsidRPr="002B630E">
        <w:rPr>
          <w:rFonts w:ascii="Times New Roman" w:hAnsi="Times New Roman" w:cs="Times New Roman"/>
          <w:sz w:val="24"/>
          <w:szCs w:val="24"/>
        </w:rPr>
        <w:t xml:space="preserve">. </w:t>
      </w:r>
      <w:r w:rsidR="00735C57" w:rsidRPr="002B630E">
        <w:rPr>
          <w:rFonts w:ascii="Times New Roman" w:hAnsi="Times New Roman" w:cs="Times New Roman"/>
          <w:sz w:val="24"/>
          <w:szCs w:val="24"/>
        </w:rPr>
        <w:t xml:space="preserve">Quite characteristically, the text in </w:t>
      </w:r>
      <w:r w:rsidR="00C83CD1" w:rsidRPr="002B630E">
        <w:rPr>
          <w:rFonts w:ascii="Times New Roman" w:hAnsi="Times New Roman" w:cs="Times New Roman"/>
          <w:sz w:val="24"/>
          <w:szCs w:val="24"/>
        </w:rPr>
        <w:t>Tinctoris’s</w:t>
      </w:r>
      <w:r w:rsidR="00735C57" w:rsidRPr="002B630E">
        <w:rPr>
          <w:rFonts w:ascii="Times New Roman" w:hAnsi="Times New Roman" w:cs="Times New Roman"/>
          <w:sz w:val="24"/>
          <w:szCs w:val="24"/>
        </w:rPr>
        <w:t xml:space="preserve"> treatise </w:t>
      </w:r>
      <w:r w:rsidR="008C2CD5" w:rsidRPr="002B630E">
        <w:rPr>
          <w:rFonts w:ascii="Times New Roman" w:hAnsi="Times New Roman" w:cs="Times New Roman"/>
          <w:sz w:val="24"/>
          <w:szCs w:val="24"/>
        </w:rPr>
        <w:t>is followed by</w:t>
      </w:r>
      <w:r w:rsidR="00735C57" w:rsidRPr="002B630E">
        <w:rPr>
          <w:rFonts w:ascii="Times New Roman" w:hAnsi="Times New Roman" w:cs="Times New Roman"/>
          <w:sz w:val="24"/>
          <w:szCs w:val="24"/>
        </w:rPr>
        <w:t xml:space="preserve"> an example</w:t>
      </w:r>
      <w:r w:rsidR="008C2CD5" w:rsidRPr="002B630E">
        <w:rPr>
          <w:rFonts w:ascii="Times New Roman" w:hAnsi="Times New Roman" w:cs="Times New Roman"/>
          <w:sz w:val="24"/>
          <w:szCs w:val="24"/>
        </w:rPr>
        <w:t xml:space="preserve"> </w:t>
      </w:r>
      <w:r w:rsidR="00FD779D" w:rsidRPr="002B630E">
        <w:rPr>
          <w:rFonts w:ascii="Times New Roman" w:hAnsi="Times New Roman" w:cs="Times New Roman"/>
          <w:sz w:val="24"/>
          <w:szCs w:val="24"/>
        </w:rPr>
        <w:t xml:space="preserve">(Figure 1) </w:t>
      </w:r>
      <w:r w:rsidR="0079680C" w:rsidRPr="002B630E">
        <w:rPr>
          <w:rFonts w:ascii="Times New Roman" w:hAnsi="Times New Roman" w:cs="Times New Roman"/>
          <w:sz w:val="24"/>
          <w:szCs w:val="24"/>
        </w:rPr>
        <w:t xml:space="preserve">intended </w:t>
      </w:r>
      <w:r w:rsidR="00735C57" w:rsidRPr="002B630E">
        <w:rPr>
          <w:rFonts w:ascii="Times New Roman" w:hAnsi="Times New Roman" w:cs="Times New Roman"/>
          <w:sz w:val="24"/>
          <w:szCs w:val="24"/>
        </w:rPr>
        <w:t xml:space="preserve">to </w:t>
      </w:r>
      <w:r w:rsidR="00EB15ED" w:rsidRPr="002B630E">
        <w:rPr>
          <w:rFonts w:ascii="Times New Roman" w:hAnsi="Times New Roman" w:cs="Times New Roman"/>
          <w:sz w:val="24"/>
          <w:szCs w:val="24"/>
        </w:rPr>
        <w:t>show the use of</w:t>
      </w:r>
      <w:r w:rsidR="00735C57" w:rsidRPr="002B630E">
        <w:rPr>
          <w:rFonts w:ascii="Times New Roman" w:hAnsi="Times New Roman" w:cs="Times New Roman"/>
          <w:sz w:val="24"/>
          <w:szCs w:val="24"/>
        </w:rPr>
        <w:t xml:space="preserve"> these symbols</w:t>
      </w:r>
      <w:r w:rsidR="00FE2F84" w:rsidRPr="002B630E">
        <w:rPr>
          <w:rFonts w:ascii="Times New Roman" w:hAnsi="Times New Roman" w:cs="Times New Roman"/>
          <w:sz w:val="24"/>
          <w:szCs w:val="24"/>
        </w:rPr>
        <w:t>, using a miniature two-part polyphonic composition as a vehicle for this demonstration</w:t>
      </w:r>
      <w:r w:rsidR="00243ACD" w:rsidRPr="002B630E">
        <w:rPr>
          <w:rFonts w:ascii="Times New Roman" w:hAnsi="Times New Roman" w:cs="Times New Roman"/>
          <w:sz w:val="24"/>
          <w:szCs w:val="24"/>
        </w:rPr>
        <w:t>.</w:t>
      </w:r>
      <w:r w:rsidR="00FE2F84" w:rsidRPr="002B630E">
        <w:rPr>
          <w:rFonts w:ascii="Times New Roman" w:hAnsi="Times New Roman" w:cs="Times New Roman"/>
          <w:sz w:val="24"/>
          <w:szCs w:val="24"/>
        </w:rPr>
        <w:t xml:space="preserve"> </w:t>
      </w:r>
      <w:r w:rsidR="00EB15ED" w:rsidRPr="002B630E">
        <w:rPr>
          <w:rFonts w:ascii="Times New Roman" w:hAnsi="Times New Roman" w:cs="Times New Roman"/>
          <w:sz w:val="24"/>
          <w:szCs w:val="24"/>
        </w:rPr>
        <w:t xml:space="preserve">At first glance it would seem that </w:t>
      </w:r>
      <w:r w:rsidR="00017386" w:rsidRPr="002B630E">
        <w:rPr>
          <w:rFonts w:ascii="Times New Roman" w:hAnsi="Times New Roman" w:cs="Times New Roman"/>
          <w:sz w:val="24"/>
          <w:szCs w:val="24"/>
        </w:rPr>
        <w:t>this pedagogical miniature</w:t>
      </w:r>
      <w:r w:rsidR="00EB15ED" w:rsidRPr="002B630E">
        <w:rPr>
          <w:rFonts w:ascii="Times New Roman" w:hAnsi="Times New Roman" w:cs="Times New Roman"/>
          <w:sz w:val="24"/>
          <w:szCs w:val="24"/>
        </w:rPr>
        <w:t xml:space="preserve"> demonstrates the theoreti</w:t>
      </w:r>
      <w:r w:rsidR="008C2CD5" w:rsidRPr="002B630E">
        <w:rPr>
          <w:rFonts w:ascii="Times New Roman" w:hAnsi="Times New Roman" w:cs="Times New Roman"/>
          <w:sz w:val="24"/>
          <w:szCs w:val="24"/>
        </w:rPr>
        <w:t xml:space="preserve">cal point </w:t>
      </w:r>
      <w:r w:rsidR="00BE45AE" w:rsidRPr="002B630E">
        <w:rPr>
          <w:rFonts w:ascii="Times New Roman" w:hAnsi="Times New Roman" w:cs="Times New Roman"/>
          <w:sz w:val="24"/>
          <w:szCs w:val="24"/>
        </w:rPr>
        <w:t>fully</w:t>
      </w:r>
      <w:r w:rsidR="008C2CD5" w:rsidRPr="002B630E">
        <w:rPr>
          <w:rFonts w:ascii="Times New Roman" w:hAnsi="Times New Roman" w:cs="Times New Roman"/>
          <w:sz w:val="24"/>
          <w:szCs w:val="24"/>
        </w:rPr>
        <w:t>, including</w:t>
      </w:r>
      <w:r w:rsidR="00EB15ED" w:rsidRPr="002B630E">
        <w:rPr>
          <w:rFonts w:ascii="Times New Roman" w:hAnsi="Times New Roman" w:cs="Times New Roman"/>
          <w:sz w:val="24"/>
          <w:szCs w:val="24"/>
        </w:rPr>
        <w:t xml:space="preserve"> </w:t>
      </w:r>
      <w:r w:rsidR="00EB15ED" w:rsidRPr="002B630E">
        <w:rPr>
          <w:rFonts w:ascii="Times New Roman" w:hAnsi="Times New Roman" w:cs="Times New Roman"/>
          <w:i/>
          <w:sz w:val="24"/>
          <w:szCs w:val="24"/>
        </w:rPr>
        <w:t>signa</w:t>
      </w:r>
      <w:r w:rsidR="00EB15ED" w:rsidRPr="002B630E">
        <w:rPr>
          <w:rFonts w:ascii="Times New Roman" w:hAnsi="Times New Roman" w:cs="Times New Roman"/>
          <w:sz w:val="24"/>
          <w:szCs w:val="24"/>
        </w:rPr>
        <w:t xml:space="preserve"> in both voice parts. </w:t>
      </w:r>
    </w:p>
    <w:p w14:paraId="375B20FF" w14:textId="55FFD78D" w:rsidR="00D10043" w:rsidRPr="002B630E" w:rsidRDefault="00C1722D" w:rsidP="00D10043">
      <w:pPr>
        <w:keepNext/>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GB"/>
        </w:rPr>
        <w:t>[FIG 1A HERE]</w:t>
      </w:r>
    </w:p>
    <w:p w14:paraId="2EA26535" w14:textId="4124C553" w:rsidR="00D10043" w:rsidRPr="002B630E" w:rsidRDefault="00D10043" w:rsidP="003B4139">
      <w:pPr>
        <w:pStyle w:val="Caption2"/>
        <w:spacing w:line="480" w:lineRule="auto"/>
        <w:jc w:val="left"/>
        <w:rPr>
          <w:szCs w:val="24"/>
        </w:rPr>
      </w:pPr>
      <w:r w:rsidRPr="002B630E">
        <w:rPr>
          <w:szCs w:val="24"/>
        </w:rPr>
        <w:t xml:space="preserve">Figure </w:t>
      </w:r>
      <w:r w:rsidRPr="002B630E">
        <w:rPr>
          <w:noProof/>
          <w:szCs w:val="24"/>
        </w:rPr>
        <w:t>1a</w:t>
      </w:r>
      <w:r w:rsidRPr="002B630E">
        <w:rPr>
          <w:szCs w:val="24"/>
        </w:rPr>
        <w:t xml:space="preserve">. Pseudo-Tinctoris, </w:t>
      </w:r>
      <w:r w:rsidRPr="002B630E">
        <w:rPr>
          <w:i/>
          <w:szCs w:val="24"/>
        </w:rPr>
        <w:t>De punct.</w:t>
      </w:r>
      <w:r w:rsidRPr="002B630E">
        <w:rPr>
          <w:szCs w:val="24"/>
        </w:rPr>
        <w:t>, Ch. xx, Ghent, Universiteitsbibliotheek, MS 70, fol. 177</w:t>
      </w:r>
      <w:r w:rsidRPr="002B630E">
        <w:rPr>
          <w:szCs w:val="24"/>
          <w:vertAlign w:val="superscript"/>
        </w:rPr>
        <w:t>r</w:t>
      </w:r>
      <w:r w:rsidRPr="002B630E">
        <w:rPr>
          <w:szCs w:val="24"/>
        </w:rPr>
        <w:t xml:space="preserve">. A short polyphonic miniature to demonstrate the application of </w:t>
      </w:r>
      <w:r w:rsidRPr="002B630E">
        <w:rPr>
          <w:i/>
          <w:szCs w:val="24"/>
        </w:rPr>
        <w:t>puncti acceptionis</w:t>
      </w:r>
      <w:r w:rsidRPr="002B630E">
        <w:rPr>
          <w:szCs w:val="24"/>
        </w:rPr>
        <w:t xml:space="preserve">, though the example (bottom of left column and entirety of right column) actually demonstrates </w:t>
      </w:r>
      <w:r w:rsidRPr="002B630E">
        <w:rPr>
          <w:i/>
          <w:szCs w:val="24"/>
        </w:rPr>
        <w:t>signa congruentiae</w:t>
      </w:r>
      <w:r w:rsidRPr="002B630E">
        <w:rPr>
          <w:szCs w:val="24"/>
        </w:rPr>
        <w:t xml:space="preserve"> in a more traditional sense, and does not </w:t>
      </w:r>
      <w:r w:rsidR="00327660">
        <w:rPr>
          <w:szCs w:val="24"/>
        </w:rPr>
        <w:t>meet the full</w:t>
      </w:r>
      <w:r w:rsidRPr="002B630E">
        <w:rPr>
          <w:szCs w:val="24"/>
        </w:rPr>
        <w:t xml:space="preserve"> requirements of the text.</w:t>
      </w:r>
    </w:p>
    <w:p w14:paraId="79783E96" w14:textId="163FB0D3" w:rsidR="00FD779D" w:rsidRPr="002B630E" w:rsidRDefault="002C60EF" w:rsidP="00B95FCD">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GB"/>
        </w:rPr>
        <w:t>[FIG 1B HERE]</w:t>
      </w:r>
    </w:p>
    <w:p w14:paraId="6BE1BD37" w14:textId="30DA7642" w:rsidR="00D10043" w:rsidRPr="002B630E" w:rsidRDefault="00D10043" w:rsidP="005C5396">
      <w:pPr>
        <w:pStyle w:val="Caption2"/>
        <w:spacing w:line="480" w:lineRule="auto"/>
        <w:jc w:val="left"/>
        <w:rPr>
          <w:szCs w:val="24"/>
        </w:rPr>
      </w:pPr>
      <w:r w:rsidRPr="002B630E">
        <w:rPr>
          <w:szCs w:val="24"/>
        </w:rPr>
        <w:t xml:space="preserve">Figure </w:t>
      </w:r>
      <w:r w:rsidRPr="002B630E">
        <w:rPr>
          <w:noProof/>
          <w:szCs w:val="24"/>
        </w:rPr>
        <w:t>1b</w:t>
      </w:r>
      <w:r w:rsidRPr="002B630E">
        <w:rPr>
          <w:szCs w:val="24"/>
        </w:rPr>
        <w:t xml:space="preserve">. </w:t>
      </w:r>
      <w:r w:rsidR="00B65EC9" w:rsidRPr="00E213C4">
        <w:rPr>
          <w:szCs w:val="24"/>
        </w:rPr>
        <w:t xml:space="preserve">Transcription of </w:t>
      </w:r>
      <w:r w:rsidR="00B65EC9">
        <w:rPr>
          <w:szCs w:val="24"/>
        </w:rPr>
        <w:t xml:space="preserve">the polyphonic miniature which follows the discussion of </w:t>
      </w:r>
      <w:r w:rsidR="00B65EC9">
        <w:rPr>
          <w:i/>
          <w:szCs w:val="24"/>
        </w:rPr>
        <w:t>punct</w:t>
      </w:r>
      <w:r w:rsidR="00DE3C8B">
        <w:rPr>
          <w:i/>
          <w:szCs w:val="24"/>
        </w:rPr>
        <w:t>i</w:t>
      </w:r>
      <w:r w:rsidR="00B65EC9">
        <w:rPr>
          <w:i/>
          <w:szCs w:val="24"/>
        </w:rPr>
        <w:t xml:space="preserve"> acceptionis </w:t>
      </w:r>
      <w:r w:rsidR="00B65EC9">
        <w:rPr>
          <w:szCs w:val="24"/>
        </w:rPr>
        <w:t>(as seen in Figure 1a).</w:t>
      </w:r>
    </w:p>
    <w:p w14:paraId="7C7F0700" w14:textId="77777777" w:rsidR="00D10043" w:rsidRPr="002B630E" w:rsidRDefault="00D10043" w:rsidP="00B95FCD">
      <w:pPr>
        <w:spacing w:line="480" w:lineRule="auto"/>
        <w:jc w:val="both"/>
        <w:rPr>
          <w:rFonts w:ascii="Times New Roman" w:hAnsi="Times New Roman" w:cs="Times New Roman"/>
          <w:sz w:val="24"/>
          <w:szCs w:val="24"/>
        </w:rPr>
      </w:pPr>
    </w:p>
    <w:p w14:paraId="3D2AC2D3" w14:textId="1FD034A2" w:rsidR="00E11D4A" w:rsidRPr="002B630E" w:rsidRDefault="007E12A7" w:rsidP="00B95FCD">
      <w:pPr>
        <w:spacing w:line="480" w:lineRule="auto"/>
        <w:ind w:firstLine="720"/>
        <w:jc w:val="both"/>
        <w:rPr>
          <w:rFonts w:ascii="Times New Roman" w:hAnsi="Times New Roman" w:cs="Times New Roman"/>
          <w:sz w:val="24"/>
          <w:szCs w:val="24"/>
        </w:rPr>
      </w:pPr>
      <w:r w:rsidRPr="002B630E">
        <w:rPr>
          <w:rFonts w:ascii="Times New Roman" w:hAnsi="Times New Roman" w:cs="Times New Roman"/>
          <w:sz w:val="24"/>
          <w:szCs w:val="24"/>
        </w:rPr>
        <w:lastRenderedPageBreak/>
        <w:t xml:space="preserve">The two </w:t>
      </w:r>
      <w:r w:rsidRPr="002B630E">
        <w:rPr>
          <w:rFonts w:ascii="Times New Roman" w:hAnsi="Times New Roman" w:cs="Times New Roman"/>
          <w:i/>
          <w:sz w:val="24"/>
          <w:szCs w:val="24"/>
        </w:rPr>
        <w:t xml:space="preserve">signa </w:t>
      </w:r>
      <w:r w:rsidRPr="002B630E">
        <w:rPr>
          <w:rFonts w:ascii="Times New Roman" w:hAnsi="Times New Roman" w:cs="Times New Roman"/>
          <w:sz w:val="24"/>
          <w:szCs w:val="24"/>
        </w:rPr>
        <w:t>are placed on a unison G (above middle C) in both voice parts</w:t>
      </w:r>
      <w:r w:rsidR="001C7F82">
        <w:rPr>
          <w:rFonts w:ascii="Times New Roman" w:hAnsi="Times New Roman" w:cs="Times New Roman"/>
          <w:sz w:val="24"/>
          <w:szCs w:val="24"/>
        </w:rPr>
        <w:t xml:space="preserve"> at the cadence marking the end of the first phrase. This represents</w:t>
      </w:r>
      <w:r w:rsidRPr="002B630E">
        <w:rPr>
          <w:rFonts w:ascii="Times New Roman" w:hAnsi="Times New Roman" w:cs="Times New Roman"/>
          <w:sz w:val="24"/>
          <w:szCs w:val="24"/>
        </w:rPr>
        <w:t xml:space="preserve"> a traditional point of coincidence</w:t>
      </w:r>
      <w:r w:rsidR="0017195F" w:rsidRPr="002B630E">
        <w:rPr>
          <w:rFonts w:ascii="Times New Roman" w:hAnsi="Times New Roman" w:cs="Times New Roman"/>
          <w:sz w:val="24"/>
          <w:szCs w:val="24"/>
        </w:rPr>
        <w:t xml:space="preserve"> or </w:t>
      </w:r>
      <w:r w:rsidRPr="002B630E">
        <w:rPr>
          <w:rFonts w:ascii="Times New Roman" w:hAnsi="Times New Roman" w:cs="Times New Roman"/>
          <w:sz w:val="24"/>
          <w:szCs w:val="24"/>
        </w:rPr>
        <w:t xml:space="preserve">congruence. Though satisfying our modern </w:t>
      </w:r>
      <w:r w:rsidR="00D3337B" w:rsidRPr="002B630E">
        <w:rPr>
          <w:rFonts w:ascii="Times New Roman" w:hAnsi="Times New Roman" w:cs="Times New Roman"/>
          <w:sz w:val="24"/>
          <w:szCs w:val="24"/>
        </w:rPr>
        <w:t xml:space="preserve">understanding </w:t>
      </w:r>
      <w:r w:rsidRPr="002B630E">
        <w:rPr>
          <w:rFonts w:ascii="Times New Roman" w:hAnsi="Times New Roman" w:cs="Times New Roman"/>
          <w:sz w:val="24"/>
          <w:szCs w:val="24"/>
        </w:rPr>
        <w:t xml:space="preserve">of the term, the example does not demonstrate </w:t>
      </w:r>
      <w:r w:rsidR="0017195F" w:rsidRPr="002B630E">
        <w:rPr>
          <w:rFonts w:ascii="Times New Roman" w:hAnsi="Times New Roman" w:cs="Times New Roman"/>
          <w:sz w:val="24"/>
          <w:szCs w:val="24"/>
        </w:rPr>
        <w:t xml:space="preserve">the </w:t>
      </w:r>
      <w:r w:rsidR="00954F02" w:rsidRPr="002B630E">
        <w:rPr>
          <w:rFonts w:ascii="Times New Roman" w:hAnsi="Times New Roman" w:cs="Times New Roman"/>
          <w:sz w:val="24"/>
          <w:szCs w:val="24"/>
        </w:rPr>
        <w:t xml:space="preserve">full </w:t>
      </w:r>
      <w:r w:rsidR="0017195F" w:rsidRPr="002B630E">
        <w:rPr>
          <w:rFonts w:ascii="Times New Roman" w:hAnsi="Times New Roman" w:cs="Times New Roman"/>
          <w:sz w:val="24"/>
          <w:szCs w:val="24"/>
        </w:rPr>
        <w:t xml:space="preserve">specifics of </w:t>
      </w:r>
      <w:r w:rsidR="00D3337B" w:rsidRPr="002B630E">
        <w:rPr>
          <w:rFonts w:ascii="Times New Roman" w:hAnsi="Times New Roman" w:cs="Times New Roman"/>
          <w:sz w:val="24"/>
          <w:szCs w:val="24"/>
        </w:rPr>
        <w:t>pseudo-</w:t>
      </w:r>
      <w:r w:rsidR="0079680C" w:rsidRPr="002B630E">
        <w:rPr>
          <w:rFonts w:ascii="Times New Roman" w:hAnsi="Times New Roman" w:cs="Times New Roman"/>
          <w:sz w:val="24"/>
          <w:szCs w:val="24"/>
        </w:rPr>
        <w:t>Tinctoris’s definition</w:t>
      </w:r>
      <w:r w:rsidRPr="002B630E">
        <w:rPr>
          <w:rFonts w:ascii="Times New Roman" w:hAnsi="Times New Roman" w:cs="Times New Roman"/>
          <w:sz w:val="24"/>
          <w:szCs w:val="24"/>
        </w:rPr>
        <w:t xml:space="preserve">. </w:t>
      </w:r>
      <w:r w:rsidR="00954F02" w:rsidRPr="002B630E">
        <w:rPr>
          <w:rFonts w:ascii="Times New Roman" w:hAnsi="Times New Roman" w:cs="Times New Roman"/>
          <w:sz w:val="24"/>
          <w:szCs w:val="24"/>
        </w:rPr>
        <w:t>To</w:t>
      </w:r>
      <w:r w:rsidRPr="002B630E">
        <w:rPr>
          <w:rFonts w:ascii="Times New Roman" w:hAnsi="Times New Roman" w:cs="Times New Roman"/>
          <w:sz w:val="24"/>
          <w:szCs w:val="24"/>
        </w:rPr>
        <w:t xml:space="preserve"> </w:t>
      </w:r>
      <w:r w:rsidR="0017195F" w:rsidRPr="002B630E">
        <w:rPr>
          <w:rFonts w:ascii="Times New Roman" w:hAnsi="Times New Roman" w:cs="Times New Roman"/>
          <w:sz w:val="24"/>
          <w:szCs w:val="24"/>
        </w:rPr>
        <w:t xml:space="preserve">exemplify </w:t>
      </w:r>
      <w:r w:rsidR="003177B4" w:rsidRPr="002B630E">
        <w:rPr>
          <w:rFonts w:ascii="Times New Roman" w:hAnsi="Times New Roman" w:cs="Times New Roman"/>
          <w:i/>
          <w:sz w:val="24"/>
          <w:szCs w:val="24"/>
        </w:rPr>
        <w:t>puncti</w:t>
      </w:r>
      <w:r w:rsidRPr="002B630E">
        <w:rPr>
          <w:rFonts w:ascii="Times New Roman" w:hAnsi="Times New Roman" w:cs="Times New Roman"/>
          <w:i/>
          <w:sz w:val="24"/>
          <w:szCs w:val="24"/>
        </w:rPr>
        <w:t xml:space="preserve"> acceptionis</w:t>
      </w:r>
      <w:r w:rsidR="0017195F" w:rsidRPr="002B630E">
        <w:rPr>
          <w:rFonts w:ascii="Times New Roman" w:hAnsi="Times New Roman" w:cs="Times New Roman"/>
          <w:i/>
          <w:sz w:val="24"/>
          <w:szCs w:val="24"/>
        </w:rPr>
        <w:t xml:space="preserve"> </w:t>
      </w:r>
      <w:r w:rsidR="0017195F" w:rsidRPr="002B630E">
        <w:rPr>
          <w:rFonts w:ascii="Times New Roman" w:hAnsi="Times New Roman" w:cs="Times New Roman"/>
          <w:sz w:val="24"/>
          <w:szCs w:val="24"/>
        </w:rPr>
        <w:t>properly</w:t>
      </w:r>
      <w:r w:rsidR="00A70775" w:rsidRPr="002B630E">
        <w:rPr>
          <w:rFonts w:ascii="Times New Roman" w:hAnsi="Times New Roman" w:cs="Times New Roman"/>
          <w:sz w:val="24"/>
          <w:szCs w:val="24"/>
        </w:rPr>
        <w:t>, the example would need to</w:t>
      </w:r>
      <w:r w:rsidR="00FC075F" w:rsidRPr="002B630E">
        <w:rPr>
          <w:rFonts w:ascii="Times New Roman" w:hAnsi="Times New Roman" w:cs="Times New Roman"/>
          <w:sz w:val="24"/>
          <w:szCs w:val="24"/>
        </w:rPr>
        <w:t xml:space="preserve"> contain</w:t>
      </w:r>
      <w:r w:rsidR="00A70775" w:rsidRPr="002B630E">
        <w:rPr>
          <w:rFonts w:ascii="Times New Roman" w:hAnsi="Times New Roman" w:cs="Times New Roman"/>
          <w:sz w:val="24"/>
          <w:szCs w:val="24"/>
        </w:rPr>
        <w:t xml:space="preserve"> a symbol </w:t>
      </w:r>
      <w:r w:rsidR="00FC075F" w:rsidRPr="002B630E">
        <w:rPr>
          <w:rFonts w:ascii="Times New Roman" w:hAnsi="Times New Roman" w:cs="Times New Roman"/>
          <w:sz w:val="24"/>
          <w:szCs w:val="24"/>
        </w:rPr>
        <w:t xml:space="preserve">placed </w:t>
      </w:r>
      <w:r w:rsidR="00A70775" w:rsidRPr="002B630E">
        <w:rPr>
          <w:rFonts w:ascii="Times New Roman" w:hAnsi="Times New Roman" w:cs="Times New Roman"/>
          <w:sz w:val="24"/>
          <w:szCs w:val="24"/>
        </w:rPr>
        <w:t>after a period of res</w:t>
      </w:r>
      <w:r w:rsidR="00FC075F" w:rsidRPr="002B630E">
        <w:rPr>
          <w:rFonts w:ascii="Times New Roman" w:hAnsi="Times New Roman" w:cs="Times New Roman"/>
          <w:sz w:val="24"/>
          <w:szCs w:val="24"/>
        </w:rPr>
        <w:t xml:space="preserve">t, presumably </w:t>
      </w:r>
      <w:r w:rsidR="003177B4" w:rsidRPr="002B630E">
        <w:rPr>
          <w:rFonts w:ascii="Times New Roman" w:hAnsi="Times New Roman" w:cs="Times New Roman"/>
          <w:sz w:val="24"/>
          <w:szCs w:val="24"/>
        </w:rPr>
        <w:t>one</w:t>
      </w:r>
      <w:r w:rsidR="00FC075F" w:rsidRPr="002B630E">
        <w:rPr>
          <w:rFonts w:ascii="Times New Roman" w:hAnsi="Times New Roman" w:cs="Times New Roman"/>
          <w:sz w:val="24"/>
          <w:szCs w:val="24"/>
        </w:rPr>
        <w:t xml:space="preserve"> long enough</w:t>
      </w:r>
      <w:r w:rsidR="008C2CD5" w:rsidRPr="002B630E">
        <w:rPr>
          <w:rFonts w:ascii="Times New Roman" w:hAnsi="Times New Roman" w:cs="Times New Roman"/>
          <w:sz w:val="24"/>
          <w:szCs w:val="24"/>
        </w:rPr>
        <w:t xml:space="preserve"> to justify </w:t>
      </w:r>
      <w:r w:rsidR="00587317" w:rsidRPr="002B630E">
        <w:rPr>
          <w:rFonts w:ascii="Times New Roman" w:hAnsi="Times New Roman" w:cs="Times New Roman"/>
          <w:sz w:val="24"/>
          <w:szCs w:val="24"/>
        </w:rPr>
        <w:t>its inclusion</w:t>
      </w:r>
      <w:r w:rsidR="00A70775" w:rsidRPr="002B630E">
        <w:rPr>
          <w:rFonts w:ascii="Times New Roman" w:hAnsi="Times New Roman" w:cs="Times New Roman"/>
          <w:sz w:val="24"/>
          <w:szCs w:val="24"/>
        </w:rPr>
        <w:t xml:space="preserve">, </w:t>
      </w:r>
      <w:r w:rsidR="00954F02" w:rsidRPr="002B630E">
        <w:rPr>
          <w:rFonts w:ascii="Times New Roman" w:hAnsi="Times New Roman" w:cs="Times New Roman"/>
          <w:sz w:val="24"/>
          <w:szCs w:val="24"/>
        </w:rPr>
        <w:t xml:space="preserve">in order to </w:t>
      </w:r>
      <w:r w:rsidR="00A70775" w:rsidRPr="002B630E">
        <w:rPr>
          <w:rFonts w:ascii="Times New Roman" w:hAnsi="Times New Roman" w:cs="Times New Roman"/>
          <w:sz w:val="24"/>
          <w:szCs w:val="24"/>
        </w:rPr>
        <w:t>indicate</w:t>
      </w:r>
      <w:r w:rsidR="00842FFF" w:rsidRPr="002B630E">
        <w:rPr>
          <w:rFonts w:ascii="Times New Roman" w:hAnsi="Times New Roman" w:cs="Times New Roman"/>
          <w:sz w:val="24"/>
          <w:szCs w:val="24"/>
        </w:rPr>
        <w:t xml:space="preserve"> properly</w:t>
      </w:r>
      <w:r w:rsidR="00A70775" w:rsidRPr="002B630E">
        <w:rPr>
          <w:rFonts w:ascii="Times New Roman" w:hAnsi="Times New Roman" w:cs="Times New Roman"/>
          <w:sz w:val="24"/>
          <w:szCs w:val="24"/>
        </w:rPr>
        <w:t xml:space="preserve"> the </w:t>
      </w:r>
      <w:r w:rsidR="0079680C" w:rsidRPr="002B630E">
        <w:rPr>
          <w:rFonts w:ascii="Times New Roman" w:hAnsi="Times New Roman" w:cs="Times New Roman"/>
          <w:sz w:val="24"/>
          <w:szCs w:val="24"/>
        </w:rPr>
        <w:t>‘</w:t>
      </w:r>
      <w:r w:rsidR="00A70775" w:rsidRPr="002B630E">
        <w:rPr>
          <w:rFonts w:ascii="Times New Roman" w:hAnsi="Times New Roman" w:cs="Times New Roman"/>
          <w:sz w:val="24"/>
          <w:szCs w:val="24"/>
        </w:rPr>
        <w:t>point of take-up</w:t>
      </w:r>
      <w:r w:rsidR="0079680C" w:rsidRPr="002B630E">
        <w:rPr>
          <w:rFonts w:ascii="Times New Roman" w:hAnsi="Times New Roman" w:cs="Times New Roman"/>
          <w:sz w:val="24"/>
          <w:szCs w:val="24"/>
        </w:rPr>
        <w:t>’</w:t>
      </w:r>
      <w:r w:rsidR="00D3337B" w:rsidRPr="002B630E">
        <w:rPr>
          <w:rFonts w:ascii="Times New Roman" w:hAnsi="Times New Roman" w:cs="Times New Roman"/>
          <w:sz w:val="24"/>
          <w:szCs w:val="24"/>
        </w:rPr>
        <w:t xml:space="preserve"> i.e. the point at which a voice restarts after a period of rest</w:t>
      </w:r>
      <w:r w:rsidR="00A70775" w:rsidRPr="002B630E">
        <w:rPr>
          <w:rFonts w:ascii="Times New Roman" w:hAnsi="Times New Roman" w:cs="Times New Roman"/>
          <w:sz w:val="24"/>
          <w:szCs w:val="24"/>
        </w:rPr>
        <w:t xml:space="preserve">. Given that rests </w:t>
      </w:r>
      <w:r w:rsidR="00854F3E">
        <w:rPr>
          <w:rFonts w:ascii="Times New Roman" w:hAnsi="Times New Roman" w:cs="Times New Roman"/>
          <w:sz w:val="24"/>
          <w:szCs w:val="24"/>
        </w:rPr>
        <w:t xml:space="preserve">are entirely absent from </w:t>
      </w:r>
      <w:r w:rsidR="00A70775" w:rsidRPr="002B630E">
        <w:rPr>
          <w:rFonts w:ascii="Times New Roman" w:hAnsi="Times New Roman" w:cs="Times New Roman"/>
          <w:sz w:val="24"/>
          <w:szCs w:val="24"/>
        </w:rPr>
        <w:t xml:space="preserve">this example, it is not possible for this </w:t>
      </w:r>
      <w:r w:rsidR="00056D65" w:rsidRPr="002B630E">
        <w:rPr>
          <w:rFonts w:ascii="Times New Roman" w:hAnsi="Times New Roman" w:cs="Times New Roman"/>
          <w:sz w:val="24"/>
          <w:szCs w:val="24"/>
        </w:rPr>
        <w:t xml:space="preserve">important </w:t>
      </w:r>
      <w:r w:rsidR="003A744B">
        <w:rPr>
          <w:rFonts w:ascii="Times New Roman" w:hAnsi="Times New Roman" w:cs="Times New Roman"/>
          <w:sz w:val="24"/>
          <w:szCs w:val="24"/>
        </w:rPr>
        <w:t>aspect</w:t>
      </w:r>
      <w:r w:rsidR="003A744B" w:rsidRPr="002B630E">
        <w:rPr>
          <w:rFonts w:ascii="Times New Roman" w:hAnsi="Times New Roman" w:cs="Times New Roman"/>
          <w:sz w:val="24"/>
          <w:szCs w:val="24"/>
        </w:rPr>
        <w:t xml:space="preserve"> </w:t>
      </w:r>
      <w:r w:rsidR="00A70775" w:rsidRPr="002B630E">
        <w:rPr>
          <w:rFonts w:ascii="Times New Roman" w:hAnsi="Times New Roman" w:cs="Times New Roman"/>
          <w:sz w:val="24"/>
          <w:szCs w:val="24"/>
        </w:rPr>
        <w:t xml:space="preserve">of </w:t>
      </w:r>
      <w:r w:rsidR="0017195F" w:rsidRPr="002B630E">
        <w:rPr>
          <w:rFonts w:ascii="Times New Roman" w:hAnsi="Times New Roman" w:cs="Times New Roman"/>
          <w:sz w:val="24"/>
          <w:szCs w:val="24"/>
        </w:rPr>
        <w:t xml:space="preserve">pseudo-Tinctoris’s </w:t>
      </w:r>
      <w:r w:rsidR="00A70775" w:rsidRPr="002B630E">
        <w:rPr>
          <w:rFonts w:ascii="Times New Roman" w:hAnsi="Times New Roman" w:cs="Times New Roman"/>
          <w:sz w:val="24"/>
          <w:szCs w:val="24"/>
        </w:rPr>
        <w:t xml:space="preserve">definition </w:t>
      </w:r>
      <w:r w:rsidR="00E11D4A" w:rsidRPr="002B630E">
        <w:rPr>
          <w:rFonts w:ascii="Times New Roman" w:hAnsi="Times New Roman" w:cs="Times New Roman"/>
          <w:sz w:val="24"/>
          <w:szCs w:val="24"/>
        </w:rPr>
        <w:t xml:space="preserve">to be demonstrated. Instead, the example demonstrates a </w:t>
      </w:r>
      <w:r w:rsidR="00E11D4A" w:rsidRPr="002B630E">
        <w:rPr>
          <w:rFonts w:ascii="Times New Roman" w:hAnsi="Times New Roman" w:cs="Times New Roman"/>
          <w:i/>
          <w:sz w:val="24"/>
          <w:szCs w:val="24"/>
        </w:rPr>
        <w:t>signum congruentiae</w:t>
      </w:r>
      <w:r w:rsidR="00E11D4A" w:rsidRPr="002B630E">
        <w:rPr>
          <w:rFonts w:ascii="Times New Roman" w:hAnsi="Times New Roman" w:cs="Times New Roman"/>
          <w:sz w:val="24"/>
          <w:szCs w:val="24"/>
        </w:rPr>
        <w:t xml:space="preserve"> </w:t>
      </w:r>
      <w:r w:rsidR="00056D65" w:rsidRPr="002B630E">
        <w:rPr>
          <w:rFonts w:ascii="Times New Roman" w:hAnsi="Times New Roman" w:cs="Times New Roman"/>
          <w:sz w:val="24"/>
          <w:szCs w:val="24"/>
        </w:rPr>
        <w:t xml:space="preserve">in the traditional sense </w:t>
      </w:r>
      <w:r w:rsidR="00E11D4A" w:rsidRPr="002B630E">
        <w:rPr>
          <w:rFonts w:ascii="Times New Roman" w:hAnsi="Times New Roman" w:cs="Times New Roman"/>
          <w:sz w:val="24"/>
          <w:szCs w:val="24"/>
        </w:rPr>
        <w:t>as laid out by Anon. XII, albeit with a more detailed textual description</w:t>
      </w:r>
      <w:r w:rsidR="00FC075F" w:rsidRPr="002B630E">
        <w:rPr>
          <w:rFonts w:ascii="Times New Roman" w:hAnsi="Times New Roman" w:cs="Times New Roman"/>
          <w:sz w:val="24"/>
          <w:szCs w:val="24"/>
        </w:rPr>
        <w:t xml:space="preserve"> of its shape and form</w:t>
      </w:r>
      <w:r w:rsidR="004F1880" w:rsidRPr="002B630E">
        <w:rPr>
          <w:rFonts w:ascii="Times New Roman" w:hAnsi="Times New Roman" w:cs="Times New Roman"/>
          <w:sz w:val="24"/>
          <w:szCs w:val="24"/>
        </w:rPr>
        <w:t>, and a musical miniature to show the way in which it might be used in a practical musical scenario</w:t>
      </w:r>
      <w:r w:rsidR="00E11D4A" w:rsidRPr="002B630E">
        <w:rPr>
          <w:rFonts w:ascii="Times New Roman" w:hAnsi="Times New Roman" w:cs="Times New Roman"/>
          <w:sz w:val="24"/>
          <w:szCs w:val="24"/>
        </w:rPr>
        <w:t>.</w:t>
      </w:r>
      <w:r w:rsidR="00954F02" w:rsidRPr="002B630E">
        <w:rPr>
          <w:rFonts w:ascii="Times New Roman" w:hAnsi="Times New Roman" w:cs="Times New Roman"/>
          <w:sz w:val="24"/>
          <w:szCs w:val="24"/>
        </w:rPr>
        <w:t xml:space="preserve"> </w:t>
      </w:r>
    </w:p>
    <w:p w14:paraId="2C80E947" w14:textId="2618CAE2" w:rsidR="00EB15ED" w:rsidRPr="002B630E" w:rsidRDefault="00E11D4A"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t>Thus</w:t>
      </w:r>
      <w:r w:rsidR="00FC075F" w:rsidRPr="002B630E">
        <w:rPr>
          <w:rFonts w:ascii="Times New Roman" w:hAnsi="Times New Roman" w:cs="Times New Roman"/>
          <w:sz w:val="24"/>
          <w:szCs w:val="24"/>
        </w:rPr>
        <w:t>,</w:t>
      </w:r>
      <w:r w:rsidRPr="002B630E">
        <w:rPr>
          <w:rFonts w:ascii="Times New Roman" w:hAnsi="Times New Roman" w:cs="Times New Roman"/>
          <w:sz w:val="24"/>
          <w:szCs w:val="24"/>
        </w:rPr>
        <w:t xml:space="preserve"> two </w:t>
      </w:r>
      <w:r w:rsidR="00253202" w:rsidRPr="002B630E">
        <w:rPr>
          <w:rFonts w:ascii="Times New Roman" w:hAnsi="Times New Roman" w:cs="Times New Roman"/>
          <w:sz w:val="24"/>
          <w:szCs w:val="24"/>
        </w:rPr>
        <w:t xml:space="preserve">distinct </w:t>
      </w:r>
      <w:r w:rsidRPr="002B630E">
        <w:rPr>
          <w:rFonts w:ascii="Times New Roman" w:hAnsi="Times New Roman" w:cs="Times New Roman"/>
          <w:sz w:val="24"/>
          <w:szCs w:val="24"/>
        </w:rPr>
        <w:t xml:space="preserve">definitions have been identified in </w:t>
      </w:r>
      <w:r w:rsidR="00857595" w:rsidRPr="002B630E">
        <w:rPr>
          <w:rFonts w:ascii="Times New Roman" w:hAnsi="Times New Roman" w:cs="Times New Roman"/>
          <w:sz w:val="24"/>
          <w:szCs w:val="24"/>
        </w:rPr>
        <w:t xml:space="preserve">three </w:t>
      </w:r>
      <w:r w:rsidR="008C2CD5" w:rsidRPr="002B630E">
        <w:rPr>
          <w:rFonts w:ascii="Times New Roman" w:hAnsi="Times New Roman" w:cs="Times New Roman"/>
          <w:sz w:val="24"/>
          <w:szCs w:val="24"/>
        </w:rPr>
        <w:t xml:space="preserve">fifteenth-century </w:t>
      </w:r>
      <w:r w:rsidRPr="002B630E">
        <w:rPr>
          <w:rFonts w:ascii="Times New Roman" w:hAnsi="Times New Roman" w:cs="Times New Roman"/>
          <w:sz w:val="24"/>
          <w:szCs w:val="24"/>
        </w:rPr>
        <w:t>theoretical texts, with each approaching the symbol from a slightly different view</w:t>
      </w:r>
      <w:r w:rsidR="008C2CD5" w:rsidRPr="002B630E">
        <w:rPr>
          <w:rFonts w:ascii="Times New Roman" w:hAnsi="Times New Roman" w:cs="Times New Roman"/>
          <w:sz w:val="24"/>
          <w:szCs w:val="24"/>
        </w:rPr>
        <w:t>point</w:t>
      </w:r>
      <w:r w:rsidR="00A06B2F" w:rsidRPr="002B630E">
        <w:rPr>
          <w:rFonts w:ascii="Times New Roman" w:hAnsi="Times New Roman" w:cs="Times New Roman"/>
          <w:sz w:val="24"/>
          <w:szCs w:val="24"/>
        </w:rPr>
        <w:t>.</w:t>
      </w:r>
      <w:r w:rsidRPr="002B630E">
        <w:rPr>
          <w:rFonts w:ascii="Times New Roman" w:hAnsi="Times New Roman" w:cs="Times New Roman"/>
          <w:sz w:val="24"/>
          <w:szCs w:val="24"/>
        </w:rPr>
        <w:t xml:space="preserve"> Anon. XII</w:t>
      </w:r>
      <w:r w:rsidR="00A06B2F" w:rsidRPr="002B630E">
        <w:rPr>
          <w:rFonts w:ascii="Times New Roman" w:hAnsi="Times New Roman" w:cs="Times New Roman"/>
          <w:sz w:val="24"/>
          <w:szCs w:val="24"/>
        </w:rPr>
        <w:t xml:space="preserve">, and the related </w:t>
      </w:r>
      <w:r w:rsidR="00A06B2F" w:rsidRPr="002B630E">
        <w:rPr>
          <w:rFonts w:ascii="Times New Roman" w:hAnsi="Times New Roman" w:cs="Times New Roman"/>
          <w:i/>
          <w:sz w:val="24"/>
          <w:szCs w:val="24"/>
        </w:rPr>
        <w:t>Anonimi tractatus de musica compendium cantus figurati</w:t>
      </w:r>
      <w:r w:rsidR="00A06B2F" w:rsidRPr="002B630E">
        <w:rPr>
          <w:rFonts w:ascii="Times New Roman" w:hAnsi="Times New Roman" w:cs="Times New Roman"/>
          <w:sz w:val="24"/>
          <w:szCs w:val="24"/>
        </w:rPr>
        <w:t>,</w:t>
      </w:r>
      <w:r w:rsidRPr="002B630E">
        <w:rPr>
          <w:rFonts w:ascii="Times New Roman" w:hAnsi="Times New Roman" w:cs="Times New Roman"/>
          <w:sz w:val="24"/>
          <w:szCs w:val="24"/>
        </w:rPr>
        <w:t xml:space="preserve"> presents this symbol as a tool to indicate a point where voice parts aligned, with no specific context for the application of the symbol being </w:t>
      </w:r>
      <w:r w:rsidR="008C2CD5" w:rsidRPr="002B630E">
        <w:rPr>
          <w:rFonts w:ascii="Times New Roman" w:hAnsi="Times New Roman" w:cs="Times New Roman"/>
          <w:sz w:val="24"/>
          <w:szCs w:val="24"/>
        </w:rPr>
        <w:t>given</w:t>
      </w:r>
      <w:r w:rsidRPr="002B630E">
        <w:rPr>
          <w:rFonts w:ascii="Times New Roman" w:hAnsi="Times New Roman" w:cs="Times New Roman"/>
          <w:sz w:val="24"/>
          <w:szCs w:val="24"/>
        </w:rPr>
        <w:t xml:space="preserve">; </w:t>
      </w:r>
      <w:r w:rsidRPr="002B630E">
        <w:rPr>
          <w:rFonts w:ascii="Times New Roman" w:hAnsi="Times New Roman" w:cs="Times New Roman"/>
          <w:i/>
          <w:sz w:val="24"/>
          <w:szCs w:val="24"/>
        </w:rPr>
        <w:t>De punctis</w:t>
      </w:r>
      <w:r w:rsidRPr="002B630E">
        <w:rPr>
          <w:rFonts w:ascii="Times New Roman" w:hAnsi="Times New Roman" w:cs="Times New Roman"/>
          <w:sz w:val="24"/>
          <w:szCs w:val="24"/>
        </w:rPr>
        <w:t xml:space="preserve"> </w:t>
      </w:r>
      <w:r w:rsidR="00807F67" w:rsidRPr="002B630E">
        <w:rPr>
          <w:rFonts w:ascii="Times New Roman" w:hAnsi="Times New Roman" w:cs="Times New Roman"/>
          <w:sz w:val="24"/>
          <w:szCs w:val="24"/>
        </w:rPr>
        <w:t xml:space="preserve">gives a specific notational context </w:t>
      </w:r>
      <w:r w:rsidR="008C2CD5" w:rsidRPr="002B630E">
        <w:rPr>
          <w:rFonts w:ascii="Times New Roman" w:hAnsi="Times New Roman" w:cs="Times New Roman"/>
          <w:sz w:val="24"/>
          <w:szCs w:val="24"/>
        </w:rPr>
        <w:t xml:space="preserve">for the symbol functioning </w:t>
      </w:r>
      <w:r w:rsidR="00807F67" w:rsidRPr="002B630E">
        <w:rPr>
          <w:rFonts w:ascii="Times New Roman" w:hAnsi="Times New Roman" w:cs="Times New Roman"/>
          <w:sz w:val="24"/>
          <w:szCs w:val="24"/>
        </w:rPr>
        <w:t>as an aid to singers</w:t>
      </w:r>
      <w:r w:rsidR="008C2CD5" w:rsidRPr="002B630E">
        <w:rPr>
          <w:rFonts w:ascii="Times New Roman" w:hAnsi="Times New Roman" w:cs="Times New Roman"/>
          <w:sz w:val="24"/>
          <w:szCs w:val="24"/>
        </w:rPr>
        <w:t>,</w:t>
      </w:r>
      <w:r w:rsidR="00D172B0" w:rsidRPr="002B630E">
        <w:rPr>
          <w:rFonts w:ascii="Times New Roman" w:hAnsi="Times New Roman" w:cs="Times New Roman"/>
          <w:sz w:val="24"/>
          <w:szCs w:val="24"/>
        </w:rPr>
        <w:t xml:space="preserve"> </w:t>
      </w:r>
      <w:r w:rsidR="008C2CD5" w:rsidRPr="002B630E">
        <w:rPr>
          <w:rFonts w:ascii="Times New Roman" w:hAnsi="Times New Roman" w:cs="Times New Roman"/>
          <w:sz w:val="24"/>
          <w:szCs w:val="24"/>
        </w:rPr>
        <w:t>yet</w:t>
      </w:r>
      <w:r w:rsidR="00D172B0" w:rsidRPr="002B630E">
        <w:rPr>
          <w:rFonts w:ascii="Times New Roman" w:hAnsi="Times New Roman" w:cs="Times New Roman"/>
          <w:sz w:val="24"/>
          <w:szCs w:val="24"/>
        </w:rPr>
        <w:t xml:space="preserve"> includes an example that demonstrates Anon. XII’s definition and not that of </w:t>
      </w:r>
      <w:r w:rsidR="0078394C" w:rsidRPr="002B630E">
        <w:rPr>
          <w:rFonts w:ascii="Times New Roman" w:hAnsi="Times New Roman" w:cs="Times New Roman"/>
          <w:sz w:val="24"/>
          <w:szCs w:val="24"/>
        </w:rPr>
        <w:t xml:space="preserve">the </w:t>
      </w:r>
      <w:r w:rsidR="00D172B0" w:rsidRPr="002B630E">
        <w:rPr>
          <w:rFonts w:ascii="Times New Roman" w:hAnsi="Times New Roman" w:cs="Times New Roman"/>
          <w:i/>
          <w:sz w:val="24"/>
          <w:szCs w:val="24"/>
        </w:rPr>
        <w:t>puncti acceptionis</w:t>
      </w:r>
      <w:r w:rsidR="00D172B0" w:rsidRPr="002B630E">
        <w:rPr>
          <w:rFonts w:ascii="Times New Roman" w:hAnsi="Times New Roman" w:cs="Times New Roman"/>
          <w:sz w:val="24"/>
          <w:szCs w:val="24"/>
        </w:rPr>
        <w:t>.</w:t>
      </w:r>
      <w:r w:rsidR="00FC075F" w:rsidRPr="002B630E">
        <w:rPr>
          <w:rStyle w:val="FootnoteReference"/>
          <w:rFonts w:ascii="Times New Roman" w:hAnsi="Times New Roman" w:cs="Times New Roman"/>
          <w:sz w:val="24"/>
          <w:szCs w:val="24"/>
        </w:rPr>
        <w:footnoteReference w:id="12"/>
      </w:r>
      <w:r w:rsidR="00D172B0" w:rsidRPr="002B630E">
        <w:rPr>
          <w:rFonts w:ascii="Times New Roman" w:hAnsi="Times New Roman" w:cs="Times New Roman"/>
          <w:sz w:val="24"/>
          <w:szCs w:val="24"/>
        </w:rPr>
        <w:t xml:space="preserve"> These divergent definitions</w:t>
      </w:r>
      <w:r w:rsidR="00A06B2F" w:rsidRPr="002B630E">
        <w:rPr>
          <w:rFonts w:ascii="Times New Roman" w:hAnsi="Times New Roman" w:cs="Times New Roman"/>
          <w:sz w:val="24"/>
          <w:szCs w:val="24"/>
        </w:rPr>
        <w:t xml:space="preserve"> of a similar shaped notational sign </w:t>
      </w:r>
      <w:r w:rsidR="00D172B0" w:rsidRPr="002B630E">
        <w:rPr>
          <w:rFonts w:ascii="Times New Roman" w:hAnsi="Times New Roman" w:cs="Times New Roman"/>
          <w:sz w:val="24"/>
          <w:szCs w:val="24"/>
        </w:rPr>
        <w:t xml:space="preserve">are indicative of </w:t>
      </w:r>
      <w:r w:rsidR="00954F02" w:rsidRPr="002B630E">
        <w:rPr>
          <w:rFonts w:ascii="Times New Roman" w:hAnsi="Times New Roman" w:cs="Times New Roman"/>
          <w:sz w:val="24"/>
          <w:szCs w:val="24"/>
        </w:rPr>
        <w:t xml:space="preserve">the possibility that the functions of this symbol could be multiple. </w:t>
      </w:r>
    </w:p>
    <w:p w14:paraId="68820D5A" w14:textId="63576425" w:rsidR="00CC332E" w:rsidRPr="002B630E" w:rsidRDefault="0040217D"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lastRenderedPageBreak/>
        <w:tab/>
        <w:t xml:space="preserve">Indeed, the modern label of </w:t>
      </w:r>
      <w:r w:rsidRPr="002B630E">
        <w:rPr>
          <w:rFonts w:ascii="Times New Roman" w:hAnsi="Times New Roman" w:cs="Times New Roman"/>
          <w:i/>
          <w:sz w:val="24"/>
          <w:szCs w:val="24"/>
        </w:rPr>
        <w:t>signa congruentiae</w:t>
      </w:r>
      <w:r w:rsidRPr="002B630E">
        <w:rPr>
          <w:rFonts w:ascii="Times New Roman" w:hAnsi="Times New Roman" w:cs="Times New Roman"/>
          <w:sz w:val="24"/>
          <w:szCs w:val="24"/>
        </w:rPr>
        <w:t xml:space="preserve"> does not even wholly account for the different uses of this symbol in some practical sources. Maureen Epp has highlighted two French so</w:t>
      </w:r>
      <w:r w:rsidR="00AE1394" w:rsidRPr="002B630E">
        <w:rPr>
          <w:rFonts w:ascii="Times New Roman" w:hAnsi="Times New Roman" w:cs="Times New Roman"/>
          <w:sz w:val="24"/>
          <w:szCs w:val="24"/>
        </w:rPr>
        <w:t>u</w:t>
      </w:r>
      <w:r w:rsidRPr="002B630E">
        <w:rPr>
          <w:rFonts w:ascii="Times New Roman" w:hAnsi="Times New Roman" w:cs="Times New Roman"/>
          <w:sz w:val="24"/>
          <w:szCs w:val="24"/>
        </w:rPr>
        <w:t>rces</w:t>
      </w:r>
      <w:r w:rsidR="00954F02" w:rsidRPr="002B630E">
        <w:rPr>
          <w:rFonts w:ascii="Times New Roman" w:hAnsi="Times New Roman" w:cs="Times New Roman"/>
          <w:sz w:val="24"/>
          <w:szCs w:val="24"/>
        </w:rPr>
        <w:t>––</w:t>
      </w:r>
      <w:r w:rsidR="00A06B2F" w:rsidRPr="002B630E">
        <w:rPr>
          <w:rFonts w:ascii="Times New Roman" w:hAnsi="Times New Roman" w:cs="Times New Roman"/>
          <w:sz w:val="24"/>
          <w:szCs w:val="24"/>
        </w:rPr>
        <w:t>Paris, Bibliothèque nationale</w:t>
      </w:r>
      <w:r w:rsidRPr="002B630E">
        <w:rPr>
          <w:rFonts w:ascii="Times New Roman" w:hAnsi="Times New Roman" w:cs="Times New Roman"/>
          <w:sz w:val="24"/>
          <w:szCs w:val="24"/>
        </w:rPr>
        <w:t xml:space="preserve"> fonds français 12744 and </w:t>
      </w:r>
      <w:r w:rsidR="00A06B2F" w:rsidRPr="002B630E">
        <w:rPr>
          <w:rFonts w:ascii="Times New Roman" w:hAnsi="Times New Roman" w:cs="Times New Roman"/>
          <w:sz w:val="24"/>
          <w:szCs w:val="24"/>
        </w:rPr>
        <w:t>Paris, Bibliothèque nationale</w:t>
      </w:r>
      <w:r w:rsidRPr="002B630E">
        <w:rPr>
          <w:rFonts w:ascii="Times New Roman" w:hAnsi="Times New Roman" w:cs="Times New Roman"/>
          <w:sz w:val="24"/>
          <w:szCs w:val="24"/>
        </w:rPr>
        <w:t xml:space="preserve"> fonds français 9346</w:t>
      </w:r>
      <w:r w:rsidR="00954F02" w:rsidRPr="002B630E">
        <w:rPr>
          <w:rFonts w:ascii="Times New Roman" w:hAnsi="Times New Roman" w:cs="Times New Roman"/>
          <w:sz w:val="24"/>
          <w:szCs w:val="24"/>
        </w:rPr>
        <w:t>––</w:t>
      </w:r>
      <w:r w:rsidRPr="002B630E">
        <w:rPr>
          <w:rFonts w:ascii="Times New Roman" w:hAnsi="Times New Roman" w:cs="Times New Roman"/>
          <w:sz w:val="24"/>
          <w:szCs w:val="24"/>
        </w:rPr>
        <w:t xml:space="preserve">that make use of </w:t>
      </w:r>
      <w:r w:rsidRPr="002B630E">
        <w:rPr>
          <w:rFonts w:ascii="Times New Roman" w:hAnsi="Times New Roman" w:cs="Times New Roman"/>
          <w:i/>
          <w:sz w:val="24"/>
          <w:szCs w:val="24"/>
        </w:rPr>
        <w:t>signa congruentiae</w:t>
      </w:r>
      <w:r w:rsidRPr="002B630E">
        <w:rPr>
          <w:rFonts w:ascii="Times New Roman" w:hAnsi="Times New Roman" w:cs="Times New Roman"/>
          <w:sz w:val="24"/>
          <w:szCs w:val="24"/>
        </w:rPr>
        <w:t xml:space="preserve"> to indicate the structural </w:t>
      </w:r>
      <w:r w:rsidR="00954F02" w:rsidRPr="002B630E">
        <w:rPr>
          <w:rFonts w:ascii="Times New Roman" w:hAnsi="Times New Roman" w:cs="Times New Roman"/>
          <w:sz w:val="24"/>
          <w:szCs w:val="24"/>
        </w:rPr>
        <w:t xml:space="preserve">and sectional outlines of </w:t>
      </w:r>
      <w:r w:rsidRPr="002B630E">
        <w:rPr>
          <w:rFonts w:ascii="Times New Roman" w:hAnsi="Times New Roman" w:cs="Times New Roman"/>
          <w:sz w:val="24"/>
          <w:szCs w:val="24"/>
        </w:rPr>
        <w:t>musical compositions.</w:t>
      </w:r>
      <w:bookmarkStart w:id="1" w:name="_Ref534298870"/>
      <w:r w:rsidRPr="002B630E">
        <w:rPr>
          <w:rStyle w:val="FootnoteReference"/>
          <w:rFonts w:ascii="Times New Roman" w:hAnsi="Times New Roman" w:cs="Times New Roman"/>
          <w:sz w:val="24"/>
          <w:szCs w:val="24"/>
        </w:rPr>
        <w:footnoteReference w:id="13"/>
      </w:r>
      <w:bookmarkEnd w:id="1"/>
      <w:r w:rsidR="00CC332E" w:rsidRPr="002B630E">
        <w:rPr>
          <w:rFonts w:ascii="Times New Roman" w:hAnsi="Times New Roman" w:cs="Times New Roman"/>
          <w:sz w:val="24"/>
          <w:szCs w:val="24"/>
        </w:rPr>
        <w:t xml:space="preserve"> Of the 105 songs in these two manuscripts, 35 make us</w:t>
      </w:r>
      <w:r w:rsidR="009C7275" w:rsidRPr="002B630E">
        <w:rPr>
          <w:rFonts w:ascii="Times New Roman" w:hAnsi="Times New Roman" w:cs="Times New Roman"/>
          <w:sz w:val="24"/>
          <w:szCs w:val="24"/>
        </w:rPr>
        <w:t>e</w:t>
      </w:r>
      <w:r w:rsidR="00CC332E" w:rsidRPr="002B630E">
        <w:rPr>
          <w:rFonts w:ascii="Times New Roman" w:hAnsi="Times New Roman" w:cs="Times New Roman"/>
          <w:sz w:val="24"/>
          <w:szCs w:val="24"/>
        </w:rPr>
        <w:t xml:space="preserve"> of signs resembling </w:t>
      </w:r>
      <w:r w:rsidR="00CC332E" w:rsidRPr="002B630E">
        <w:rPr>
          <w:rFonts w:ascii="Times New Roman" w:hAnsi="Times New Roman" w:cs="Times New Roman"/>
          <w:i/>
          <w:sz w:val="24"/>
          <w:szCs w:val="24"/>
        </w:rPr>
        <w:t>signa congruentiae</w:t>
      </w:r>
      <w:r w:rsidR="009C7275" w:rsidRPr="002B630E">
        <w:rPr>
          <w:rFonts w:ascii="Times New Roman" w:hAnsi="Times New Roman" w:cs="Times New Roman"/>
          <w:sz w:val="24"/>
          <w:szCs w:val="24"/>
        </w:rPr>
        <w:t>. These appear throughout the manuscript and are</w:t>
      </w:r>
      <w:r w:rsidR="00CC332E" w:rsidRPr="002B630E">
        <w:rPr>
          <w:rFonts w:ascii="Times New Roman" w:hAnsi="Times New Roman" w:cs="Times New Roman"/>
          <w:sz w:val="24"/>
          <w:szCs w:val="24"/>
        </w:rPr>
        <w:t xml:space="preserve"> not confined to any particular gathering or </w:t>
      </w:r>
      <w:r w:rsidR="00A06B2F" w:rsidRPr="002B630E">
        <w:rPr>
          <w:rFonts w:ascii="Times New Roman" w:hAnsi="Times New Roman" w:cs="Times New Roman"/>
          <w:sz w:val="24"/>
          <w:szCs w:val="24"/>
        </w:rPr>
        <w:t xml:space="preserve">genre </w:t>
      </w:r>
      <w:r w:rsidR="00CC332E" w:rsidRPr="002B630E">
        <w:rPr>
          <w:rFonts w:ascii="Times New Roman" w:hAnsi="Times New Roman" w:cs="Times New Roman"/>
          <w:sz w:val="24"/>
          <w:szCs w:val="24"/>
        </w:rPr>
        <w:t>of work. Epp notes that</w:t>
      </w:r>
      <w:r w:rsidR="00A06B2F" w:rsidRPr="002B630E">
        <w:rPr>
          <w:rFonts w:ascii="Times New Roman" w:hAnsi="Times New Roman" w:cs="Times New Roman"/>
          <w:sz w:val="24"/>
          <w:szCs w:val="24"/>
        </w:rPr>
        <w:t>,</w:t>
      </w:r>
      <w:r w:rsidR="00CC332E" w:rsidRPr="002B630E">
        <w:rPr>
          <w:rFonts w:ascii="Times New Roman" w:hAnsi="Times New Roman" w:cs="Times New Roman"/>
          <w:sz w:val="24"/>
          <w:szCs w:val="24"/>
        </w:rPr>
        <w:t xml:space="preserve"> in almost every instance, </w:t>
      </w:r>
      <w:r w:rsidR="00CC332E" w:rsidRPr="002B630E">
        <w:rPr>
          <w:rFonts w:ascii="Times New Roman" w:hAnsi="Times New Roman" w:cs="Times New Roman"/>
          <w:i/>
          <w:sz w:val="24"/>
          <w:szCs w:val="24"/>
        </w:rPr>
        <w:t>signa</w:t>
      </w:r>
      <w:r w:rsidR="00741AEC" w:rsidRPr="002B630E">
        <w:rPr>
          <w:rFonts w:ascii="Times New Roman" w:hAnsi="Times New Roman" w:cs="Times New Roman"/>
          <w:sz w:val="24"/>
          <w:szCs w:val="24"/>
        </w:rPr>
        <w:t xml:space="preserve"> appear</w:t>
      </w:r>
      <w:r w:rsidR="00CC332E" w:rsidRPr="002B630E">
        <w:rPr>
          <w:rFonts w:ascii="Times New Roman" w:hAnsi="Times New Roman" w:cs="Times New Roman"/>
          <w:sz w:val="24"/>
          <w:szCs w:val="24"/>
        </w:rPr>
        <w:t xml:space="preserve"> on the first note of the final phrase of a song, suggesting that the symbol carries out another function other than indicating a point of congruence.</w:t>
      </w:r>
      <w:r w:rsidR="00A06B2F" w:rsidRPr="002B630E">
        <w:rPr>
          <w:rFonts w:ascii="Times New Roman" w:hAnsi="Times New Roman" w:cs="Times New Roman"/>
          <w:sz w:val="24"/>
          <w:szCs w:val="24"/>
        </w:rPr>
        <w:t xml:space="preserve"> Instead, it might demarcate a structural division, important for the song structure.</w:t>
      </w:r>
      <w:r w:rsidR="00CC332E" w:rsidRPr="002B630E">
        <w:rPr>
          <w:rFonts w:ascii="Times New Roman" w:hAnsi="Times New Roman" w:cs="Times New Roman"/>
          <w:sz w:val="24"/>
          <w:szCs w:val="24"/>
        </w:rPr>
        <w:t xml:space="preserve"> </w:t>
      </w:r>
      <w:r w:rsidR="003177B4" w:rsidRPr="002B630E">
        <w:rPr>
          <w:rFonts w:ascii="Times New Roman" w:hAnsi="Times New Roman" w:cs="Times New Roman"/>
          <w:sz w:val="24"/>
          <w:szCs w:val="24"/>
        </w:rPr>
        <w:t>The notion that this small symbol had multiple meanings is clear from the investigation of its usage in another musical context: a theoretical treatise.</w:t>
      </w:r>
    </w:p>
    <w:p w14:paraId="2253DF1F" w14:textId="5905F685" w:rsidR="00AE1394" w:rsidRPr="002B630E" w:rsidRDefault="00D172B0"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r>
      <w:r w:rsidR="00954F02" w:rsidRPr="002B630E">
        <w:rPr>
          <w:rFonts w:ascii="Times New Roman" w:hAnsi="Times New Roman" w:cs="Times New Roman"/>
          <w:sz w:val="24"/>
          <w:szCs w:val="24"/>
        </w:rPr>
        <w:t>T</w:t>
      </w:r>
      <w:r w:rsidRPr="002B630E">
        <w:rPr>
          <w:rFonts w:ascii="Times New Roman" w:hAnsi="Times New Roman" w:cs="Times New Roman"/>
          <w:sz w:val="24"/>
          <w:szCs w:val="24"/>
        </w:rPr>
        <w:t xml:space="preserve">he discussion that follows </w:t>
      </w:r>
      <w:r w:rsidR="00954F02" w:rsidRPr="002B630E">
        <w:rPr>
          <w:rFonts w:ascii="Times New Roman" w:hAnsi="Times New Roman" w:cs="Times New Roman"/>
          <w:sz w:val="24"/>
          <w:szCs w:val="24"/>
        </w:rPr>
        <w:t>outlines</w:t>
      </w:r>
      <w:r w:rsidRPr="002B630E">
        <w:rPr>
          <w:rFonts w:ascii="Times New Roman" w:hAnsi="Times New Roman" w:cs="Times New Roman"/>
          <w:sz w:val="24"/>
          <w:szCs w:val="24"/>
        </w:rPr>
        <w:t xml:space="preserve"> </w:t>
      </w:r>
      <w:r w:rsidR="00D55815" w:rsidRPr="002B630E">
        <w:rPr>
          <w:rFonts w:ascii="Times New Roman" w:hAnsi="Times New Roman" w:cs="Times New Roman"/>
          <w:sz w:val="24"/>
          <w:szCs w:val="24"/>
        </w:rPr>
        <w:t>some</w:t>
      </w:r>
      <w:r w:rsidRPr="002B630E">
        <w:rPr>
          <w:rFonts w:ascii="Times New Roman" w:hAnsi="Times New Roman" w:cs="Times New Roman"/>
          <w:sz w:val="24"/>
          <w:szCs w:val="24"/>
        </w:rPr>
        <w:t xml:space="preserve"> different us</w:t>
      </w:r>
      <w:r w:rsidR="00D55815" w:rsidRPr="002B630E">
        <w:rPr>
          <w:rFonts w:ascii="Times New Roman" w:hAnsi="Times New Roman" w:cs="Times New Roman"/>
          <w:sz w:val="24"/>
          <w:szCs w:val="24"/>
        </w:rPr>
        <w:t>es</w:t>
      </w:r>
      <w:r w:rsidRPr="002B630E">
        <w:rPr>
          <w:rFonts w:ascii="Times New Roman" w:hAnsi="Times New Roman" w:cs="Times New Roman"/>
          <w:sz w:val="24"/>
          <w:szCs w:val="24"/>
        </w:rPr>
        <w:t xml:space="preserve"> of symbols resembling Anon. XII’s </w:t>
      </w:r>
      <w:r w:rsidRPr="002B630E">
        <w:rPr>
          <w:rFonts w:ascii="Times New Roman" w:hAnsi="Times New Roman" w:cs="Times New Roman"/>
          <w:i/>
          <w:sz w:val="24"/>
          <w:szCs w:val="24"/>
        </w:rPr>
        <w:t>signa congruentiae</w:t>
      </w:r>
      <w:r w:rsidR="00F10D48">
        <w:rPr>
          <w:rFonts w:ascii="Times New Roman" w:hAnsi="Times New Roman" w:cs="Times New Roman"/>
          <w:sz w:val="24"/>
          <w:szCs w:val="24"/>
        </w:rPr>
        <w:t xml:space="preserve">, and pseudo-Tinctoris’s </w:t>
      </w:r>
      <w:r w:rsidR="00F10D48">
        <w:rPr>
          <w:rFonts w:ascii="Times New Roman" w:hAnsi="Times New Roman" w:cs="Times New Roman"/>
          <w:i/>
          <w:sz w:val="24"/>
          <w:szCs w:val="24"/>
        </w:rPr>
        <w:t>puncta acceptionis</w:t>
      </w:r>
      <w:r w:rsidR="00F10D48">
        <w:rPr>
          <w:rFonts w:ascii="Times New Roman" w:hAnsi="Times New Roman" w:cs="Times New Roman"/>
          <w:sz w:val="24"/>
          <w:szCs w:val="24"/>
        </w:rPr>
        <w:t>,</w:t>
      </w:r>
      <w:r w:rsidR="00D55815" w:rsidRPr="002B630E">
        <w:rPr>
          <w:rFonts w:ascii="Times New Roman" w:hAnsi="Times New Roman" w:cs="Times New Roman"/>
          <w:sz w:val="24"/>
          <w:szCs w:val="24"/>
        </w:rPr>
        <w:t xml:space="preserve"> in </w:t>
      </w:r>
      <w:r w:rsidR="00C83CD1" w:rsidRPr="002B630E">
        <w:rPr>
          <w:rFonts w:ascii="Times New Roman" w:hAnsi="Times New Roman" w:cs="Times New Roman"/>
          <w:sz w:val="24"/>
          <w:szCs w:val="24"/>
        </w:rPr>
        <w:t>Tinctoris’s</w:t>
      </w:r>
      <w:r w:rsidR="00D55815" w:rsidRPr="002B630E">
        <w:rPr>
          <w:rFonts w:ascii="Times New Roman" w:hAnsi="Times New Roman" w:cs="Times New Roman"/>
          <w:sz w:val="24"/>
          <w:szCs w:val="24"/>
        </w:rPr>
        <w:t xml:space="preserve"> </w:t>
      </w:r>
      <w:r w:rsidR="00D55815" w:rsidRPr="002B630E">
        <w:rPr>
          <w:rFonts w:ascii="Times New Roman" w:hAnsi="Times New Roman" w:cs="Times New Roman"/>
          <w:i/>
          <w:sz w:val="24"/>
          <w:szCs w:val="24"/>
        </w:rPr>
        <w:t xml:space="preserve">De arte contrapuncti </w:t>
      </w:r>
      <w:r w:rsidR="00D55815" w:rsidRPr="002B630E">
        <w:rPr>
          <w:rFonts w:ascii="Times New Roman" w:hAnsi="Times New Roman" w:cs="Times New Roman"/>
          <w:sz w:val="24"/>
          <w:szCs w:val="24"/>
        </w:rPr>
        <w:t>(c. 1477)</w:t>
      </w:r>
      <w:r w:rsidR="00C713B1" w:rsidRPr="002B630E">
        <w:rPr>
          <w:rFonts w:ascii="Times New Roman" w:hAnsi="Times New Roman" w:cs="Times New Roman"/>
          <w:sz w:val="24"/>
          <w:szCs w:val="24"/>
        </w:rPr>
        <w:t>, and demonstrate</w:t>
      </w:r>
      <w:r w:rsidR="00954F02" w:rsidRPr="002B630E">
        <w:rPr>
          <w:rFonts w:ascii="Times New Roman" w:hAnsi="Times New Roman" w:cs="Times New Roman"/>
          <w:sz w:val="24"/>
          <w:szCs w:val="24"/>
        </w:rPr>
        <w:t>s</w:t>
      </w:r>
      <w:r w:rsidR="00C713B1" w:rsidRPr="002B630E">
        <w:rPr>
          <w:rFonts w:ascii="Times New Roman" w:hAnsi="Times New Roman" w:cs="Times New Roman"/>
          <w:sz w:val="24"/>
          <w:szCs w:val="24"/>
        </w:rPr>
        <w:t xml:space="preserve"> that </w:t>
      </w:r>
      <w:r w:rsidR="00954F02" w:rsidRPr="002B630E">
        <w:rPr>
          <w:rFonts w:ascii="Times New Roman" w:hAnsi="Times New Roman" w:cs="Times New Roman"/>
          <w:sz w:val="24"/>
          <w:szCs w:val="24"/>
        </w:rPr>
        <w:t xml:space="preserve">labelling this symbol in this way </w:t>
      </w:r>
      <w:r w:rsidR="00C713B1" w:rsidRPr="002B630E">
        <w:rPr>
          <w:rFonts w:ascii="Times New Roman" w:hAnsi="Times New Roman" w:cs="Times New Roman"/>
          <w:sz w:val="24"/>
          <w:szCs w:val="24"/>
        </w:rPr>
        <w:t xml:space="preserve">is </w:t>
      </w:r>
      <w:r w:rsidR="00D3312D" w:rsidRPr="002B630E">
        <w:rPr>
          <w:rFonts w:ascii="Times New Roman" w:hAnsi="Times New Roman" w:cs="Times New Roman"/>
          <w:sz w:val="24"/>
          <w:szCs w:val="24"/>
        </w:rPr>
        <w:t>not entirely fit for purpose</w:t>
      </w:r>
      <w:r w:rsidR="00C713B1" w:rsidRPr="002B630E">
        <w:rPr>
          <w:rFonts w:ascii="Times New Roman" w:hAnsi="Times New Roman" w:cs="Times New Roman"/>
          <w:sz w:val="24"/>
          <w:szCs w:val="24"/>
        </w:rPr>
        <w:t xml:space="preserve"> given </w:t>
      </w:r>
      <w:r w:rsidR="00167B75" w:rsidRPr="002B630E">
        <w:rPr>
          <w:rFonts w:ascii="Times New Roman" w:hAnsi="Times New Roman" w:cs="Times New Roman"/>
          <w:sz w:val="24"/>
          <w:szCs w:val="24"/>
        </w:rPr>
        <w:t>the multiplicity of its function.</w:t>
      </w:r>
      <w:r w:rsidR="00D31399" w:rsidRPr="002B630E" w:rsidDel="00D31399">
        <w:rPr>
          <w:rStyle w:val="FootnoteReference"/>
          <w:rFonts w:ascii="Times New Roman" w:hAnsi="Times New Roman" w:cs="Times New Roman"/>
          <w:sz w:val="24"/>
          <w:szCs w:val="24"/>
        </w:rPr>
        <w:t xml:space="preserve"> </w:t>
      </w:r>
      <w:r w:rsidR="00C713B1" w:rsidRPr="002B630E">
        <w:rPr>
          <w:rFonts w:ascii="Times New Roman" w:hAnsi="Times New Roman" w:cs="Times New Roman"/>
          <w:sz w:val="24"/>
          <w:szCs w:val="24"/>
        </w:rPr>
        <w:t xml:space="preserve"> </w:t>
      </w:r>
      <w:r w:rsidR="00167B75" w:rsidRPr="002B630E">
        <w:rPr>
          <w:rFonts w:ascii="Times New Roman" w:hAnsi="Times New Roman" w:cs="Times New Roman"/>
          <w:sz w:val="24"/>
          <w:szCs w:val="24"/>
        </w:rPr>
        <w:t xml:space="preserve">Such an examination </w:t>
      </w:r>
      <w:r w:rsidR="00AE1394" w:rsidRPr="002B630E">
        <w:rPr>
          <w:rFonts w:ascii="Times New Roman" w:hAnsi="Times New Roman" w:cs="Times New Roman"/>
          <w:sz w:val="24"/>
          <w:szCs w:val="24"/>
        </w:rPr>
        <w:t>will show</w:t>
      </w:r>
      <w:r w:rsidR="007853AC" w:rsidRPr="002B630E">
        <w:rPr>
          <w:rFonts w:ascii="Times New Roman" w:hAnsi="Times New Roman" w:cs="Times New Roman"/>
          <w:sz w:val="24"/>
          <w:szCs w:val="24"/>
        </w:rPr>
        <w:t xml:space="preserve"> that </w:t>
      </w:r>
      <w:r w:rsidR="00AE1394" w:rsidRPr="002B630E">
        <w:rPr>
          <w:rFonts w:ascii="Times New Roman" w:hAnsi="Times New Roman" w:cs="Times New Roman"/>
          <w:sz w:val="24"/>
          <w:szCs w:val="24"/>
        </w:rPr>
        <w:t>the</w:t>
      </w:r>
      <w:r w:rsidR="007853AC" w:rsidRPr="002B630E">
        <w:rPr>
          <w:rFonts w:ascii="Times New Roman" w:hAnsi="Times New Roman" w:cs="Times New Roman"/>
          <w:sz w:val="24"/>
          <w:szCs w:val="24"/>
        </w:rPr>
        <w:t xml:space="preserve"> symbol t</w:t>
      </w:r>
      <w:r w:rsidR="00CA087B" w:rsidRPr="002B630E">
        <w:rPr>
          <w:rFonts w:ascii="Times New Roman" w:hAnsi="Times New Roman" w:cs="Times New Roman"/>
          <w:sz w:val="24"/>
          <w:szCs w:val="24"/>
        </w:rPr>
        <w:t>o which</w:t>
      </w:r>
      <w:r w:rsidR="007853AC" w:rsidRPr="002B630E">
        <w:rPr>
          <w:rFonts w:ascii="Times New Roman" w:hAnsi="Times New Roman" w:cs="Times New Roman"/>
          <w:sz w:val="24"/>
          <w:szCs w:val="24"/>
        </w:rPr>
        <w:t xml:space="preserve"> we ascribe a simple </w:t>
      </w:r>
      <w:r w:rsidR="00D55815" w:rsidRPr="002B630E">
        <w:rPr>
          <w:rFonts w:ascii="Times New Roman" w:hAnsi="Times New Roman" w:cs="Times New Roman"/>
          <w:sz w:val="24"/>
          <w:szCs w:val="24"/>
        </w:rPr>
        <w:t xml:space="preserve">musical </w:t>
      </w:r>
      <w:r w:rsidR="007853AC" w:rsidRPr="002B630E">
        <w:rPr>
          <w:rFonts w:ascii="Times New Roman" w:hAnsi="Times New Roman" w:cs="Times New Roman"/>
          <w:sz w:val="24"/>
          <w:szCs w:val="24"/>
        </w:rPr>
        <w:t>function in modern editions</w:t>
      </w:r>
      <w:r w:rsidR="00AE1394" w:rsidRPr="002B630E">
        <w:rPr>
          <w:rFonts w:ascii="Times New Roman" w:hAnsi="Times New Roman" w:cs="Times New Roman"/>
          <w:sz w:val="24"/>
          <w:szCs w:val="24"/>
        </w:rPr>
        <w:t xml:space="preserve"> and discussions</w:t>
      </w:r>
      <w:r w:rsidR="007853AC" w:rsidRPr="002B630E">
        <w:rPr>
          <w:rFonts w:ascii="Times New Roman" w:hAnsi="Times New Roman" w:cs="Times New Roman"/>
          <w:sz w:val="24"/>
          <w:szCs w:val="24"/>
        </w:rPr>
        <w:t xml:space="preserve"> operate</w:t>
      </w:r>
      <w:r w:rsidR="00A06B2F" w:rsidRPr="002B630E">
        <w:rPr>
          <w:rFonts w:ascii="Times New Roman" w:hAnsi="Times New Roman" w:cs="Times New Roman"/>
          <w:sz w:val="24"/>
          <w:szCs w:val="24"/>
        </w:rPr>
        <w:t>d</w:t>
      </w:r>
      <w:r w:rsidR="00AE1394" w:rsidRPr="002B630E">
        <w:rPr>
          <w:rFonts w:ascii="Times New Roman" w:hAnsi="Times New Roman" w:cs="Times New Roman"/>
          <w:sz w:val="24"/>
          <w:szCs w:val="24"/>
        </w:rPr>
        <w:t xml:space="preserve"> </w:t>
      </w:r>
      <w:r w:rsidR="00D3312D" w:rsidRPr="002B630E">
        <w:rPr>
          <w:rFonts w:ascii="Times New Roman" w:hAnsi="Times New Roman" w:cs="Times New Roman"/>
          <w:sz w:val="24"/>
          <w:szCs w:val="24"/>
        </w:rPr>
        <w:t xml:space="preserve">in a </w:t>
      </w:r>
      <w:r w:rsidR="00A06B2F" w:rsidRPr="002B630E">
        <w:rPr>
          <w:rFonts w:ascii="Times New Roman" w:hAnsi="Times New Roman" w:cs="Times New Roman"/>
          <w:sz w:val="24"/>
          <w:szCs w:val="24"/>
        </w:rPr>
        <w:t xml:space="preserve">much </w:t>
      </w:r>
      <w:r w:rsidR="00D3312D" w:rsidRPr="002B630E">
        <w:rPr>
          <w:rFonts w:ascii="Times New Roman" w:hAnsi="Times New Roman" w:cs="Times New Roman"/>
          <w:sz w:val="24"/>
          <w:szCs w:val="24"/>
        </w:rPr>
        <w:t>more complex text-notation relationship in some theoretical sources</w:t>
      </w:r>
      <w:r w:rsidR="004551B8" w:rsidRPr="002B630E">
        <w:rPr>
          <w:rFonts w:ascii="Times New Roman" w:hAnsi="Times New Roman" w:cs="Times New Roman"/>
          <w:sz w:val="24"/>
          <w:szCs w:val="24"/>
        </w:rPr>
        <w:t xml:space="preserve"> than we might first assume</w:t>
      </w:r>
      <w:r w:rsidR="007853AC" w:rsidRPr="002B630E">
        <w:rPr>
          <w:rFonts w:ascii="Times New Roman" w:hAnsi="Times New Roman" w:cs="Times New Roman"/>
          <w:sz w:val="24"/>
          <w:szCs w:val="24"/>
        </w:rPr>
        <w:t xml:space="preserve">. </w:t>
      </w:r>
    </w:p>
    <w:p w14:paraId="3493A868" w14:textId="07891E25" w:rsidR="00165B92" w:rsidRPr="002B630E" w:rsidRDefault="00AE1394"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t xml:space="preserve">Tinctoris’s </w:t>
      </w:r>
      <w:r w:rsidRPr="002B630E">
        <w:rPr>
          <w:rFonts w:ascii="Times New Roman" w:hAnsi="Times New Roman" w:cs="Times New Roman"/>
          <w:i/>
          <w:sz w:val="24"/>
          <w:szCs w:val="24"/>
        </w:rPr>
        <w:t>De arte contrapuncti</w:t>
      </w:r>
      <w:r w:rsidRPr="002B630E">
        <w:rPr>
          <w:rFonts w:ascii="Times New Roman" w:hAnsi="Times New Roman" w:cs="Times New Roman"/>
          <w:sz w:val="24"/>
          <w:szCs w:val="24"/>
        </w:rPr>
        <w:t xml:space="preserve"> is perhaps his most famous and important theoretical treatise. The </w:t>
      </w:r>
      <w:r w:rsidR="00E653EE" w:rsidRPr="002B630E">
        <w:rPr>
          <w:rFonts w:ascii="Times New Roman" w:hAnsi="Times New Roman" w:cs="Times New Roman"/>
          <w:sz w:val="24"/>
          <w:szCs w:val="24"/>
        </w:rPr>
        <w:t xml:space="preserve">extraordinarily lengthy </w:t>
      </w:r>
      <w:r w:rsidRPr="002B630E">
        <w:rPr>
          <w:rFonts w:ascii="Times New Roman" w:hAnsi="Times New Roman" w:cs="Times New Roman"/>
          <w:sz w:val="24"/>
          <w:szCs w:val="24"/>
        </w:rPr>
        <w:t>treatise is made up of three books</w:t>
      </w:r>
      <w:r w:rsidR="00167B75" w:rsidRPr="002B630E">
        <w:rPr>
          <w:rFonts w:ascii="Times New Roman" w:hAnsi="Times New Roman" w:cs="Times New Roman"/>
          <w:sz w:val="24"/>
          <w:szCs w:val="24"/>
        </w:rPr>
        <w:t xml:space="preserve">, offering a </w:t>
      </w:r>
      <w:r w:rsidR="00167B75" w:rsidRPr="002B630E">
        <w:rPr>
          <w:rFonts w:ascii="Times New Roman" w:hAnsi="Times New Roman" w:cs="Times New Roman"/>
          <w:sz w:val="24"/>
          <w:szCs w:val="24"/>
        </w:rPr>
        <w:lastRenderedPageBreak/>
        <w:t xml:space="preserve">comprehensive, if a little cumbersome, pedagogical journey </w:t>
      </w:r>
      <w:r w:rsidRPr="002B630E">
        <w:rPr>
          <w:rFonts w:ascii="Times New Roman" w:hAnsi="Times New Roman" w:cs="Times New Roman"/>
          <w:sz w:val="24"/>
          <w:szCs w:val="24"/>
        </w:rPr>
        <w:t>to understand the rules of counterpoint</w:t>
      </w:r>
      <w:r w:rsidR="00167B75" w:rsidRPr="002B630E">
        <w:rPr>
          <w:rFonts w:ascii="Times New Roman" w:hAnsi="Times New Roman" w:cs="Times New Roman"/>
          <w:sz w:val="24"/>
          <w:szCs w:val="24"/>
        </w:rPr>
        <w:t xml:space="preserve"> fully</w:t>
      </w:r>
      <w:r w:rsidRPr="002B630E">
        <w:rPr>
          <w:rFonts w:ascii="Times New Roman" w:hAnsi="Times New Roman" w:cs="Times New Roman"/>
          <w:sz w:val="24"/>
          <w:szCs w:val="24"/>
        </w:rPr>
        <w:t xml:space="preserve">, and by implication, the correct manner in which to compose. Each of the books focusses on one aspect of counterpoint training: Book I deals with concords; Book II begins with discords before moving on to more complex issues pertaining to the composition of counterpoint; Book III covers eight general rules to be considered when composing counterpoint, focussing on </w:t>
      </w:r>
      <w:r w:rsidR="00165B92" w:rsidRPr="002B630E">
        <w:rPr>
          <w:rFonts w:ascii="Times New Roman" w:hAnsi="Times New Roman" w:cs="Times New Roman"/>
          <w:sz w:val="24"/>
          <w:szCs w:val="24"/>
        </w:rPr>
        <w:t>stylistic issues regarding the composition of counterpoint</w:t>
      </w:r>
      <w:r w:rsidRPr="002B630E">
        <w:rPr>
          <w:rFonts w:ascii="Times New Roman" w:hAnsi="Times New Roman" w:cs="Times New Roman"/>
          <w:sz w:val="24"/>
          <w:szCs w:val="24"/>
        </w:rPr>
        <w:t xml:space="preserve"> rather than the procedural rules laid out in the first two books. </w:t>
      </w:r>
      <w:r w:rsidR="00215263" w:rsidRPr="002B630E">
        <w:rPr>
          <w:rFonts w:ascii="Times New Roman" w:hAnsi="Times New Roman" w:cs="Times New Roman"/>
          <w:sz w:val="24"/>
          <w:szCs w:val="24"/>
        </w:rPr>
        <w:t xml:space="preserve">It offers one of the most comprehensive treatments of counterpoint from the period, </w:t>
      </w:r>
      <w:r w:rsidR="00A06B2F" w:rsidRPr="002B630E">
        <w:rPr>
          <w:rFonts w:ascii="Times New Roman" w:hAnsi="Times New Roman" w:cs="Times New Roman"/>
          <w:sz w:val="24"/>
          <w:szCs w:val="24"/>
        </w:rPr>
        <w:t xml:space="preserve">and includes countless examples of diverse shape, sizes and forms, making Tinctoris’s usage of the signs </w:t>
      </w:r>
      <w:r w:rsidR="00AC42BE" w:rsidRPr="002B630E">
        <w:rPr>
          <w:rFonts w:ascii="Times New Roman" w:hAnsi="Times New Roman" w:cs="Times New Roman"/>
          <w:sz w:val="24"/>
          <w:szCs w:val="24"/>
        </w:rPr>
        <w:t xml:space="preserve">in </w:t>
      </w:r>
      <w:r w:rsidR="00F03660">
        <w:rPr>
          <w:rFonts w:ascii="Times New Roman" w:hAnsi="Times New Roman" w:cs="Times New Roman"/>
          <w:sz w:val="24"/>
          <w:szCs w:val="24"/>
        </w:rPr>
        <w:t>different</w:t>
      </w:r>
      <w:r w:rsidR="00F03660" w:rsidRPr="002B630E">
        <w:rPr>
          <w:rFonts w:ascii="Times New Roman" w:hAnsi="Times New Roman" w:cs="Times New Roman"/>
          <w:sz w:val="24"/>
          <w:szCs w:val="24"/>
        </w:rPr>
        <w:t xml:space="preserve"> </w:t>
      </w:r>
      <w:r w:rsidR="00AC42BE" w:rsidRPr="002B630E">
        <w:rPr>
          <w:rFonts w:ascii="Times New Roman" w:hAnsi="Times New Roman" w:cs="Times New Roman"/>
          <w:sz w:val="24"/>
          <w:szCs w:val="24"/>
        </w:rPr>
        <w:t xml:space="preserve">contexts </w:t>
      </w:r>
      <w:r w:rsidR="00A06B2F" w:rsidRPr="002B630E">
        <w:rPr>
          <w:rFonts w:ascii="Times New Roman" w:hAnsi="Times New Roman" w:cs="Times New Roman"/>
          <w:sz w:val="24"/>
          <w:szCs w:val="24"/>
        </w:rPr>
        <w:t xml:space="preserve">noteworthy. </w:t>
      </w:r>
    </w:p>
    <w:p w14:paraId="09EEC38E" w14:textId="49785720" w:rsidR="00CB730C" w:rsidRPr="002B630E" w:rsidRDefault="00521349" w:rsidP="00B95FCD">
      <w:pPr>
        <w:spacing w:line="480" w:lineRule="auto"/>
        <w:jc w:val="both"/>
        <w:rPr>
          <w:rFonts w:ascii="Times New Roman" w:hAnsi="Times New Roman" w:cs="Times New Roman"/>
          <w:sz w:val="24"/>
          <w:szCs w:val="24"/>
        </w:rPr>
      </w:pPr>
      <w:r w:rsidRPr="002B630E">
        <w:rPr>
          <w:rFonts w:ascii="Times New Roman" w:hAnsi="Times New Roman" w:cs="Times New Roman"/>
          <w:b/>
          <w:sz w:val="24"/>
          <w:szCs w:val="24"/>
        </w:rPr>
        <w:tab/>
      </w:r>
      <w:r w:rsidR="00C83CD1" w:rsidRPr="002B630E">
        <w:rPr>
          <w:rFonts w:ascii="Times New Roman" w:hAnsi="Times New Roman" w:cs="Times New Roman"/>
          <w:sz w:val="24"/>
          <w:szCs w:val="24"/>
        </w:rPr>
        <w:t>Tinctoris’s</w:t>
      </w:r>
      <w:r w:rsidR="00CB730C" w:rsidRPr="002B630E">
        <w:rPr>
          <w:rFonts w:ascii="Times New Roman" w:hAnsi="Times New Roman" w:cs="Times New Roman"/>
          <w:sz w:val="24"/>
          <w:szCs w:val="24"/>
        </w:rPr>
        <w:t xml:space="preserve"> treatise on counterpoint is unusual in that it gives examples of </w:t>
      </w:r>
      <w:r w:rsidR="00AC42BE" w:rsidRPr="002B630E">
        <w:rPr>
          <w:rFonts w:ascii="Times New Roman" w:hAnsi="Times New Roman" w:cs="Times New Roman"/>
          <w:sz w:val="24"/>
          <w:szCs w:val="24"/>
        </w:rPr>
        <w:t xml:space="preserve">both </w:t>
      </w:r>
      <w:r w:rsidR="00CB730C" w:rsidRPr="002B630E">
        <w:rPr>
          <w:rFonts w:ascii="Times New Roman" w:hAnsi="Times New Roman" w:cs="Times New Roman"/>
          <w:sz w:val="24"/>
          <w:szCs w:val="24"/>
        </w:rPr>
        <w:t>note-against-note counterpoint and mensural polyphony</w:t>
      </w:r>
      <w:r w:rsidR="00D3312D" w:rsidRPr="002B630E">
        <w:rPr>
          <w:rFonts w:ascii="Times New Roman" w:hAnsi="Times New Roman" w:cs="Times New Roman"/>
          <w:sz w:val="24"/>
          <w:szCs w:val="24"/>
        </w:rPr>
        <w:t xml:space="preserve">, </w:t>
      </w:r>
      <w:r w:rsidR="00976753" w:rsidRPr="002B630E">
        <w:rPr>
          <w:rFonts w:ascii="Times New Roman" w:hAnsi="Times New Roman" w:cs="Times New Roman"/>
          <w:sz w:val="24"/>
          <w:szCs w:val="24"/>
        </w:rPr>
        <w:t>often</w:t>
      </w:r>
      <w:r w:rsidR="00280781" w:rsidRPr="002B630E">
        <w:rPr>
          <w:rFonts w:ascii="Times New Roman" w:hAnsi="Times New Roman" w:cs="Times New Roman"/>
          <w:sz w:val="24"/>
          <w:szCs w:val="24"/>
        </w:rPr>
        <w:t xml:space="preserve"> in</w:t>
      </w:r>
      <w:r w:rsidR="00D3312D" w:rsidRPr="002B630E">
        <w:rPr>
          <w:rFonts w:ascii="Times New Roman" w:hAnsi="Times New Roman" w:cs="Times New Roman"/>
          <w:sz w:val="24"/>
          <w:szCs w:val="24"/>
        </w:rPr>
        <w:t xml:space="preserve"> close succession</w:t>
      </w:r>
      <w:r w:rsidR="00976753" w:rsidRPr="002B630E">
        <w:rPr>
          <w:rFonts w:ascii="Times New Roman" w:hAnsi="Times New Roman" w:cs="Times New Roman"/>
          <w:sz w:val="24"/>
          <w:szCs w:val="24"/>
        </w:rPr>
        <w:t>,</w:t>
      </w:r>
      <w:r w:rsidR="00280781" w:rsidRPr="002B630E">
        <w:rPr>
          <w:rFonts w:ascii="Times New Roman" w:hAnsi="Times New Roman" w:cs="Times New Roman"/>
          <w:sz w:val="24"/>
          <w:szCs w:val="24"/>
        </w:rPr>
        <w:t xml:space="preserve"> to demonstrate the same point from different perspectives</w:t>
      </w:r>
      <w:r w:rsidR="00CB730C" w:rsidRPr="002B630E">
        <w:rPr>
          <w:rFonts w:ascii="Times New Roman" w:hAnsi="Times New Roman" w:cs="Times New Roman"/>
          <w:sz w:val="24"/>
          <w:szCs w:val="24"/>
        </w:rPr>
        <w:t>.</w:t>
      </w:r>
      <w:r w:rsidR="00976753" w:rsidRPr="002B630E">
        <w:rPr>
          <w:rStyle w:val="FootnoteReference"/>
          <w:rFonts w:ascii="Times New Roman" w:hAnsi="Times New Roman" w:cs="Times New Roman"/>
          <w:sz w:val="24"/>
          <w:szCs w:val="24"/>
        </w:rPr>
        <w:footnoteReference w:id="14"/>
      </w:r>
      <w:r w:rsidR="00CB730C" w:rsidRPr="002B630E">
        <w:rPr>
          <w:rFonts w:ascii="Times New Roman" w:hAnsi="Times New Roman" w:cs="Times New Roman"/>
          <w:sz w:val="24"/>
          <w:szCs w:val="24"/>
        </w:rPr>
        <w:t xml:space="preserve"> Note-against-note counterpoint examples appear with the greatest frequency in the first and second books of the treatise</w:t>
      </w:r>
      <w:r w:rsidR="00655A7C" w:rsidRPr="002B630E">
        <w:rPr>
          <w:rFonts w:ascii="Times New Roman" w:hAnsi="Times New Roman" w:cs="Times New Roman"/>
          <w:sz w:val="24"/>
          <w:szCs w:val="24"/>
        </w:rPr>
        <w:t>, though there are occasional examples of this type in the third book</w:t>
      </w:r>
      <w:r w:rsidR="00CB730C" w:rsidRPr="002B630E">
        <w:rPr>
          <w:rFonts w:ascii="Times New Roman" w:hAnsi="Times New Roman" w:cs="Times New Roman"/>
          <w:sz w:val="24"/>
          <w:szCs w:val="24"/>
        </w:rPr>
        <w:t xml:space="preserve">. They are used </w:t>
      </w:r>
      <w:r w:rsidR="00E653EE" w:rsidRPr="002B630E">
        <w:rPr>
          <w:rFonts w:ascii="Times New Roman" w:hAnsi="Times New Roman" w:cs="Times New Roman"/>
          <w:sz w:val="24"/>
          <w:szCs w:val="24"/>
        </w:rPr>
        <w:t xml:space="preserve">principally </w:t>
      </w:r>
      <w:r w:rsidR="00CB730C" w:rsidRPr="002B630E">
        <w:rPr>
          <w:rFonts w:ascii="Times New Roman" w:hAnsi="Times New Roman" w:cs="Times New Roman"/>
          <w:sz w:val="24"/>
          <w:szCs w:val="24"/>
        </w:rPr>
        <w:t xml:space="preserve">for the exemplification of specific contrapuntal motions relating to intervallic discussion in the main theoretical text. </w:t>
      </w:r>
      <w:r w:rsidR="00A112AD">
        <w:rPr>
          <w:rFonts w:ascii="Times New Roman" w:hAnsi="Times New Roman" w:cs="Times New Roman"/>
          <w:sz w:val="24"/>
          <w:szCs w:val="24"/>
        </w:rPr>
        <w:t xml:space="preserve">One might argue these set out a kind of grammar of counterpoint. </w:t>
      </w:r>
      <w:r w:rsidR="00CB730C" w:rsidRPr="002B630E">
        <w:rPr>
          <w:rFonts w:ascii="Times New Roman" w:hAnsi="Times New Roman" w:cs="Times New Roman"/>
          <w:sz w:val="24"/>
          <w:szCs w:val="24"/>
        </w:rPr>
        <w:t xml:space="preserve">In all examples of this type, the </w:t>
      </w:r>
      <w:r w:rsidR="00E653EE" w:rsidRPr="002B630E">
        <w:rPr>
          <w:rFonts w:ascii="Times New Roman" w:hAnsi="Times New Roman" w:cs="Times New Roman"/>
          <w:sz w:val="24"/>
          <w:szCs w:val="24"/>
        </w:rPr>
        <w:t>Tenor</w:t>
      </w:r>
      <w:r w:rsidR="00CB730C" w:rsidRPr="002B630E">
        <w:rPr>
          <w:rFonts w:ascii="Times New Roman" w:hAnsi="Times New Roman" w:cs="Times New Roman"/>
          <w:sz w:val="24"/>
          <w:szCs w:val="24"/>
        </w:rPr>
        <w:t xml:space="preserve"> is presented in void square notation </w:t>
      </w:r>
      <w:r w:rsidR="00E653EE" w:rsidRPr="002B630E">
        <w:rPr>
          <w:rFonts w:ascii="Times New Roman" w:hAnsi="Times New Roman" w:cs="Times New Roman"/>
          <w:sz w:val="24"/>
          <w:szCs w:val="24"/>
        </w:rPr>
        <w:t xml:space="preserve">with </w:t>
      </w:r>
      <w:r w:rsidR="00CB730C" w:rsidRPr="002B630E">
        <w:rPr>
          <w:rFonts w:ascii="Times New Roman" w:hAnsi="Times New Roman" w:cs="Times New Roman"/>
          <w:sz w:val="24"/>
          <w:szCs w:val="24"/>
        </w:rPr>
        <w:t xml:space="preserve">the added </w:t>
      </w:r>
      <w:r w:rsidR="00904D07" w:rsidRPr="002B630E">
        <w:rPr>
          <w:rFonts w:ascii="Times New Roman" w:hAnsi="Times New Roman" w:cs="Times New Roman"/>
          <w:sz w:val="24"/>
          <w:szCs w:val="24"/>
        </w:rPr>
        <w:t>C</w:t>
      </w:r>
      <w:r w:rsidR="00CB730C" w:rsidRPr="002B630E">
        <w:rPr>
          <w:rFonts w:ascii="Times New Roman" w:hAnsi="Times New Roman" w:cs="Times New Roman"/>
          <w:sz w:val="24"/>
          <w:szCs w:val="24"/>
        </w:rPr>
        <w:t xml:space="preserve">ontrapunctus voice or voices presented in black square notation. This visually distinguishes the two voice parts, which are sometimes presented in a kind of vertical alignment, </w:t>
      </w:r>
      <w:r w:rsidR="00AC42BE" w:rsidRPr="002B630E">
        <w:rPr>
          <w:rFonts w:ascii="Times New Roman" w:hAnsi="Times New Roman" w:cs="Times New Roman"/>
          <w:sz w:val="24"/>
          <w:szCs w:val="24"/>
        </w:rPr>
        <w:t xml:space="preserve">perhaps </w:t>
      </w:r>
      <w:r w:rsidR="00CB730C" w:rsidRPr="002B630E">
        <w:rPr>
          <w:rFonts w:ascii="Times New Roman" w:hAnsi="Times New Roman" w:cs="Times New Roman"/>
          <w:sz w:val="24"/>
          <w:szCs w:val="24"/>
        </w:rPr>
        <w:t xml:space="preserve">facilitating silent comprehension of the main theoretical point. </w:t>
      </w:r>
    </w:p>
    <w:p w14:paraId="27D0DE34" w14:textId="050CD68B" w:rsidR="00CB730C" w:rsidRPr="002B630E" w:rsidRDefault="00CB730C"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t>Given that these examples of note-against-note counterpoint require</w:t>
      </w:r>
      <w:r w:rsidR="00AC42BE" w:rsidRPr="002B630E">
        <w:rPr>
          <w:rFonts w:ascii="Times New Roman" w:hAnsi="Times New Roman" w:cs="Times New Roman"/>
          <w:sz w:val="24"/>
          <w:szCs w:val="24"/>
        </w:rPr>
        <w:t xml:space="preserve"> by default</w:t>
      </w:r>
      <w:r w:rsidRPr="002B630E">
        <w:rPr>
          <w:rFonts w:ascii="Times New Roman" w:hAnsi="Times New Roman" w:cs="Times New Roman"/>
          <w:sz w:val="24"/>
          <w:szCs w:val="24"/>
        </w:rPr>
        <w:t xml:space="preserve"> that both notes be sounded together, </w:t>
      </w:r>
      <w:r w:rsidR="00842669" w:rsidRPr="002B630E">
        <w:rPr>
          <w:rFonts w:ascii="Times New Roman" w:hAnsi="Times New Roman" w:cs="Times New Roman"/>
          <w:sz w:val="24"/>
          <w:szCs w:val="24"/>
        </w:rPr>
        <w:t xml:space="preserve">i.e. in congruence, </w:t>
      </w:r>
      <w:r w:rsidRPr="002B630E">
        <w:rPr>
          <w:rFonts w:ascii="Times New Roman" w:hAnsi="Times New Roman" w:cs="Times New Roman"/>
          <w:sz w:val="24"/>
          <w:szCs w:val="24"/>
        </w:rPr>
        <w:t xml:space="preserve">it is surprising to find many examples with </w:t>
      </w:r>
      <w:r w:rsidRPr="002B630E">
        <w:rPr>
          <w:rFonts w:ascii="Times New Roman" w:hAnsi="Times New Roman" w:cs="Times New Roman"/>
          <w:i/>
          <w:sz w:val="24"/>
          <w:szCs w:val="24"/>
        </w:rPr>
        <w:t>sign</w:t>
      </w:r>
      <w:r w:rsidR="0040617E" w:rsidRPr="002B630E">
        <w:rPr>
          <w:rFonts w:ascii="Times New Roman" w:hAnsi="Times New Roman" w:cs="Times New Roman"/>
          <w:i/>
          <w:sz w:val="24"/>
          <w:szCs w:val="24"/>
        </w:rPr>
        <w:t>a</w:t>
      </w:r>
      <w:r w:rsidRPr="002B630E">
        <w:rPr>
          <w:rFonts w:ascii="Times New Roman" w:hAnsi="Times New Roman" w:cs="Times New Roman"/>
          <w:i/>
          <w:sz w:val="24"/>
          <w:szCs w:val="24"/>
        </w:rPr>
        <w:t xml:space="preserve"> </w:t>
      </w:r>
      <w:r w:rsidRPr="002B630E">
        <w:rPr>
          <w:rFonts w:ascii="Times New Roman" w:hAnsi="Times New Roman" w:cs="Times New Roman"/>
          <w:i/>
          <w:sz w:val="24"/>
          <w:szCs w:val="24"/>
        </w:rPr>
        <w:lastRenderedPageBreak/>
        <w:t>congruentiae</w:t>
      </w:r>
      <w:r w:rsidRPr="002B630E">
        <w:rPr>
          <w:rFonts w:ascii="Times New Roman" w:hAnsi="Times New Roman" w:cs="Times New Roman"/>
          <w:sz w:val="24"/>
          <w:szCs w:val="24"/>
        </w:rPr>
        <w:t xml:space="preserve"> attached to both voice parts.</w:t>
      </w:r>
      <w:r w:rsidR="00F8572D" w:rsidRPr="002B630E">
        <w:rPr>
          <w:rStyle w:val="FootnoteReference"/>
          <w:rFonts w:ascii="Times New Roman" w:hAnsi="Times New Roman" w:cs="Times New Roman"/>
          <w:sz w:val="24"/>
          <w:szCs w:val="24"/>
        </w:rPr>
        <w:footnoteReference w:id="15"/>
      </w:r>
      <w:r w:rsidR="00F8572D" w:rsidRPr="002B630E">
        <w:rPr>
          <w:rFonts w:ascii="Times New Roman" w:hAnsi="Times New Roman" w:cs="Times New Roman"/>
          <w:sz w:val="24"/>
          <w:szCs w:val="24"/>
        </w:rPr>
        <w:t xml:space="preserve"> </w:t>
      </w:r>
      <w:r w:rsidR="00435D6D" w:rsidRPr="002B630E">
        <w:rPr>
          <w:rFonts w:ascii="Times New Roman" w:hAnsi="Times New Roman" w:cs="Times New Roman"/>
          <w:sz w:val="24"/>
          <w:szCs w:val="24"/>
        </w:rPr>
        <w:t xml:space="preserve">Although we might read the presence of </w:t>
      </w:r>
      <w:r w:rsidR="00435D6D" w:rsidRPr="002B630E">
        <w:rPr>
          <w:rFonts w:ascii="Times New Roman" w:hAnsi="Times New Roman" w:cs="Times New Roman"/>
          <w:i/>
          <w:sz w:val="24"/>
          <w:szCs w:val="24"/>
        </w:rPr>
        <w:t xml:space="preserve">signa </w:t>
      </w:r>
      <w:r w:rsidR="00435D6D" w:rsidRPr="002B630E">
        <w:rPr>
          <w:rFonts w:ascii="Times New Roman" w:hAnsi="Times New Roman" w:cs="Times New Roman"/>
          <w:sz w:val="24"/>
          <w:szCs w:val="24"/>
        </w:rPr>
        <w:t>to be a little superfluous to requirement</w:t>
      </w:r>
      <w:r w:rsidR="006A3258">
        <w:rPr>
          <w:rFonts w:ascii="Times New Roman" w:hAnsi="Times New Roman" w:cs="Times New Roman"/>
          <w:sz w:val="24"/>
          <w:szCs w:val="24"/>
        </w:rPr>
        <w:t>—after all, all voices coincide in such a configuration</w:t>
      </w:r>
      <w:r w:rsidR="00A112AD">
        <w:rPr>
          <w:rFonts w:ascii="Times New Roman" w:hAnsi="Times New Roman" w:cs="Times New Roman"/>
          <w:sz w:val="24"/>
          <w:szCs w:val="24"/>
        </w:rPr>
        <w:t xml:space="preserve"> by default</w:t>
      </w:r>
      <w:r w:rsidR="006A3258">
        <w:rPr>
          <w:rFonts w:ascii="Times New Roman" w:hAnsi="Times New Roman" w:cs="Times New Roman"/>
          <w:sz w:val="24"/>
          <w:szCs w:val="24"/>
        </w:rPr>
        <w:t>—</w:t>
      </w:r>
      <w:r w:rsidR="00041096" w:rsidRPr="002B630E">
        <w:rPr>
          <w:rFonts w:ascii="Times New Roman" w:hAnsi="Times New Roman" w:cs="Times New Roman"/>
          <w:sz w:val="24"/>
          <w:szCs w:val="24"/>
        </w:rPr>
        <w:t>the symbol</w:t>
      </w:r>
      <w:r w:rsidR="00435D6D" w:rsidRPr="002B630E">
        <w:rPr>
          <w:rFonts w:ascii="Times New Roman" w:hAnsi="Times New Roman" w:cs="Times New Roman"/>
          <w:sz w:val="24"/>
          <w:szCs w:val="24"/>
        </w:rPr>
        <w:t>s</w:t>
      </w:r>
      <w:r w:rsidR="00041096" w:rsidRPr="002B630E">
        <w:rPr>
          <w:rFonts w:ascii="Times New Roman" w:hAnsi="Times New Roman" w:cs="Times New Roman"/>
          <w:sz w:val="24"/>
          <w:szCs w:val="24"/>
        </w:rPr>
        <w:t xml:space="preserve"> </w:t>
      </w:r>
      <w:r w:rsidR="00D14636" w:rsidRPr="002B630E">
        <w:rPr>
          <w:rFonts w:ascii="Times New Roman" w:hAnsi="Times New Roman" w:cs="Times New Roman"/>
          <w:sz w:val="24"/>
          <w:szCs w:val="24"/>
        </w:rPr>
        <w:t xml:space="preserve">play a pivotal role in strengthening the </w:t>
      </w:r>
      <w:r w:rsidR="00041096" w:rsidRPr="002B630E">
        <w:rPr>
          <w:rFonts w:ascii="Times New Roman" w:hAnsi="Times New Roman" w:cs="Times New Roman"/>
          <w:sz w:val="24"/>
          <w:szCs w:val="24"/>
        </w:rPr>
        <w:t xml:space="preserve">relationship between the musical notation and the main </w:t>
      </w:r>
      <w:r w:rsidR="00D14636" w:rsidRPr="002B630E">
        <w:rPr>
          <w:rFonts w:ascii="Times New Roman" w:hAnsi="Times New Roman" w:cs="Times New Roman"/>
          <w:sz w:val="24"/>
          <w:szCs w:val="24"/>
        </w:rPr>
        <w:t xml:space="preserve">treatise </w:t>
      </w:r>
      <w:r w:rsidR="00041096" w:rsidRPr="002B630E">
        <w:rPr>
          <w:rFonts w:ascii="Times New Roman" w:hAnsi="Times New Roman" w:cs="Times New Roman"/>
          <w:sz w:val="24"/>
          <w:szCs w:val="24"/>
        </w:rPr>
        <w:t xml:space="preserve">text. </w:t>
      </w:r>
    </w:p>
    <w:p w14:paraId="6960AA69" w14:textId="458D3243" w:rsidR="00B95FCD" w:rsidRPr="002B630E" w:rsidRDefault="00577412" w:rsidP="00B95FCD">
      <w:pPr>
        <w:spacing w:after="0" w:line="480" w:lineRule="auto"/>
        <w:jc w:val="both"/>
        <w:rPr>
          <w:rFonts w:ascii="Times New Roman" w:hAnsi="Times New Roman" w:cs="Times New Roman"/>
          <w:sz w:val="24"/>
          <w:szCs w:val="24"/>
        </w:rPr>
      </w:pPr>
      <w:r w:rsidRPr="002B630E">
        <w:rPr>
          <w:rFonts w:ascii="Times New Roman" w:hAnsi="Times New Roman" w:cs="Times New Roman"/>
          <w:sz w:val="24"/>
          <w:szCs w:val="24"/>
        </w:rPr>
        <w:tab/>
        <w:t xml:space="preserve">The first example of this type to feature symbols resembling </w:t>
      </w:r>
      <w:r w:rsidRPr="002B630E">
        <w:rPr>
          <w:rFonts w:ascii="Times New Roman" w:hAnsi="Times New Roman" w:cs="Times New Roman"/>
          <w:i/>
          <w:sz w:val="24"/>
          <w:szCs w:val="24"/>
        </w:rPr>
        <w:t>signa congruentiae</w:t>
      </w:r>
      <w:r w:rsidRPr="002B630E">
        <w:rPr>
          <w:rFonts w:ascii="Times New Roman" w:hAnsi="Times New Roman" w:cs="Times New Roman"/>
          <w:sz w:val="24"/>
          <w:szCs w:val="24"/>
        </w:rPr>
        <w:t xml:space="preserve"> is fo</w:t>
      </w:r>
      <w:r w:rsidR="00962304" w:rsidRPr="002B630E">
        <w:rPr>
          <w:rFonts w:ascii="Times New Roman" w:hAnsi="Times New Roman" w:cs="Times New Roman"/>
          <w:sz w:val="24"/>
          <w:szCs w:val="24"/>
        </w:rPr>
        <w:t>und midway through I</w:t>
      </w:r>
      <w:r w:rsidR="00324A23" w:rsidRPr="002B630E">
        <w:rPr>
          <w:rFonts w:ascii="Times New Roman" w:hAnsi="Times New Roman" w:cs="Times New Roman"/>
          <w:sz w:val="24"/>
          <w:szCs w:val="24"/>
        </w:rPr>
        <w:t>.</w:t>
      </w:r>
      <w:r w:rsidR="007E1C7F" w:rsidRPr="002B630E">
        <w:rPr>
          <w:rFonts w:ascii="Times New Roman" w:hAnsi="Times New Roman" w:cs="Times New Roman"/>
          <w:sz w:val="24"/>
          <w:szCs w:val="24"/>
        </w:rPr>
        <w:t>vii, a chapter which</w:t>
      </w:r>
      <w:r w:rsidR="00461976" w:rsidRPr="002B630E">
        <w:rPr>
          <w:rFonts w:ascii="Times New Roman" w:hAnsi="Times New Roman" w:cs="Times New Roman"/>
          <w:sz w:val="24"/>
          <w:szCs w:val="24"/>
        </w:rPr>
        <w:t xml:space="preserve"> discusses the intervals of ‘diapente cum semitonio’ and ‘diapente cum </w:t>
      </w:r>
      <w:r w:rsidR="00C35D3E" w:rsidRPr="002B630E">
        <w:rPr>
          <w:rFonts w:ascii="Times New Roman" w:hAnsi="Times New Roman" w:cs="Times New Roman"/>
          <w:sz w:val="24"/>
          <w:szCs w:val="24"/>
        </w:rPr>
        <w:t>tono’ or</w:t>
      </w:r>
      <w:r w:rsidR="007E1C7F" w:rsidRPr="002B630E">
        <w:rPr>
          <w:rFonts w:ascii="Times New Roman" w:hAnsi="Times New Roman" w:cs="Times New Roman"/>
          <w:sz w:val="24"/>
          <w:szCs w:val="24"/>
        </w:rPr>
        <w:t>,</w:t>
      </w:r>
      <w:r w:rsidR="00C35D3E" w:rsidRPr="002B630E">
        <w:rPr>
          <w:rFonts w:ascii="Times New Roman" w:hAnsi="Times New Roman" w:cs="Times New Roman"/>
          <w:sz w:val="24"/>
          <w:szCs w:val="24"/>
        </w:rPr>
        <w:t xml:space="preserve"> in modern terms, the minor</w:t>
      </w:r>
      <w:r w:rsidR="00461976" w:rsidRPr="002B630E">
        <w:rPr>
          <w:rFonts w:ascii="Times New Roman" w:hAnsi="Times New Roman" w:cs="Times New Roman"/>
          <w:sz w:val="24"/>
          <w:szCs w:val="24"/>
        </w:rPr>
        <w:t xml:space="preserve"> and </w:t>
      </w:r>
      <w:r w:rsidR="00C35D3E" w:rsidRPr="002B630E">
        <w:rPr>
          <w:rFonts w:ascii="Times New Roman" w:hAnsi="Times New Roman" w:cs="Times New Roman"/>
          <w:sz w:val="24"/>
          <w:szCs w:val="24"/>
        </w:rPr>
        <w:t>major</w:t>
      </w:r>
      <w:r w:rsidR="00461976" w:rsidRPr="002B630E">
        <w:rPr>
          <w:rFonts w:ascii="Times New Roman" w:hAnsi="Times New Roman" w:cs="Times New Roman"/>
          <w:sz w:val="24"/>
          <w:szCs w:val="24"/>
        </w:rPr>
        <w:t xml:space="preserve"> sixth. After two </w:t>
      </w:r>
      <w:r w:rsidR="007E1C7F" w:rsidRPr="002B630E">
        <w:rPr>
          <w:rFonts w:ascii="Times New Roman" w:hAnsi="Times New Roman" w:cs="Times New Roman"/>
          <w:sz w:val="24"/>
          <w:szCs w:val="24"/>
        </w:rPr>
        <w:t xml:space="preserve">graphical depictions of the </w:t>
      </w:r>
      <w:r w:rsidR="00461976" w:rsidRPr="002B630E">
        <w:rPr>
          <w:rFonts w:ascii="Times New Roman" w:hAnsi="Times New Roman" w:cs="Times New Roman"/>
          <w:sz w:val="24"/>
          <w:szCs w:val="24"/>
        </w:rPr>
        <w:t xml:space="preserve">intervals themselves, Tinctoris provides an example of note-against-note counterpoint </w:t>
      </w:r>
      <w:r w:rsidR="00A11AAA" w:rsidRPr="002B630E">
        <w:rPr>
          <w:rFonts w:ascii="Times New Roman" w:hAnsi="Times New Roman" w:cs="Times New Roman"/>
          <w:sz w:val="24"/>
          <w:szCs w:val="24"/>
        </w:rPr>
        <w:t>that</w:t>
      </w:r>
      <w:r w:rsidR="00461976" w:rsidRPr="002B630E">
        <w:rPr>
          <w:rFonts w:ascii="Times New Roman" w:hAnsi="Times New Roman" w:cs="Times New Roman"/>
          <w:sz w:val="24"/>
          <w:szCs w:val="24"/>
        </w:rPr>
        <w:t xml:space="preserve"> follows </w:t>
      </w:r>
      <w:r w:rsidR="00324A23" w:rsidRPr="002B630E">
        <w:rPr>
          <w:rFonts w:ascii="Times New Roman" w:hAnsi="Times New Roman" w:cs="Times New Roman"/>
          <w:sz w:val="24"/>
          <w:szCs w:val="24"/>
        </w:rPr>
        <w:t xml:space="preserve">a </w:t>
      </w:r>
      <w:r w:rsidR="00461976" w:rsidRPr="002B630E">
        <w:rPr>
          <w:rFonts w:ascii="Times New Roman" w:hAnsi="Times New Roman" w:cs="Times New Roman"/>
          <w:sz w:val="24"/>
          <w:szCs w:val="24"/>
        </w:rPr>
        <w:t xml:space="preserve">specific </w:t>
      </w:r>
      <w:r w:rsidR="00324A23" w:rsidRPr="002B630E">
        <w:rPr>
          <w:rFonts w:ascii="Times New Roman" w:hAnsi="Times New Roman" w:cs="Times New Roman"/>
          <w:sz w:val="24"/>
          <w:szCs w:val="24"/>
        </w:rPr>
        <w:t xml:space="preserve">progression set out in </w:t>
      </w:r>
      <w:r w:rsidR="00461976" w:rsidRPr="002B630E">
        <w:rPr>
          <w:rFonts w:ascii="Times New Roman" w:hAnsi="Times New Roman" w:cs="Times New Roman"/>
          <w:sz w:val="24"/>
          <w:szCs w:val="24"/>
        </w:rPr>
        <w:t>the text</w:t>
      </w:r>
      <w:r w:rsidR="00A11AAA" w:rsidRPr="002B630E">
        <w:rPr>
          <w:rFonts w:ascii="Times New Roman" w:hAnsi="Times New Roman" w:cs="Times New Roman"/>
          <w:sz w:val="24"/>
          <w:szCs w:val="24"/>
        </w:rPr>
        <w:t xml:space="preserve"> (see </w:t>
      </w:r>
      <w:r w:rsidR="00D10043" w:rsidRPr="002B630E">
        <w:rPr>
          <w:rFonts w:ascii="Times New Roman" w:hAnsi="Times New Roman" w:cs="Times New Roman"/>
          <w:sz w:val="24"/>
          <w:szCs w:val="24"/>
        </w:rPr>
        <w:t>Figure 2</w:t>
      </w:r>
      <w:r w:rsidR="00A11AAA" w:rsidRPr="002B630E">
        <w:rPr>
          <w:rFonts w:ascii="Times New Roman" w:hAnsi="Times New Roman" w:cs="Times New Roman"/>
          <w:sz w:val="24"/>
          <w:szCs w:val="24"/>
        </w:rPr>
        <w:t>)</w:t>
      </w:r>
      <w:r w:rsidR="00461976" w:rsidRPr="002B630E">
        <w:rPr>
          <w:rFonts w:ascii="Times New Roman" w:hAnsi="Times New Roman" w:cs="Times New Roman"/>
          <w:sz w:val="24"/>
          <w:szCs w:val="24"/>
        </w:rPr>
        <w:t>.</w:t>
      </w:r>
    </w:p>
    <w:p w14:paraId="54CE15AC" w14:textId="77777777" w:rsidR="00D10043" w:rsidRPr="002B630E" w:rsidRDefault="00D10043" w:rsidP="00B95FCD">
      <w:pPr>
        <w:spacing w:after="0" w:line="48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15"/>
        <w:gridCol w:w="4511"/>
      </w:tblGrid>
      <w:tr w:rsidR="00461976" w:rsidRPr="002B630E" w14:paraId="221C878A" w14:textId="77777777" w:rsidTr="003B4139">
        <w:tc>
          <w:tcPr>
            <w:tcW w:w="4621" w:type="dxa"/>
            <w:tcBorders>
              <w:right w:val="single" w:sz="4" w:space="0" w:color="auto"/>
            </w:tcBorders>
          </w:tcPr>
          <w:p w14:paraId="165E4DBA" w14:textId="77777777" w:rsidR="00461976" w:rsidRPr="002B630E" w:rsidRDefault="00461976"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Unde accuratissime notandum est numquam sextam superiorem melodiose assumi posse, nisi eam una aut plures alie sexte sequantur, finaliter ad octavam aut decimam superiorem sine interpositione concordantie alterius speciei tendentes; aut nisi tenor post eam descendat unum gradum tantum aut tres, contra quorum graduum notas aut superior octava aut decima ponetur, ut hic:</w:t>
            </w:r>
            <w:r w:rsidR="003B139B" w:rsidRPr="002B630E">
              <w:rPr>
                <w:rStyle w:val="FootnoteReference"/>
                <w:rFonts w:ascii="Times New Roman" w:hAnsi="Times New Roman" w:cs="Times New Roman"/>
                <w:sz w:val="24"/>
                <w:szCs w:val="24"/>
              </w:rPr>
              <w:footnoteReference w:id="16"/>
            </w:r>
          </w:p>
        </w:tc>
        <w:tc>
          <w:tcPr>
            <w:tcW w:w="4621" w:type="dxa"/>
            <w:tcBorders>
              <w:left w:val="single" w:sz="4" w:space="0" w:color="auto"/>
            </w:tcBorders>
          </w:tcPr>
          <w:p w14:paraId="3AD896C3" w14:textId="77777777" w:rsidR="00461976" w:rsidRPr="002B630E" w:rsidRDefault="003B139B"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Hence, it must be most accurately noted that the sixth above can never be taken melodically, unless one or many other sixths follow it, leading finally to an octave or a tenth above, without the interposition of a concord of another type, or unless the tenor descends after this sixth only one step or three, against notes of whose level either the octave above or tenth is placed, as here:</w:t>
            </w:r>
          </w:p>
        </w:tc>
      </w:tr>
    </w:tbl>
    <w:p w14:paraId="33B383FA" w14:textId="7C053546" w:rsidR="00B95FCD" w:rsidRPr="002B630E" w:rsidRDefault="002C60EF" w:rsidP="00B95FCD">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GB"/>
        </w:rPr>
        <w:lastRenderedPageBreak/>
        <w:t>[FIG 2A HERE]</w:t>
      </w:r>
    </w:p>
    <w:p w14:paraId="7D08145E" w14:textId="49347967" w:rsidR="00B95FCD" w:rsidRPr="002B630E" w:rsidRDefault="00B95FCD" w:rsidP="00EF611D">
      <w:pPr>
        <w:spacing w:line="480" w:lineRule="auto"/>
        <w:rPr>
          <w:rFonts w:ascii="Times New Roman" w:hAnsi="Times New Roman" w:cs="Times New Roman"/>
          <w:sz w:val="24"/>
        </w:rPr>
      </w:pPr>
      <w:r w:rsidRPr="002B630E">
        <w:rPr>
          <w:rFonts w:ascii="Times New Roman" w:hAnsi="Times New Roman" w:cs="Times New Roman"/>
          <w:sz w:val="24"/>
        </w:rPr>
        <w:t xml:space="preserve">Figure </w:t>
      </w:r>
      <w:r w:rsidR="00D10043" w:rsidRPr="002B630E">
        <w:rPr>
          <w:rFonts w:ascii="Times New Roman" w:hAnsi="Times New Roman" w:cs="Times New Roman"/>
          <w:sz w:val="24"/>
        </w:rPr>
        <w:t>2</w:t>
      </w:r>
      <w:r w:rsidR="00374E41">
        <w:rPr>
          <w:rFonts w:ascii="Times New Roman" w:hAnsi="Times New Roman" w:cs="Times New Roman"/>
          <w:sz w:val="24"/>
        </w:rPr>
        <w:t>a</w:t>
      </w:r>
      <w:r w:rsidRPr="002B630E">
        <w:rPr>
          <w:rFonts w:ascii="Times New Roman" w:hAnsi="Times New Roman" w:cs="Times New Roman"/>
          <w:sz w:val="24"/>
        </w:rPr>
        <w:t xml:space="preserve">. Tinctoris, </w:t>
      </w:r>
      <w:r w:rsidRPr="002B630E">
        <w:rPr>
          <w:rFonts w:ascii="Times New Roman" w:hAnsi="Times New Roman" w:cs="Times New Roman"/>
          <w:i/>
          <w:sz w:val="24"/>
        </w:rPr>
        <w:t>De contr.</w:t>
      </w:r>
      <w:r w:rsidRPr="002B630E">
        <w:rPr>
          <w:rFonts w:ascii="Times New Roman" w:hAnsi="Times New Roman" w:cs="Times New Roman"/>
          <w:sz w:val="24"/>
        </w:rPr>
        <w:t>, I.vii. Example of note-agains</w:t>
      </w:r>
      <w:r w:rsidR="00EF611D">
        <w:rPr>
          <w:rFonts w:ascii="Times New Roman" w:hAnsi="Times New Roman" w:cs="Times New Roman"/>
          <w:sz w:val="24"/>
        </w:rPr>
        <w:t xml:space="preserve">t-note counterpoint, with added </w:t>
      </w:r>
      <w:r w:rsidRPr="002B630E">
        <w:rPr>
          <w:rFonts w:ascii="Times New Roman" w:hAnsi="Times New Roman" w:cs="Times New Roman"/>
          <w:i/>
          <w:sz w:val="24"/>
        </w:rPr>
        <w:t>signa</w:t>
      </w:r>
      <w:r w:rsidRPr="002B630E">
        <w:rPr>
          <w:rFonts w:ascii="Times New Roman" w:hAnsi="Times New Roman" w:cs="Times New Roman"/>
          <w:sz w:val="24"/>
        </w:rPr>
        <w:t xml:space="preserve">. </w:t>
      </w:r>
      <w:r w:rsidRPr="002B630E">
        <w:rPr>
          <w:rFonts w:ascii="Times New Roman" w:hAnsi="Times New Roman" w:cs="Times New Roman"/>
          <w:sz w:val="24"/>
          <w:szCs w:val="24"/>
        </w:rPr>
        <w:t>Brussels, Bibliothèque Royale, MS II 4147, fol. 59</w:t>
      </w:r>
      <w:r w:rsidRPr="002B630E">
        <w:rPr>
          <w:rFonts w:ascii="Times New Roman" w:hAnsi="Times New Roman" w:cs="Times New Roman"/>
          <w:sz w:val="24"/>
          <w:szCs w:val="24"/>
          <w:vertAlign w:val="superscript"/>
        </w:rPr>
        <w:t>v</w:t>
      </w:r>
      <w:r w:rsidRPr="002B630E">
        <w:rPr>
          <w:rFonts w:ascii="Times New Roman" w:hAnsi="Times New Roman" w:cs="Times New Roman"/>
          <w:sz w:val="24"/>
          <w:szCs w:val="24"/>
        </w:rPr>
        <w:t>.</w:t>
      </w:r>
      <w:r w:rsidR="00EE1B69">
        <w:rPr>
          <w:rFonts w:ascii="Times New Roman" w:hAnsi="Times New Roman" w:cs="Times New Roman"/>
          <w:sz w:val="24"/>
          <w:szCs w:val="24"/>
        </w:rPr>
        <w:t xml:space="preserve"> Reproduced with kind permission of Bibliothèque royale de Belgique.</w:t>
      </w:r>
    </w:p>
    <w:p w14:paraId="5D790EE5" w14:textId="77777777" w:rsidR="00B95FCD" w:rsidRPr="002B630E" w:rsidRDefault="00B95FCD" w:rsidP="00B95FCD">
      <w:pPr>
        <w:spacing w:line="480" w:lineRule="auto"/>
        <w:jc w:val="both"/>
        <w:rPr>
          <w:rFonts w:ascii="Times New Roman" w:hAnsi="Times New Roman" w:cs="Times New Roman"/>
          <w:sz w:val="24"/>
          <w:szCs w:val="24"/>
        </w:rPr>
      </w:pPr>
    </w:p>
    <w:p w14:paraId="23D507D1" w14:textId="416CE1FE" w:rsidR="00B95FCD" w:rsidRDefault="002C60EF" w:rsidP="002C60EF">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GB"/>
        </w:rPr>
        <w:t>[FIG 2B HERE]</w:t>
      </w:r>
    </w:p>
    <w:p w14:paraId="2DE59914" w14:textId="7893FDE5" w:rsidR="00374E41" w:rsidRPr="002B630E" w:rsidRDefault="00374E41" w:rsidP="00EF611D">
      <w:pPr>
        <w:spacing w:line="480" w:lineRule="auto"/>
        <w:rPr>
          <w:rFonts w:ascii="Times New Roman" w:hAnsi="Times New Roman" w:cs="Times New Roman"/>
          <w:sz w:val="24"/>
        </w:rPr>
      </w:pPr>
      <w:r w:rsidRPr="002B630E">
        <w:rPr>
          <w:rFonts w:ascii="Times New Roman" w:hAnsi="Times New Roman" w:cs="Times New Roman"/>
          <w:sz w:val="24"/>
        </w:rPr>
        <w:t>Figure 2</w:t>
      </w:r>
      <w:r>
        <w:rPr>
          <w:rFonts w:ascii="Times New Roman" w:hAnsi="Times New Roman" w:cs="Times New Roman"/>
          <w:sz w:val="24"/>
        </w:rPr>
        <w:t>b</w:t>
      </w:r>
      <w:r w:rsidRPr="002B630E">
        <w:rPr>
          <w:rFonts w:ascii="Times New Roman" w:hAnsi="Times New Roman" w:cs="Times New Roman"/>
          <w:sz w:val="24"/>
        </w:rPr>
        <w:t xml:space="preserve">. Tinctoris, </w:t>
      </w:r>
      <w:r w:rsidRPr="002B630E">
        <w:rPr>
          <w:rFonts w:ascii="Times New Roman" w:hAnsi="Times New Roman" w:cs="Times New Roman"/>
          <w:i/>
          <w:sz w:val="24"/>
        </w:rPr>
        <w:t>De contr.</w:t>
      </w:r>
      <w:r w:rsidRPr="002B630E">
        <w:rPr>
          <w:rFonts w:ascii="Times New Roman" w:hAnsi="Times New Roman" w:cs="Times New Roman"/>
          <w:sz w:val="24"/>
        </w:rPr>
        <w:t xml:space="preserve">, I.vii. Example of note-against-note counterpoint, with added </w:t>
      </w:r>
      <w:r w:rsidRPr="002B630E">
        <w:rPr>
          <w:rFonts w:ascii="Times New Roman" w:hAnsi="Times New Roman" w:cs="Times New Roman"/>
          <w:i/>
          <w:sz w:val="24"/>
        </w:rPr>
        <w:t>signa</w:t>
      </w:r>
      <w:r w:rsidRPr="002B630E">
        <w:rPr>
          <w:rFonts w:ascii="Times New Roman" w:hAnsi="Times New Roman" w:cs="Times New Roman"/>
          <w:sz w:val="24"/>
        </w:rPr>
        <w:t xml:space="preserve">. </w:t>
      </w:r>
      <w:r w:rsidRPr="002B630E">
        <w:rPr>
          <w:rFonts w:ascii="Times New Roman" w:hAnsi="Times New Roman" w:cs="Times New Roman"/>
          <w:sz w:val="24"/>
          <w:szCs w:val="24"/>
        </w:rPr>
        <w:t>Brussels, Bibliothèque Royale, MS II 4147, fol. 59</w:t>
      </w:r>
      <w:r w:rsidRPr="002B630E">
        <w:rPr>
          <w:rFonts w:ascii="Times New Roman" w:hAnsi="Times New Roman" w:cs="Times New Roman"/>
          <w:sz w:val="24"/>
          <w:szCs w:val="24"/>
          <w:vertAlign w:val="superscript"/>
        </w:rPr>
        <w:t>v</w:t>
      </w:r>
      <w:r w:rsidRPr="002B630E">
        <w:rPr>
          <w:rFonts w:ascii="Times New Roman" w:hAnsi="Times New Roman" w:cs="Times New Roman"/>
          <w:sz w:val="24"/>
          <w:szCs w:val="24"/>
        </w:rPr>
        <w:t>.</w:t>
      </w:r>
    </w:p>
    <w:p w14:paraId="3566135D" w14:textId="77777777" w:rsidR="00374E41" w:rsidRDefault="00374E41" w:rsidP="00B95FCD">
      <w:pPr>
        <w:spacing w:line="480" w:lineRule="auto"/>
        <w:jc w:val="both"/>
        <w:rPr>
          <w:rFonts w:ascii="Times New Roman" w:hAnsi="Times New Roman" w:cs="Times New Roman"/>
          <w:sz w:val="24"/>
          <w:szCs w:val="24"/>
        </w:rPr>
      </w:pPr>
    </w:p>
    <w:p w14:paraId="7F5624D4" w14:textId="2D6C4B96" w:rsidR="003B139B" w:rsidRPr="002B630E" w:rsidRDefault="00EA48F3"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Here Tinctoris</w:t>
      </w:r>
      <w:r w:rsidR="00A11AAA" w:rsidRPr="002B630E">
        <w:rPr>
          <w:rFonts w:ascii="Times New Roman" w:hAnsi="Times New Roman" w:cs="Times New Roman"/>
          <w:sz w:val="24"/>
          <w:szCs w:val="24"/>
        </w:rPr>
        <w:t xml:space="preserve"> clearly describes contrapuntal motions relating to the interval of the sixth. </w:t>
      </w:r>
      <w:r w:rsidR="00D31399" w:rsidRPr="002B630E">
        <w:rPr>
          <w:rFonts w:ascii="Times New Roman" w:hAnsi="Times New Roman" w:cs="Times New Roman"/>
          <w:sz w:val="24"/>
          <w:szCs w:val="24"/>
        </w:rPr>
        <w:t xml:space="preserve">He </w:t>
      </w:r>
      <w:r w:rsidR="00A11AAA" w:rsidRPr="002B630E">
        <w:rPr>
          <w:rFonts w:ascii="Times New Roman" w:hAnsi="Times New Roman" w:cs="Times New Roman"/>
          <w:sz w:val="24"/>
          <w:szCs w:val="24"/>
        </w:rPr>
        <w:t xml:space="preserve">places </w:t>
      </w:r>
      <w:r w:rsidR="00A11AAA" w:rsidRPr="002B630E">
        <w:rPr>
          <w:rFonts w:ascii="Times New Roman" w:hAnsi="Times New Roman" w:cs="Times New Roman"/>
          <w:i/>
          <w:sz w:val="24"/>
          <w:szCs w:val="24"/>
        </w:rPr>
        <w:t>signa congruentiae</w:t>
      </w:r>
      <w:r w:rsidR="00A11AAA" w:rsidRPr="002B630E">
        <w:rPr>
          <w:rFonts w:ascii="Times New Roman" w:hAnsi="Times New Roman" w:cs="Times New Roman"/>
          <w:sz w:val="24"/>
          <w:szCs w:val="24"/>
        </w:rPr>
        <w:t xml:space="preserve"> above </w:t>
      </w:r>
      <w:r w:rsidR="00F15FB8" w:rsidRPr="002B630E">
        <w:rPr>
          <w:rFonts w:ascii="Times New Roman" w:hAnsi="Times New Roman" w:cs="Times New Roman"/>
          <w:sz w:val="24"/>
          <w:szCs w:val="24"/>
        </w:rPr>
        <w:t xml:space="preserve">vertically aligned instances where the </w:t>
      </w:r>
      <w:r w:rsidR="00E66560" w:rsidRPr="002B630E">
        <w:rPr>
          <w:rFonts w:ascii="Times New Roman" w:hAnsi="Times New Roman" w:cs="Times New Roman"/>
          <w:sz w:val="24"/>
          <w:szCs w:val="24"/>
        </w:rPr>
        <w:t xml:space="preserve">contrapuntal </w:t>
      </w:r>
      <w:r w:rsidR="00F15FB8" w:rsidRPr="002B630E">
        <w:rPr>
          <w:rFonts w:ascii="Times New Roman" w:hAnsi="Times New Roman" w:cs="Times New Roman"/>
          <w:sz w:val="24"/>
          <w:szCs w:val="24"/>
        </w:rPr>
        <w:t>motions described in the text are demonstrated</w:t>
      </w:r>
      <w:r w:rsidR="00324A23" w:rsidRPr="002B630E">
        <w:rPr>
          <w:rFonts w:ascii="Times New Roman" w:hAnsi="Times New Roman" w:cs="Times New Roman"/>
          <w:sz w:val="24"/>
          <w:szCs w:val="24"/>
        </w:rPr>
        <w:t>, raising the visual profile of key moments</w:t>
      </w:r>
      <w:r w:rsidR="00F15FB8" w:rsidRPr="002B630E">
        <w:rPr>
          <w:rFonts w:ascii="Times New Roman" w:hAnsi="Times New Roman" w:cs="Times New Roman"/>
          <w:sz w:val="24"/>
          <w:szCs w:val="24"/>
        </w:rPr>
        <w:t xml:space="preserve">. In the first case, a sixth precedes the tenth with </w:t>
      </w:r>
      <w:r w:rsidR="00521349" w:rsidRPr="002B630E">
        <w:rPr>
          <w:rFonts w:ascii="Times New Roman" w:hAnsi="Times New Roman" w:cs="Times New Roman"/>
          <w:sz w:val="24"/>
          <w:szCs w:val="24"/>
        </w:rPr>
        <w:t xml:space="preserve">a </w:t>
      </w:r>
      <w:r w:rsidR="00F15FB8" w:rsidRPr="002B630E">
        <w:rPr>
          <w:rFonts w:ascii="Times New Roman" w:hAnsi="Times New Roman" w:cs="Times New Roman"/>
          <w:i/>
          <w:sz w:val="24"/>
          <w:szCs w:val="24"/>
        </w:rPr>
        <w:t>sign</w:t>
      </w:r>
      <w:r w:rsidR="00521349" w:rsidRPr="002B630E">
        <w:rPr>
          <w:rFonts w:ascii="Times New Roman" w:hAnsi="Times New Roman" w:cs="Times New Roman"/>
          <w:i/>
          <w:sz w:val="24"/>
          <w:szCs w:val="24"/>
        </w:rPr>
        <w:t>um</w:t>
      </w:r>
      <w:r w:rsidR="00F15FB8" w:rsidRPr="002B630E">
        <w:rPr>
          <w:rFonts w:ascii="Times New Roman" w:hAnsi="Times New Roman" w:cs="Times New Roman"/>
          <w:sz w:val="24"/>
          <w:szCs w:val="24"/>
        </w:rPr>
        <w:t xml:space="preserve"> placed above it, and then </w:t>
      </w:r>
      <w:r w:rsidR="00D731B8" w:rsidRPr="002B630E">
        <w:rPr>
          <w:rFonts w:ascii="Times New Roman" w:hAnsi="Times New Roman" w:cs="Times New Roman"/>
          <w:sz w:val="24"/>
          <w:szCs w:val="24"/>
        </w:rPr>
        <w:t>the Tenor</w:t>
      </w:r>
      <w:r w:rsidR="00F15FB8" w:rsidRPr="002B630E">
        <w:rPr>
          <w:rFonts w:ascii="Times New Roman" w:hAnsi="Times New Roman" w:cs="Times New Roman"/>
          <w:sz w:val="24"/>
          <w:szCs w:val="24"/>
        </w:rPr>
        <w:t xml:space="preserve"> descends by a single step. The process is repeated for the second case, though the </w:t>
      </w:r>
      <w:r w:rsidR="00D731B8" w:rsidRPr="002B630E">
        <w:rPr>
          <w:rFonts w:ascii="Times New Roman" w:hAnsi="Times New Roman" w:cs="Times New Roman"/>
          <w:sz w:val="24"/>
          <w:szCs w:val="24"/>
        </w:rPr>
        <w:t>Tenor</w:t>
      </w:r>
      <w:r w:rsidR="00F15FB8" w:rsidRPr="002B630E">
        <w:rPr>
          <w:rFonts w:ascii="Times New Roman" w:hAnsi="Times New Roman" w:cs="Times New Roman"/>
          <w:sz w:val="24"/>
          <w:szCs w:val="24"/>
        </w:rPr>
        <w:t xml:space="preserve"> descends three steps in this instance, </w:t>
      </w:r>
      <w:r w:rsidR="0066411D" w:rsidRPr="002B630E">
        <w:rPr>
          <w:rFonts w:ascii="Times New Roman" w:hAnsi="Times New Roman" w:cs="Times New Roman"/>
          <w:sz w:val="24"/>
          <w:szCs w:val="24"/>
        </w:rPr>
        <w:t>demonstrating</w:t>
      </w:r>
      <w:r w:rsidR="00F15FB8" w:rsidRPr="002B630E">
        <w:rPr>
          <w:rFonts w:ascii="Times New Roman" w:hAnsi="Times New Roman" w:cs="Times New Roman"/>
          <w:sz w:val="24"/>
          <w:szCs w:val="24"/>
        </w:rPr>
        <w:t xml:space="preserve"> the second part of Tinctoris’s textual description. </w:t>
      </w:r>
      <w:r w:rsidR="009828CB" w:rsidRPr="002B630E">
        <w:rPr>
          <w:rFonts w:ascii="Times New Roman" w:hAnsi="Times New Roman" w:cs="Times New Roman"/>
          <w:sz w:val="24"/>
          <w:szCs w:val="24"/>
        </w:rPr>
        <w:t xml:space="preserve">In both cases, </w:t>
      </w:r>
      <w:r w:rsidR="009828CB" w:rsidRPr="002B630E">
        <w:rPr>
          <w:rFonts w:ascii="Times New Roman" w:hAnsi="Times New Roman" w:cs="Times New Roman"/>
          <w:i/>
          <w:sz w:val="24"/>
          <w:szCs w:val="24"/>
        </w:rPr>
        <w:t>signa congruentiae</w:t>
      </w:r>
      <w:r w:rsidR="0036053D" w:rsidRPr="002B630E">
        <w:rPr>
          <w:rFonts w:ascii="Times New Roman" w:hAnsi="Times New Roman" w:cs="Times New Roman"/>
          <w:sz w:val="24"/>
          <w:szCs w:val="24"/>
        </w:rPr>
        <w:t xml:space="preserve"> serve</w:t>
      </w:r>
      <w:r w:rsidR="009828CB" w:rsidRPr="002B630E">
        <w:rPr>
          <w:rFonts w:ascii="Times New Roman" w:hAnsi="Times New Roman" w:cs="Times New Roman"/>
          <w:sz w:val="24"/>
          <w:szCs w:val="24"/>
        </w:rPr>
        <w:t xml:space="preserve"> to highlight a specific point relating to the text in the notation and</w:t>
      </w:r>
      <w:r w:rsidR="00521349" w:rsidRPr="002B630E">
        <w:rPr>
          <w:rFonts w:ascii="Times New Roman" w:hAnsi="Times New Roman" w:cs="Times New Roman"/>
          <w:sz w:val="24"/>
          <w:szCs w:val="24"/>
        </w:rPr>
        <w:t xml:space="preserve">, importantly, do </w:t>
      </w:r>
      <w:r w:rsidR="009828CB" w:rsidRPr="002B630E">
        <w:rPr>
          <w:rFonts w:ascii="Times New Roman" w:hAnsi="Times New Roman" w:cs="Times New Roman"/>
          <w:sz w:val="24"/>
          <w:szCs w:val="24"/>
        </w:rPr>
        <w:t>not indicate a point of congruence in the traditional sense</w:t>
      </w:r>
      <w:r w:rsidR="00521349" w:rsidRPr="002B630E">
        <w:rPr>
          <w:rFonts w:ascii="Times New Roman" w:hAnsi="Times New Roman" w:cs="Times New Roman"/>
          <w:sz w:val="24"/>
          <w:szCs w:val="24"/>
        </w:rPr>
        <w:t>, usually associated with cadential motion</w:t>
      </w:r>
      <w:r w:rsidR="009828CB" w:rsidRPr="002B630E">
        <w:rPr>
          <w:rFonts w:ascii="Times New Roman" w:hAnsi="Times New Roman" w:cs="Times New Roman"/>
          <w:sz w:val="24"/>
          <w:szCs w:val="24"/>
        </w:rPr>
        <w:t xml:space="preserve">. </w:t>
      </w:r>
    </w:p>
    <w:p w14:paraId="26CFC643" w14:textId="7E1EA965" w:rsidR="007F156D" w:rsidRPr="002B630E" w:rsidRDefault="009828CB"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t xml:space="preserve">From this, it seems that </w:t>
      </w:r>
      <w:r w:rsidRPr="002B630E">
        <w:rPr>
          <w:rFonts w:ascii="Times New Roman" w:hAnsi="Times New Roman" w:cs="Times New Roman"/>
          <w:i/>
          <w:sz w:val="24"/>
          <w:szCs w:val="24"/>
        </w:rPr>
        <w:t xml:space="preserve">signa congruentiae </w:t>
      </w:r>
      <w:r w:rsidRPr="002B630E">
        <w:rPr>
          <w:rFonts w:ascii="Times New Roman" w:hAnsi="Times New Roman" w:cs="Times New Roman"/>
          <w:sz w:val="24"/>
          <w:szCs w:val="24"/>
        </w:rPr>
        <w:t xml:space="preserve">have been included to act as </w:t>
      </w:r>
      <w:r w:rsidR="00E376D2" w:rsidRPr="002B630E">
        <w:rPr>
          <w:rFonts w:ascii="Times New Roman" w:hAnsi="Times New Roman" w:cs="Times New Roman"/>
          <w:sz w:val="24"/>
          <w:szCs w:val="24"/>
        </w:rPr>
        <w:t xml:space="preserve">didactic </w:t>
      </w:r>
      <w:r w:rsidRPr="002B630E">
        <w:rPr>
          <w:rFonts w:ascii="Times New Roman" w:hAnsi="Times New Roman" w:cs="Times New Roman"/>
          <w:sz w:val="24"/>
          <w:szCs w:val="24"/>
        </w:rPr>
        <w:t>markers, strengthening the relationship between the text</w:t>
      </w:r>
      <w:r w:rsidR="00842FFF" w:rsidRPr="002B630E">
        <w:rPr>
          <w:rFonts w:ascii="Times New Roman" w:hAnsi="Times New Roman" w:cs="Times New Roman"/>
          <w:sz w:val="24"/>
          <w:szCs w:val="24"/>
        </w:rPr>
        <w:t xml:space="preserve"> and the musical notation</w:t>
      </w:r>
      <w:r w:rsidR="00AA7056" w:rsidRPr="002B630E">
        <w:rPr>
          <w:rFonts w:ascii="Times New Roman" w:hAnsi="Times New Roman" w:cs="Times New Roman"/>
          <w:sz w:val="24"/>
          <w:szCs w:val="24"/>
        </w:rPr>
        <w:t xml:space="preserve"> </w:t>
      </w:r>
      <w:r w:rsidR="0036053D" w:rsidRPr="002B630E">
        <w:rPr>
          <w:rFonts w:ascii="Times New Roman" w:hAnsi="Times New Roman" w:cs="Times New Roman"/>
          <w:sz w:val="24"/>
          <w:szCs w:val="24"/>
        </w:rPr>
        <w:t>and</w:t>
      </w:r>
      <w:r w:rsidR="00AA7056" w:rsidRPr="002B630E">
        <w:rPr>
          <w:rFonts w:ascii="Times New Roman" w:hAnsi="Times New Roman" w:cs="Times New Roman"/>
          <w:sz w:val="24"/>
          <w:szCs w:val="24"/>
        </w:rPr>
        <w:t xml:space="preserve">, crucially, operating in a different manner from the function we usually ascribe to such symbols. </w:t>
      </w:r>
      <w:r w:rsidR="00D31399" w:rsidRPr="002B630E">
        <w:rPr>
          <w:rFonts w:ascii="Times New Roman" w:hAnsi="Times New Roman" w:cs="Times New Roman"/>
          <w:sz w:val="24"/>
          <w:szCs w:val="24"/>
        </w:rPr>
        <w:t xml:space="preserve">Interestingly, </w:t>
      </w:r>
      <w:r w:rsidR="00D31399" w:rsidRPr="002B630E">
        <w:rPr>
          <w:rFonts w:ascii="Times New Roman" w:hAnsi="Times New Roman" w:cs="Times New Roman"/>
          <w:sz w:val="24"/>
          <w:szCs w:val="24"/>
          <w:lang w:val="en-US"/>
        </w:rPr>
        <w:t xml:space="preserve">the </w:t>
      </w:r>
      <w:r w:rsidR="00D31399" w:rsidRPr="002B630E">
        <w:rPr>
          <w:rFonts w:ascii="Times New Roman" w:hAnsi="Times New Roman" w:cs="Times New Roman"/>
          <w:i/>
          <w:sz w:val="24"/>
          <w:szCs w:val="24"/>
          <w:lang w:val="en-US"/>
        </w:rPr>
        <w:t>signa</w:t>
      </w:r>
      <w:r w:rsidR="00D31399" w:rsidRPr="002B630E">
        <w:rPr>
          <w:rFonts w:ascii="Times New Roman" w:hAnsi="Times New Roman" w:cs="Times New Roman"/>
          <w:sz w:val="24"/>
          <w:szCs w:val="24"/>
          <w:lang w:val="en-US"/>
        </w:rPr>
        <w:t xml:space="preserve"> deployed in this example appear only in </w:t>
      </w:r>
      <w:r w:rsidR="00F345A3" w:rsidRPr="002B630E">
        <w:rPr>
          <w:rFonts w:ascii="Times New Roman" w:hAnsi="Times New Roman" w:cs="Times New Roman"/>
          <w:b/>
          <w:sz w:val="24"/>
          <w:szCs w:val="24"/>
          <w:lang w:val="en-US"/>
        </w:rPr>
        <w:t>Br1</w:t>
      </w:r>
      <w:r w:rsidR="00D31399" w:rsidRPr="002B630E">
        <w:rPr>
          <w:rFonts w:ascii="Times New Roman" w:hAnsi="Times New Roman" w:cs="Times New Roman"/>
          <w:sz w:val="24"/>
          <w:szCs w:val="24"/>
          <w:lang w:val="en-US"/>
        </w:rPr>
        <w:t xml:space="preserve">. However, given Tinctoris’s likely close involvement in the production of all </w:t>
      </w:r>
      <w:r w:rsidR="00F345A3" w:rsidRPr="002B630E">
        <w:rPr>
          <w:rFonts w:ascii="Times New Roman" w:hAnsi="Times New Roman" w:cs="Times New Roman"/>
          <w:sz w:val="24"/>
          <w:szCs w:val="24"/>
          <w:lang w:val="en-US"/>
        </w:rPr>
        <w:t xml:space="preserve">of the ‘main’ </w:t>
      </w:r>
      <w:r w:rsidR="00D31399" w:rsidRPr="002B630E">
        <w:rPr>
          <w:rFonts w:ascii="Times New Roman" w:hAnsi="Times New Roman" w:cs="Times New Roman"/>
          <w:sz w:val="24"/>
          <w:szCs w:val="24"/>
          <w:lang w:val="en-US"/>
        </w:rPr>
        <w:t>manuscripts</w:t>
      </w:r>
      <w:r w:rsidR="00F345A3" w:rsidRPr="002B630E">
        <w:rPr>
          <w:rFonts w:ascii="Times New Roman" w:hAnsi="Times New Roman" w:cs="Times New Roman"/>
          <w:sz w:val="24"/>
          <w:szCs w:val="24"/>
          <w:lang w:val="en-US"/>
        </w:rPr>
        <w:t xml:space="preserve"> of his </w:t>
      </w:r>
      <w:r w:rsidR="00F345A3" w:rsidRPr="002B630E">
        <w:rPr>
          <w:rFonts w:ascii="Times New Roman" w:hAnsi="Times New Roman" w:cs="Times New Roman"/>
          <w:sz w:val="24"/>
          <w:szCs w:val="24"/>
          <w:lang w:val="en-US"/>
        </w:rPr>
        <w:lastRenderedPageBreak/>
        <w:t>works</w:t>
      </w:r>
      <w:r w:rsidR="00D31399" w:rsidRPr="002B630E">
        <w:rPr>
          <w:rFonts w:ascii="Times New Roman" w:hAnsi="Times New Roman" w:cs="Times New Roman"/>
          <w:sz w:val="24"/>
          <w:szCs w:val="24"/>
          <w:lang w:val="en-US"/>
        </w:rPr>
        <w:t>, and the consistency with which they are applied across the sources, this placement should not be attributed to a scrib</w:t>
      </w:r>
      <w:r w:rsidR="00CC30A7">
        <w:rPr>
          <w:rFonts w:ascii="Times New Roman" w:hAnsi="Times New Roman" w:cs="Times New Roman"/>
          <w:sz w:val="24"/>
          <w:szCs w:val="24"/>
          <w:lang w:val="en-US"/>
        </w:rPr>
        <w:t>al</w:t>
      </w:r>
      <w:r w:rsidR="00D31399" w:rsidRPr="002B630E">
        <w:rPr>
          <w:rFonts w:ascii="Times New Roman" w:hAnsi="Times New Roman" w:cs="Times New Roman"/>
          <w:sz w:val="24"/>
          <w:szCs w:val="24"/>
          <w:lang w:val="en-US"/>
        </w:rPr>
        <w:t xml:space="preserve"> emendation. </w:t>
      </w:r>
      <w:r w:rsidR="000B27EF" w:rsidRPr="002B630E">
        <w:rPr>
          <w:rFonts w:ascii="Times New Roman" w:hAnsi="Times New Roman" w:cs="Times New Roman"/>
          <w:sz w:val="24"/>
          <w:szCs w:val="24"/>
        </w:rPr>
        <w:t xml:space="preserve">The theoretical point is clear for all to see, even </w:t>
      </w:r>
      <w:r w:rsidR="0000760B" w:rsidRPr="002B630E">
        <w:rPr>
          <w:rFonts w:ascii="Times New Roman" w:hAnsi="Times New Roman" w:cs="Times New Roman"/>
          <w:sz w:val="24"/>
          <w:szCs w:val="24"/>
        </w:rPr>
        <w:t xml:space="preserve">to </w:t>
      </w:r>
      <w:r w:rsidR="000B27EF" w:rsidRPr="002B630E">
        <w:rPr>
          <w:rFonts w:ascii="Times New Roman" w:hAnsi="Times New Roman" w:cs="Times New Roman"/>
          <w:sz w:val="24"/>
          <w:szCs w:val="24"/>
        </w:rPr>
        <w:t xml:space="preserve">those </w:t>
      </w:r>
      <w:r w:rsidR="00521349" w:rsidRPr="002B630E">
        <w:rPr>
          <w:rFonts w:ascii="Times New Roman" w:hAnsi="Times New Roman" w:cs="Times New Roman"/>
          <w:sz w:val="24"/>
          <w:szCs w:val="24"/>
        </w:rPr>
        <w:t xml:space="preserve">whose proficiency in counterpoint and the reading of musical notation may still have been developing. </w:t>
      </w:r>
      <w:r w:rsidRPr="002B630E">
        <w:rPr>
          <w:rFonts w:ascii="Times New Roman" w:hAnsi="Times New Roman" w:cs="Times New Roman"/>
          <w:sz w:val="24"/>
          <w:szCs w:val="24"/>
        </w:rPr>
        <w:t xml:space="preserve">Further examination of the examples in the treatise reveals that </w:t>
      </w:r>
      <w:r w:rsidR="00A312EB" w:rsidRPr="002B630E">
        <w:rPr>
          <w:rFonts w:ascii="Times New Roman" w:hAnsi="Times New Roman" w:cs="Times New Roman"/>
          <w:sz w:val="24"/>
          <w:szCs w:val="24"/>
        </w:rPr>
        <w:t>Tinctoris’s use</w:t>
      </w:r>
      <w:r w:rsidRPr="002B630E">
        <w:rPr>
          <w:rFonts w:ascii="Times New Roman" w:hAnsi="Times New Roman" w:cs="Times New Roman"/>
          <w:sz w:val="24"/>
          <w:szCs w:val="24"/>
        </w:rPr>
        <w:t xml:space="preserve"> of the symbol is not </w:t>
      </w:r>
      <w:r w:rsidR="006E204A" w:rsidRPr="002B630E">
        <w:rPr>
          <w:rFonts w:ascii="Times New Roman" w:hAnsi="Times New Roman" w:cs="Times New Roman"/>
          <w:sz w:val="24"/>
          <w:szCs w:val="24"/>
        </w:rPr>
        <w:t>restricted</w:t>
      </w:r>
      <w:r w:rsidRPr="002B630E">
        <w:rPr>
          <w:rFonts w:ascii="Times New Roman" w:hAnsi="Times New Roman" w:cs="Times New Roman"/>
          <w:sz w:val="24"/>
          <w:szCs w:val="24"/>
        </w:rPr>
        <w:t xml:space="preserve"> to note-against-note counterpoint examples</w:t>
      </w:r>
      <w:r w:rsidR="0036053D" w:rsidRPr="002B630E">
        <w:rPr>
          <w:rFonts w:ascii="Times New Roman" w:hAnsi="Times New Roman" w:cs="Times New Roman"/>
          <w:sz w:val="24"/>
          <w:szCs w:val="24"/>
        </w:rPr>
        <w:t xml:space="preserve">, but extends to </w:t>
      </w:r>
      <w:r w:rsidR="00A312EB" w:rsidRPr="002B630E">
        <w:rPr>
          <w:rFonts w:ascii="Times New Roman" w:hAnsi="Times New Roman" w:cs="Times New Roman"/>
          <w:sz w:val="24"/>
          <w:szCs w:val="24"/>
        </w:rPr>
        <w:t xml:space="preserve">other types of exemplary material. </w:t>
      </w:r>
    </w:p>
    <w:p w14:paraId="6F9B8B3E" w14:textId="7E6CF771" w:rsidR="00332893" w:rsidRPr="002B630E" w:rsidRDefault="00CD12FB" w:rsidP="00B95FCD">
      <w:pPr>
        <w:spacing w:line="480" w:lineRule="auto"/>
        <w:jc w:val="both"/>
        <w:rPr>
          <w:rFonts w:ascii="Times New Roman" w:hAnsi="Times New Roman" w:cs="Times New Roman"/>
          <w:sz w:val="24"/>
          <w:szCs w:val="24"/>
        </w:rPr>
      </w:pPr>
      <w:r w:rsidRPr="002B630E">
        <w:rPr>
          <w:rFonts w:ascii="Times New Roman" w:hAnsi="Times New Roman" w:cs="Times New Roman"/>
          <w:b/>
          <w:sz w:val="24"/>
          <w:szCs w:val="24"/>
        </w:rPr>
        <w:tab/>
      </w:r>
      <w:r w:rsidR="00C83CD1" w:rsidRPr="002B630E">
        <w:rPr>
          <w:rFonts w:ascii="Times New Roman" w:hAnsi="Times New Roman" w:cs="Times New Roman"/>
          <w:sz w:val="24"/>
          <w:szCs w:val="24"/>
        </w:rPr>
        <w:t>Tinctoris’s</w:t>
      </w:r>
      <w:r w:rsidR="007F156D" w:rsidRPr="002B630E">
        <w:rPr>
          <w:rFonts w:ascii="Times New Roman" w:hAnsi="Times New Roman" w:cs="Times New Roman"/>
          <w:sz w:val="24"/>
          <w:szCs w:val="24"/>
        </w:rPr>
        <w:t xml:space="preserve"> </w:t>
      </w:r>
      <w:r w:rsidR="00397EC1" w:rsidRPr="002B630E">
        <w:rPr>
          <w:rFonts w:ascii="Times New Roman" w:hAnsi="Times New Roman" w:cs="Times New Roman"/>
          <w:sz w:val="24"/>
          <w:szCs w:val="24"/>
        </w:rPr>
        <w:t>treatise on counterpoint</w:t>
      </w:r>
      <w:r w:rsidR="007F156D" w:rsidRPr="002B630E">
        <w:rPr>
          <w:rFonts w:ascii="Times New Roman" w:hAnsi="Times New Roman" w:cs="Times New Roman"/>
          <w:sz w:val="24"/>
          <w:szCs w:val="24"/>
        </w:rPr>
        <w:t xml:space="preserve"> is famous for its </w:t>
      </w:r>
      <w:r w:rsidR="00BD3BD1" w:rsidRPr="002B630E">
        <w:rPr>
          <w:rFonts w:ascii="Times New Roman" w:hAnsi="Times New Roman" w:cs="Times New Roman"/>
          <w:sz w:val="24"/>
          <w:szCs w:val="24"/>
        </w:rPr>
        <w:t>quotations</w:t>
      </w:r>
      <w:r w:rsidR="000F4942" w:rsidRPr="002B630E">
        <w:rPr>
          <w:rFonts w:ascii="Times New Roman" w:hAnsi="Times New Roman" w:cs="Times New Roman"/>
          <w:sz w:val="24"/>
          <w:szCs w:val="24"/>
        </w:rPr>
        <w:t xml:space="preserve"> from</w:t>
      </w:r>
      <w:r w:rsidR="007B42E4" w:rsidRPr="002B630E">
        <w:rPr>
          <w:rFonts w:ascii="Times New Roman" w:hAnsi="Times New Roman" w:cs="Times New Roman"/>
          <w:sz w:val="24"/>
          <w:szCs w:val="24"/>
        </w:rPr>
        <w:t>, and criticisms</w:t>
      </w:r>
      <w:r w:rsidR="000F4942" w:rsidRPr="002B630E">
        <w:rPr>
          <w:rFonts w:ascii="Times New Roman" w:hAnsi="Times New Roman" w:cs="Times New Roman"/>
          <w:sz w:val="24"/>
          <w:szCs w:val="24"/>
        </w:rPr>
        <w:t xml:space="preserve"> of</w:t>
      </w:r>
      <w:r w:rsidR="007B42E4" w:rsidRPr="002B630E">
        <w:rPr>
          <w:rFonts w:ascii="Times New Roman" w:hAnsi="Times New Roman" w:cs="Times New Roman"/>
          <w:sz w:val="24"/>
          <w:szCs w:val="24"/>
        </w:rPr>
        <w:t>,</w:t>
      </w:r>
      <w:r w:rsidR="007F156D" w:rsidRPr="002B630E">
        <w:rPr>
          <w:rFonts w:ascii="Times New Roman" w:hAnsi="Times New Roman" w:cs="Times New Roman"/>
          <w:sz w:val="24"/>
          <w:szCs w:val="24"/>
        </w:rPr>
        <w:t xml:space="preserve"> works by </w:t>
      </w:r>
      <w:r w:rsidR="007B42E4" w:rsidRPr="002B630E">
        <w:rPr>
          <w:rFonts w:ascii="Times New Roman" w:hAnsi="Times New Roman" w:cs="Times New Roman"/>
          <w:sz w:val="24"/>
          <w:szCs w:val="24"/>
        </w:rPr>
        <w:t xml:space="preserve">other composers, </w:t>
      </w:r>
      <w:r w:rsidR="00521349" w:rsidRPr="002B630E">
        <w:rPr>
          <w:rFonts w:ascii="Times New Roman" w:hAnsi="Times New Roman" w:cs="Times New Roman"/>
          <w:sz w:val="24"/>
          <w:szCs w:val="24"/>
        </w:rPr>
        <w:t xml:space="preserve">including some of the </w:t>
      </w:r>
      <w:r w:rsidR="002C274A">
        <w:rPr>
          <w:rFonts w:ascii="Times New Roman" w:hAnsi="Times New Roman" w:cs="Times New Roman"/>
          <w:sz w:val="24"/>
          <w:szCs w:val="24"/>
        </w:rPr>
        <w:t xml:space="preserve">most </w:t>
      </w:r>
      <w:r w:rsidR="00521349" w:rsidRPr="002B630E">
        <w:rPr>
          <w:rFonts w:ascii="Times New Roman" w:hAnsi="Times New Roman" w:cs="Times New Roman"/>
          <w:sz w:val="24"/>
          <w:szCs w:val="24"/>
        </w:rPr>
        <w:t xml:space="preserve">revered compositional masters of the day, such as </w:t>
      </w:r>
      <w:r w:rsidR="00B85211" w:rsidRPr="002B630E">
        <w:rPr>
          <w:rFonts w:ascii="Times New Roman" w:hAnsi="Times New Roman" w:cs="Times New Roman"/>
          <w:sz w:val="24"/>
          <w:szCs w:val="24"/>
        </w:rPr>
        <w:t>Okeghem and Busno</w:t>
      </w:r>
      <w:r w:rsidR="00560D33" w:rsidRPr="002B630E">
        <w:rPr>
          <w:rFonts w:ascii="Times New Roman" w:hAnsi="Times New Roman" w:cs="Times New Roman"/>
          <w:sz w:val="24"/>
          <w:szCs w:val="24"/>
        </w:rPr>
        <w:t>y</w:t>
      </w:r>
      <w:r w:rsidR="00B85211" w:rsidRPr="002B630E">
        <w:rPr>
          <w:rFonts w:ascii="Times New Roman" w:hAnsi="Times New Roman" w:cs="Times New Roman"/>
          <w:sz w:val="24"/>
          <w:szCs w:val="24"/>
        </w:rPr>
        <w:t>s</w:t>
      </w:r>
      <w:r w:rsidR="007B42E4" w:rsidRPr="002B630E">
        <w:rPr>
          <w:rFonts w:ascii="Times New Roman" w:hAnsi="Times New Roman" w:cs="Times New Roman"/>
          <w:sz w:val="24"/>
          <w:szCs w:val="24"/>
        </w:rPr>
        <w:t xml:space="preserve">. Examples of this type often provide a demonstration of a ‘bad’ contrapuntal </w:t>
      </w:r>
      <w:r w:rsidR="003224AC" w:rsidRPr="002B630E">
        <w:rPr>
          <w:rFonts w:ascii="Times New Roman" w:hAnsi="Times New Roman" w:cs="Times New Roman"/>
          <w:sz w:val="24"/>
          <w:szCs w:val="24"/>
        </w:rPr>
        <w:t xml:space="preserve">or dissonance </w:t>
      </w:r>
      <w:r w:rsidR="007B42E4" w:rsidRPr="002B630E">
        <w:rPr>
          <w:rFonts w:ascii="Times New Roman" w:hAnsi="Times New Roman" w:cs="Times New Roman"/>
          <w:sz w:val="24"/>
          <w:szCs w:val="24"/>
        </w:rPr>
        <w:t xml:space="preserve">practice and are usually followed by </w:t>
      </w:r>
      <w:r w:rsidR="00BD3BD1" w:rsidRPr="002B630E">
        <w:rPr>
          <w:rFonts w:ascii="Times New Roman" w:hAnsi="Times New Roman" w:cs="Times New Roman"/>
          <w:sz w:val="24"/>
          <w:szCs w:val="24"/>
        </w:rPr>
        <w:t xml:space="preserve">one of Tinctoris’s own pedagogical miniatures </w:t>
      </w:r>
      <w:r w:rsidR="007B42E4" w:rsidRPr="002B630E">
        <w:rPr>
          <w:rFonts w:ascii="Times New Roman" w:hAnsi="Times New Roman" w:cs="Times New Roman"/>
          <w:sz w:val="24"/>
          <w:szCs w:val="24"/>
        </w:rPr>
        <w:t>to demonstrate the ‘correct’ contrapuntal practice.</w:t>
      </w:r>
      <w:r w:rsidR="007B42E4" w:rsidRPr="002B630E">
        <w:rPr>
          <w:rStyle w:val="FootnoteReference"/>
          <w:rFonts w:ascii="Times New Roman" w:hAnsi="Times New Roman" w:cs="Times New Roman"/>
          <w:sz w:val="24"/>
          <w:szCs w:val="24"/>
        </w:rPr>
        <w:footnoteReference w:id="17"/>
      </w:r>
      <w:r w:rsidR="0027644F" w:rsidRPr="002B630E">
        <w:rPr>
          <w:rFonts w:ascii="Times New Roman" w:hAnsi="Times New Roman" w:cs="Times New Roman"/>
          <w:sz w:val="24"/>
          <w:szCs w:val="24"/>
        </w:rPr>
        <w:t xml:space="preserve"> </w:t>
      </w:r>
      <w:r w:rsidR="007F2BDA" w:rsidRPr="002B630E">
        <w:rPr>
          <w:rFonts w:ascii="Times New Roman" w:hAnsi="Times New Roman" w:cs="Times New Roman"/>
          <w:sz w:val="24"/>
          <w:szCs w:val="24"/>
        </w:rPr>
        <w:t xml:space="preserve">In the cases where </w:t>
      </w:r>
      <w:r w:rsidRPr="002B630E">
        <w:rPr>
          <w:rFonts w:ascii="Times New Roman" w:hAnsi="Times New Roman" w:cs="Times New Roman"/>
          <w:sz w:val="24"/>
          <w:szCs w:val="24"/>
        </w:rPr>
        <w:t xml:space="preserve">quotations </w:t>
      </w:r>
      <w:r w:rsidR="007F2BDA" w:rsidRPr="002B630E">
        <w:rPr>
          <w:rFonts w:ascii="Times New Roman" w:hAnsi="Times New Roman" w:cs="Times New Roman"/>
          <w:sz w:val="24"/>
          <w:szCs w:val="24"/>
        </w:rPr>
        <w:t xml:space="preserve">of pre-existent music refer to </w:t>
      </w:r>
      <w:r w:rsidRPr="002B630E">
        <w:rPr>
          <w:rFonts w:ascii="Times New Roman" w:hAnsi="Times New Roman" w:cs="Times New Roman"/>
          <w:sz w:val="24"/>
          <w:szCs w:val="24"/>
        </w:rPr>
        <w:t xml:space="preserve">a dissonance practice that Tinctoris judges to be </w:t>
      </w:r>
      <w:r w:rsidR="007F2BDA" w:rsidRPr="002B630E">
        <w:rPr>
          <w:rFonts w:ascii="Times New Roman" w:hAnsi="Times New Roman" w:cs="Times New Roman"/>
          <w:sz w:val="24"/>
          <w:szCs w:val="24"/>
        </w:rPr>
        <w:t xml:space="preserve">erroneous, symbols resembling </w:t>
      </w:r>
      <w:r w:rsidR="007F2BDA" w:rsidRPr="002B630E">
        <w:rPr>
          <w:rFonts w:ascii="Times New Roman" w:hAnsi="Times New Roman" w:cs="Times New Roman"/>
          <w:i/>
          <w:sz w:val="24"/>
          <w:szCs w:val="24"/>
        </w:rPr>
        <w:t>signa congruentiae</w:t>
      </w:r>
      <w:r w:rsidR="007F2BDA" w:rsidRPr="002B630E">
        <w:rPr>
          <w:rFonts w:ascii="Times New Roman" w:hAnsi="Times New Roman" w:cs="Times New Roman"/>
          <w:sz w:val="24"/>
          <w:szCs w:val="24"/>
        </w:rPr>
        <w:t xml:space="preserve"> </w:t>
      </w:r>
      <w:r w:rsidR="00F014D1" w:rsidRPr="002B630E">
        <w:rPr>
          <w:rFonts w:ascii="Times New Roman" w:hAnsi="Times New Roman" w:cs="Times New Roman"/>
          <w:sz w:val="24"/>
          <w:szCs w:val="24"/>
        </w:rPr>
        <w:t xml:space="preserve">do not function as traditional </w:t>
      </w:r>
      <w:r w:rsidR="00F014D1" w:rsidRPr="002B630E">
        <w:rPr>
          <w:rFonts w:ascii="Times New Roman" w:hAnsi="Times New Roman" w:cs="Times New Roman"/>
          <w:i/>
          <w:sz w:val="24"/>
          <w:szCs w:val="24"/>
        </w:rPr>
        <w:t>signa congruentiae</w:t>
      </w:r>
      <w:r w:rsidR="00F014D1" w:rsidRPr="002B630E">
        <w:rPr>
          <w:rFonts w:ascii="Times New Roman" w:hAnsi="Times New Roman" w:cs="Times New Roman"/>
          <w:sz w:val="24"/>
          <w:szCs w:val="24"/>
        </w:rPr>
        <w:t xml:space="preserve">. Instead, each </w:t>
      </w:r>
      <w:r w:rsidR="00F014D1" w:rsidRPr="002B630E">
        <w:rPr>
          <w:rFonts w:ascii="Times New Roman" w:hAnsi="Times New Roman" w:cs="Times New Roman"/>
          <w:i/>
          <w:sz w:val="24"/>
          <w:szCs w:val="24"/>
        </w:rPr>
        <w:t>signum</w:t>
      </w:r>
      <w:r w:rsidR="00F014D1" w:rsidRPr="002B630E">
        <w:rPr>
          <w:rFonts w:ascii="Times New Roman" w:hAnsi="Times New Roman" w:cs="Times New Roman"/>
          <w:sz w:val="24"/>
          <w:szCs w:val="24"/>
        </w:rPr>
        <w:t xml:space="preserve">, working as something close to an asterisk, </w:t>
      </w:r>
      <w:r w:rsidR="00BD3BD1" w:rsidRPr="002B630E">
        <w:rPr>
          <w:rFonts w:ascii="Times New Roman" w:hAnsi="Times New Roman" w:cs="Times New Roman"/>
          <w:sz w:val="24"/>
          <w:szCs w:val="24"/>
        </w:rPr>
        <w:t>signifies</w:t>
      </w:r>
      <w:r w:rsidR="00F014D1" w:rsidRPr="002B630E">
        <w:rPr>
          <w:rFonts w:ascii="Times New Roman" w:hAnsi="Times New Roman" w:cs="Times New Roman"/>
          <w:sz w:val="24"/>
          <w:szCs w:val="24"/>
        </w:rPr>
        <w:t xml:space="preserve"> the point of dissonance </w:t>
      </w:r>
      <w:r w:rsidR="00BD3BD1" w:rsidRPr="002B630E">
        <w:rPr>
          <w:rFonts w:ascii="Times New Roman" w:hAnsi="Times New Roman" w:cs="Times New Roman"/>
          <w:sz w:val="24"/>
          <w:szCs w:val="24"/>
        </w:rPr>
        <w:t>discussed in the main text.</w:t>
      </w:r>
      <w:r w:rsidR="009A63EE" w:rsidRPr="002B630E">
        <w:rPr>
          <w:rStyle w:val="FootnoteReference"/>
          <w:rFonts w:ascii="Times New Roman" w:hAnsi="Times New Roman" w:cs="Times New Roman"/>
          <w:sz w:val="24"/>
          <w:szCs w:val="24"/>
        </w:rPr>
        <w:footnoteReference w:id="18"/>
      </w:r>
      <w:r w:rsidR="00BD3BD1" w:rsidRPr="002B630E">
        <w:rPr>
          <w:rFonts w:ascii="Times New Roman" w:hAnsi="Times New Roman" w:cs="Times New Roman"/>
          <w:sz w:val="24"/>
          <w:szCs w:val="24"/>
        </w:rPr>
        <w:t xml:space="preserve"> </w:t>
      </w:r>
    </w:p>
    <w:p w14:paraId="3D39CA2D" w14:textId="79557ADA" w:rsidR="003D4940" w:rsidRPr="002B630E" w:rsidRDefault="00F014D1"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lastRenderedPageBreak/>
        <w:tab/>
      </w:r>
      <w:r w:rsidR="00CD12FB" w:rsidRPr="002B630E">
        <w:rPr>
          <w:rFonts w:ascii="Times New Roman" w:hAnsi="Times New Roman" w:cs="Times New Roman"/>
          <w:sz w:val="24"/>
          <w:szCs w:val="24"/>
        </w:rPr>
        <w:t xml:space="preserve">A particularly good instance </w:t>
      </w:r>
      <w:r w:rsidR="00962304" w:rsidRPr="002B630E">
        <w:rPr>
          <w:rFonts w:ascii="Times New Roman" w:hAnsi="Times New Roman" w:cs="Times New Roman"/>
          <w:sz w:val="24"/>
          <w:szCs w:val="24"/>
        </w:rPr>
        <w:t>of this type is found in II</w:t>
      </w:r>
      <w:r w:rsidR="00CD12FB" w:rsidRPr="002B630E">
        <w:rPr>
          <w:rFonts w:ascii="Times New Roman" w:hAnsi="Times New Roman" w:cs="Times New Roman"/>
          <w:sz w:val="24"/>
          <w:szCs w:val="24"/>
        </w:rPr>
        <w:t>.xxix</w:t>
      </w:r>
      <w:r w:rsidRPr="002B630E">
        <w:rPr>
          <w:rFonts w:ascii="Times New Roman" w:hAnsi="Times New Roman" w:cs="Times New Roman"/>
          <w:sz w:val="24"/>
          <w:szCs w:val="24"/>
        </w:rPr>
        <w:t xml:space="preserve">, where Tinctoris discusses the </w:t>
      </w:r>
      <w:r w:rsidR="001A4C07">
        <w:rPr>
          <w:rFonts w:ascii="Times New Roman" w:hAnsi="Times New Roman" w:cs="Times New Roman"/>
          <w:sz w:val="24"/>
          <w:szCs w:val="24"/>
        </w:rPr>
        <w:t>acceptable</w:t>
      </w:r>
      <w:r w:rsidR="001A4C07" w:rsidRPr="002B630E">
        <w:rPr>
          <w:rFonts w:ascii="Times New Roman" w:hAnsi="Times New Roman" w:cs="Times New Roman"/>
          <w:sz w:val="24"/>
          <w:szCs w:val="24"/>
        </w:rPr>
        <w:t xml:space="preserve"> </w:t>
      </w:r>
      <w:r w:rsidRPr="002B630E">
        <w:rPr>
          <w:rFonts w:ascii="Times New Roman" w:hAnsi="Times New Roman" w:cs="Times New Roman"/>
          <w:sz w:val="24"/>
          <w:szCs w:val="24"/>
        </w:rPr>
        <w:t xml:space="preserve">duration of dissonances within a polyphonic mensural context. </w:t>
      </w:r>
      <w:r w:rsidR="00D71AF2" w:rsidRPr="002B630E">
        <w:rPr>
          <w:rFonts w:ascii="Times New Roman" w:hAnsi="Times New Roman" w:cs="Times New Roman"/>
          <w:sz w:val="24"/>
          <w:szCs w:val="24"/>
        </w:rPr>
        <w:t xml:space="preserve">He </w:t>
      </w:r>
      <w:r w:rsidR="007277E0" w:rsidRPr="002B630E">
        <w:rPr>
          <w:rFonts w:ascii="Times New Roman" w:hAnsi="Times New Roman" w:cs="Times New Roman"/>
          <w:sz w:val="24"/>
          <w:szCs w:val="24"/>
        </w:rPr>
        <w:t xml:space="preserve">states that a dissonance may never last for more than half of the length of the note that defines the </w:t>
      </w:r>
      <w:r w:rsidR="007277E0" w:rsidRPr="002B630E">
        <w:rPr>
          <w:rFonts w:ascii="Times New Roman" w:hAnsi="Times New Roman" w:cs="Times New Roman"/>
          <w:i/>
          <w:sz w:val="24"/>
          <w:szCs w:val="24"/>
        </w:rPr>
        <w:t>mensura</w:t>
      </w:r>
      <w:r w:rsidR="007277E0" w:rsidRPr="002B630E">
        <w:rPr>
          <w:rFonts w:ascii="Times New Roman" w:hAnsi="Times New Roman" w:cs="Times New Roman"/>
          <w:sz w:val="24"/>
          <w:szCs w:val="24"/>
        </w:rPr>
        <w:t xml:space="preserve"> – the </w:t>
      </w:r>
      <w:r w:rsidR="007277E0" w:rsidRPr="002B630E">
        <w:rPr>
          <w:rFonts w:ascii="Times New Roman" w:hAnsi="Times New Roman" w:cs="Times New Roman"/>
          <w:i/>
          <w:sz w:val="24"/>
          <w:szCs w:val="24"/>
        </w:rPr>
        <w:t>mensura</w:t>
      </w:r>
      <w:r w:rsidR="007277E0" w:rsidRPr="002B630E">
        <w:rPr>
          <w:rFonts w:ascii="Times New Roman" w:hAnsi="Times New Roman" w:cs="Times New Roman"/>
          <w:sz w:val="24"/>
          <w:szCs w:val="24"/>
        </w:rPr>
        <w:t xml:space="preserve"> is the measurement of the relations of all the notes in the </w:t>
      </w:r>
      <w:r w:rsidR="007277E0" w:rsidRPr="002B630E">
        <w:rPr>
          <w:rFonts w:ascii="Times New Roman" w:hAnsi="Times New Roman" w:cs="Times New Roman"/>
          <w:i/>
          <w:sz w:val="24"/>
          <w:szCs w:val="24"/>
        </w:rPr>
        <w:t>quantitas</w:t>
      </w:r>
      <w:r w:rsidR="007277E0" w:rsidRPr="002B630E">
        <w:rPr>
          <w:rFonts w:ascii="Times New Roman" w:hAnsi="Times New Roman" w:cs="Times New Roman"/>
          <w:sz w:val="24"/>
          <w:szCs w:val="24"/>
        </w:rPr>
        <w:t xml:space="preserve"> or mensuration.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8"/>
        <w:gridCol w:w="4508"/>
      </w:tblGrid>
      <w:tr w:rsidR="003D4940" w:rsidRPr="002B630E" w14:paraId="2C45C757" w14:textId="77777777" w:rsidTr="002C274A">
        <w:tc>
          <w:tcPr>
            <w:tcW w:w="4621" w:type="dxa"/>
          </w:tcPr>
          <w:p w14:paraId="6D0DF58A" w14:textId="77777777" w:rsidR="003D4940" w:rsidRPr="002B630E" w:rsidRDefault="003D4940"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lang w:val="en-US"/>
              </w:rPr>
              <w:t xml:space="preserve">Multi tamen adeo exacte discordantias evitant ut numquam supra dimidiam partem integram, immo supra terciam aut quartam aut minorem tantum cuiusvis note secundum quam mensura dirigitur discordantiam assumant. Et ut mea fert opinio, tales potius imitandi sunt quam Petrus de Domarto et Antonius Busnois, quorum, ille in prima parte </w:t>
            </w:r>
            <w:r w:rsidRPr="002B630E">
              <w:rPr>
                <w:rFonts w:ascii="Times New Roman" w:hAnsi="Times New Roman" w:cs="Times New Roman"/>
                <w:i/>
                <w:sz w:val="24"/>
                <w:szCs w:val="24"/>
                <w:lang w:val="en-US"/>
              </w:rPr>
              <w:t xml:space="preserve">Et in terra </w:t>
            </w:r>
            <w:r w:rsidRPr="002B630E">
              <w:rPr>
                <w:rFonts w:ascii="Times New Roman" w:hAnsi="Times New Roman" w:cs="Times New Roman"/>
                <w:sz w:val="24"/>
                <w:szCs w:val="24"/>
                <w:lang w:val="en-US"/>
              </w:rPr>
              <w:t xml:space="preserve">misse </w:t>
            </w:r>
            <w:r w:rsidRPr="002B630E">
              <w:rPr>
                <w:rFonts w:ascii="Times New Roman" w:hAnsi="Times New Roman" w:cs="Times New Roman"/>
                <w:i/>
                <w:sz w:val="24"/>
                <w:szCs w:val="24"/>
                <w:lang w:val="en-US"/>
              </w:rPr>
              <w:t>Spiritus almus</w:t>
            </w:r>
            <w:r w:rsidRPr="002B630E">
              <w:rPr>
                <w:rFonts w:ascii="Times New Roman" w:hAnsi="Times New Roman" w:cs="Times New Roman"/>
                <w:sz w:val="24"/>
                <w:szCs w:val="24"/>
                <w:lang w:val="en-US"/>
              </w:rPr>
              <w:t xml:space="preserve">, iste vero in cantilena </w:t>
            </w:r>
            <w:r w:rsidRPr="002B630E">
              <w:rPr>
                <w:rFonts w:ascii="Times New Roman" w:hAnsi="Times New Roman" w:cs="Times New Roman"/>
                <w:i/>
                <w:sz w:val="24"/>
                <w:szCs w:val="24"/>
                <w:lang w:val="en-US"/>
              </w:rPr>
              <w:t>Maintes femmes</w:t>
            </w:r>
            <w:r w:rsidRPr="002B630E">
              <w:rPr>
                <w:rFonts w:ascii="Times New Roman" w:hAnsi="Times New Roman" w:cs="Times New Roman"/>
                <w:sz w:val="24"/>
                <w:szCs w:val="24"/>
                <w:lang w:val="en-US"/>
              </w:rPr>
              <w:t>, non solum dimidiam partem note mensuram dirigentis, hoc est semibrevis minoris prolationis in tempore perfecto, immo totam ipsam semibrevem discordem effecerunt, ut hic patet:</w:t>
            </w:r>
            <w:r w:rsidR="004A5051" w:rsidRPr="002B630E">
              <w:rPr>
                <w:rStyle w:val="FootnoteReference"/>
                <w:rFonts w:ascii="Times New Roman" w:hAnsi="Times New Roman" w:cs="Times New Roman"/>
                <w:sz w:val="24"/>
                <w:szCs w:val="24"/>
                <w:lang w:val="en-US"/>
              </w:rPr>
              <w:footnoteReference w:id="19"/>
            </w:r>
          </w:p>
        </w:tc>
        <w:tc>
          <w:tcPr>
            <w:tcW w:w="4621" w:type="dxa"/>
          </w:tcPr>
          <w:p w14:paraId="4B919D21" w14:textId="62947E51" w:rsidR="003D4940" w:rsidRPr="002B630E" w:rsidRDefault="008A4014"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 xml:space="preserve">Many, however, avoid discords to such a great extent that they never use a discord of more than an integral half part of that note by which the measure is defined or even above a third or fourth or smaller [part]. And, as my opinion stands, these men should be imitated more often than Petrus de Domarto or Anthonius Busnois, of whom the first, in the first part of the “Et in terra” from his </w:t>
            </w:r>
            <w:r w:rsidRPr="002B630E">
              <w:rPr>
                <w:rFonts w:ascii="Times New Roman" w:hAnsi="Times New Roman" w:cs="Times New Roman"/>
                <w:i/>
                <w:sz w:val="24"/>
                <w:szCs w:val="24"/>
              </w:rPr>
              <w:t>Missa Spiritus Almus</w:t>
            </w:r>
            <w:r w:rsidRPr="002B630E">
              <w:rPr>
                <w:rFonts w:ascii="Times New Roman" w:hAnsi="Times New Roman" w:cs="Times New Roman"/>
                <w:sz w:val="24"/>
                <w:szCs w:val="24"/>
              </w:rPr>
              <w:t xml:space="preserve">, and the second, in his chanson, </w:t>
            </w:r>
            <w:r w:rsidRPr="002B630E">
              <w:rPr>
                <w:rFonts w:ascii="Times New Roman" w:hAnsi="Times New Roman" w:cs="Times New Roman"/>
                <w:i/>
                <w:sz w:val="24"/>
                <w:szCs w:val="24"/>
              </w:rPr>
              <w:t>Maintes femmes</w:t>
            </w:r>
            <w:r w:rsidRPr="002B630E">
              <w:rPr>
                <w:rFonts w:ascii="Times New Roman" w:hAnsi="Times New Roman" w:cs="Times New Roman"/>
                <w:sz w:val="24"/>
                <w:szCs w:val="24"/>
              </w:rPr>
              <w:t>, not only use a discord as long as an [integral] half part of the note defining the measure, that is, a semibreve of minor prolation in perfect tempus, but even [as long as] the whole of that semibreve, as is seen here:</w:t>
            </w:r>
          </w:p>
        </w:tc>
      </w:tr>
    </w:tbl>
    <w:p w14:paraId="10DB8F5A" w14:textId="77777777" w:rsidR="00B30622" w:rsidRPr="002B630E" w:rsidRDefault="00B30622" w:rsidP="00B95FCD">
      <w:pPr>
        <w:spacing w:line="480" w:lineRule="auto"/>
        <w:ind w:firstLine="720"/>
        <w:jc w:val="both"/>
        <w:rPr>
          <w:rFonts w:ascii="Times New Roman" w:hAnsi="Times New Roman" w:cs="Times New Roman"/>
          <w:sz w:val="24"/>
          <w:szCs w:val="24"/>
        </w:rPr>
      </w:pPr>
    </w:p>
    <w:p w14:paraId="0B72B703" w14:textId="4401EA02" w:rsidR="00F014D1" w:rsidRPr="002B630E" w:rsidRDefault="00A123F2"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 xml:space="preserve">In the main text, Tinctoris names </w:t>
      </w:r>
      <w:r w:rsidR="008E15FD" w:rsidRPr="002B630E">
        <w:rPr>
          <w:rFonts w:ascii="Times New Roman" w:hAnsi="Times New Roman" w:cs="Times New Roman"/>
          <w:sz w:val="24"/>
          <w:szCs w:val="24"/>
        </w:rPr>
        <w:t xml:space="preserve">and </w:t>
      </w:r>
      <w:r w:rsidR="008F71B5" w:rsidRPr="002B630E">
        <w:rPr>
          <w:rFonts w:ascii="Times New Roman" w:hAnsi="Times New Roman" w:cs="Times New Roman"/>
          <w:sz w:val="24"/>
          <w:szCs w:val="24"/>
        </w:rPr>
        <w:t>criticises harshly</w:t>
      </w:r>
      <w:r w:rsidRPr="002B630E">
        <w:rPr>
          <w:rFonts w:ascii="Times New Roman" w:hAnsi="Times New Roman" w:cs="Times New Roman"/>
          <w:sz w:val="24"/>
          <w:szCs w:val="24"/>
        </w:rPr>
        <w:t xml:space="preserve"> </w:t>
      </w:r>
      <w:r w:rsidR="00D64495" w:rsidRPr="002B630E">
        <w:rPr>
          <w:rFonts w:ascii="Times New Roman" w:hAnsi="Times New Roman" w:cs="Times New Roman"/>
          <w:sz w:val="24"/>
          <w:szCs w:val="24"/>
        </w:rPr>
        <w:t xml:space="preserve">two of his contemporaries, </w:t>
      </w:r>
      <w:r w:rsidR="003B29C0" w:rsidRPr="002B630E">
        <w:rPr>
          <w:rFonts w:ascii="Times New Roman" w:hAnsi="Times New Roman" w:cs="Times New Roman"/>
          <w:sz w:val="24"/>
          <w:szCs w:val="24"/>
        </w:rPr>
        <w:t xml:space="preserve">Petrus </w:t>
      </w:r>
      <w:r w:rsidR="00CD12FB" w:rsidRPr="002B630E">
        <w:rPr>
          <w:rFonts w:ascii="Times New Roman" w:hAnsi="Times New Roman" w:cs="Times New Roman"/>
          <w:sz w:val="24"/>
          <w:szCs w:val="24"/>
        </w:rPr>
        <w:t>d</w:t>
      </w:r>
      <w:r w:rsidR="003B29C0" w:rsidRPr="002B630E">
        <w:rPr>
          <w:rFonts w:ascii="Times New Roman" w:hAnsi="Times New Roman" w:cs="Times New Roman"/>
          <w:sz w:val="24"/>
          <w:szCs w:val="24"/>
        </w:rPr>
        <w:t>e Domarto</w:t>
      </w:r>
      <w:r w:rsidR="00D64495" w:rsidRPr="002B630E">
        <w:rPr>
          <w:rFonts w:ascii="Times New Roman" w:hAnsi="Times New Roman" w:cs="Times New Roman"/>
          <w:sz w:val="24"/>
          <w:szCs w:val="24"/>
        </w:rPr>
        <w:t xml:space="preserve"> and </w:t>
      </w:r>
      <w:r w:rsidR="003B29C0" w:rsidRPr="002B630E">
        <w:rPr>
          <w:rFonts w:ascii="Times New Roman" w:hAnsi="Times New Roman" w:cs="Times New Roman"/>
          <w:sz w:val="24"/>
          <w:szCs w:val="24"/>
        </w:rPr>
        <w:t xml:space="preserve">Antoine </w:t>
      </w:r>
      <w:r w:rsidR="00560D33" w:rsidRPr="002B630E">
        <w:rPr>
          <w:rFonts w:ascii="Times New Roman" w:hAnsi="Times New Roman" w:cs="Times New Roman"/>
          <w:sz w:val="24"/>
          <w:szCs w:val="24"/>
        </w:rPr>
        <w:t>Busnoys</w:t>
      </w:r>
      <w:r w:rsidR="00543DB7" w:rsidRPr="002B630E">
        <w:rPr>
          <w:rFonts w:ascii="Times New Roman" w:hAnsi="Times New Roman" w:cs="Times New Roman"/>
          <w:sz w:val="24"/>
          <w:szCs w:val="24"/>
        </w:rPr>
        <w:t>,</w:t>
      </w:r>
      <w:r w:rsidR="00D64495" w:rsidRPr="002B630E">
        <w:rPr>
          <w:rFonts w:ascii="Times New Roman" w:hAnsi="Times New Roman" w:cs="Times New Roman"/>
          <w:sz w:val="24"/>
          <w:szCs w:val="24"/>
        </w:rPr>
        <w:t xml:space="preserve"> </w:t>
      </w:r>
      <w:r w:rsidR="00D31129" w:rsidRPr="002B630E">
        <w:rPr>
          <w:rFonts w:ascii="Times New Roman" w:hAnsi="Times New Roman" w:cs="Times New Roman"/>
          <w:sz w:val="24"/>
          <w:szCs w:val="24"/>
        </w:rPr>
        <w:t>for the</w:t>
      </w:r>
      <w:r w:rsidR="008E15FD" w:rsidRPr="002B630E">
        <w:rPr>
          <w:rFonts w:ascii="Times New Roman" w:hAnsi="Times New Roman" w:cs="Times New Roman"/>
          <w:sz w:val="24"/>
          <w:szCs w:val="24"/>
        </w:rPr>
        <w:t>ir</w:t>
      </w:r>
      <w:r w:rsidR="00D31129" w:rsidRPr="002B630E">
        <w:rPr>
          <w:rFonts w:ascii="Times New Roman" w:hAnsi="Times New Roman" w:cs="Times New Roman"/>
          <w:sz w:val="24"/>
          <w:szCs w:val="24"/>
        </w:rPr>
        <w:t xml:space="preserve"> use of dissonance</w:t>
      </w:r>
      <w:r w:rsidR="00366484" w:rsidRPr="002B630E">
        <w:rPr>
          <w:rFonts w:ascii="Times New Roman" w:hAnsi="Times New Roman" w:cs="Times New Roman"/>
          <w:sz w:val="24"/>
          <w:szCs w:val="24"/>
        </w:rPr>
        <w:t>s</w:t>
      </w:r>
      <w:r w:rsidR="00D31129" w:rsidRPr="002B630E">
        <w:rPr>
          <w:rFonts w:ascii="Times New Roman" w:hAnsi="Times New Roman" w:cs="Times New Roman"/>
          <w:sz w:val="24"/>
          <w:szCs w:val="24"/>
        </w:rPr>
        <w:t xml:space="preserve"> </w:t>
      </w:r>
      <w:r w:rsidR="007277E0" w:rsidRPr="002B630E">
        <w:rPr>
          <w:rFonts w:ascii="Times New Roman" w:hAnsi="Times New Roman" w:cs="Times New Roman"/>
          <w:sz w:val="24"/>
          <w:szCs w:val="24"/>
        </w:rPr>
        <w:t xml:space="preserve">that exceed the maximum duration permitted in relation to the </w:t>
      </w:r>
      <w:r w:rsidR="007277E0" w:rsidRPr="002B630E">
        <w:rPr>
          <w:rFonts w:ascii="Times New Roman" w:hAnsi="Times New Roman" w:cs="Times New Roman"/>
          <w:i/>
          <w:sz w:val="24"/>
          <w:szCs w:val="24"/>
        </w:rPr>
        <w:t>mensura.</w:t>
      </w:r>
      <w:r w:rsidR="00FD1B29" w:rsidRPr="002B630E">
        <w:rPr>
          <w:rStyle w:val="FootnoteReference"/>
          <w:rFonts w:ascii="Times New Roman" w:hAnsi="Times New Roman" w:cs="Times New Roman"/>
          <w:sz w:val="24"/>
          <w:szCs w:val="24"/>
        </w:rPr>
        <w:footnoteReference w:id="20"/>
      </w:r>
      <w:r w:rsidR="00D31129" w:rsidRPr="002B630E">
        <w:rPr>
          <w:rFonts w:ascii="Times New Roman" w:hAnsi="Times New Roman" w:cs="Times New Roman"/>
          <w:sz w:val="24"/>
          <w:szCs w:val="24"/>
        </w:rPr>
        <w:t xml:space="preserve"> </w:t>
      </w:r>
      <w:r w:rsidR="00FD1B29" w:rsidRPr="002B630E">
        <w:rPr>
          <w:rFonts w:ascii="Times New Roman" w:hAnsi="Times New Roman" w:cs="Times New Roman"/>
          <w:sz w:val="24"/>
          <w:szCs w:val="24"/>
        </w:rPr>
        <w:t xml:space="preserve">The </w:t>
      </w:r>
      <w:r w:rsidR="00AD3C36" w:rsidRPr="002B630E">
        <w:rPr>
          <w:rFonts w:ascii="Times New Roman" w:hAnsi="Times New Roman" w:cs="Times New Roman"/>
          <w:sz w:val="24"/>
          <w:szCs w:val="24"/>
        </w:rPr>
        <w:t>citations are taken from</w:t>
      </w:r>
      <w:r w:rsidR="00FD1B29" w:rsidRPr="002B630E">
        <w:rPr>
          <w:rFonts w:ascii="Times New Roman" w:hAnsi="Times New Roman" w:cs="Times New Roman"/>
          <w:sz w:val="24"/>
          <w:szCs w:val="24"/>
        </w:rPr>
        <w:t xml:space="preserve"> sections </w:t>
      </w:r>
      <w:r w:rsidR="00AD3C36" w:rsidRPr="002B630E">
        <w:rPr>
          <w:rFonts w:ascii="Times New Roman" w:hAnsi="Times New Roman" w:cs="Times New Roman"/>
          <w:sz w:val="24"/>
          <w:szCs w:val="24"/>
        </w:rPr>
        <w:t>of</w:t>
      </w:r>
      <w:r w:rsidR="00DC344E" w:rsidRPr="002B630E">
        <w:rPr>
          <w:rFonts w:ascii="Times New Roman" w:hAnsi="Times New Roman" w:cs="Times New Roman"/>
          <w:sz w:val="24"/>
          <w:szCs w:val="24"/>
        </w:rPr>
        <w:t xml:space="preserve"> the ‘Et in terra’ of </w:t>
      </w:r>
      <w:r w:rsidR="00A13F3A" w:rsidRPr="002B630E">
        <w:rPr>
          <w:rFonts w:ascii="Times New Roman" w:hAnsi="Times New Roman" w:cs="Times New Roman"/>
          <w:sz w:val="24"/>
          <w:szCs w:val="24"/>
        </w:rPr>
        <w:t>D</w:t>
      </w:r>
      <w:r w:rsidR="00FD1B29" w:rsidRPr="002B630E">
        <w:rPr>
          <w:rFonts w:ascii="Times New Roman" w:hAnsi="Times New Roman" w:cs="Times New Roman"/>
          <w:sz w:val="24"/>
          <w:szCs w:val="24"/>
        </w:rPr>
        <w:t>e Domarto’s</w:t>
      </w:r>
      <w:r w:rsidR="00F014D1" w:rsidRPr="002B630E">
        <w:rPr>
          <w:rFonts w:ascii="Times New Roman" w:hAnsi="Times New Roman" w:cs="Times New Roman"/>
          <w:sz w:val="24"/>
          <w:szCs w:val="24"/>
        </w:rPr>
        <w:t xml:space="preserve"> </w:t>
      </w:r>
      <w:r w:rsidR="00FD1B29" w:rsidRPr="002B630E">
        <w:rPr>
          <w:rFonts w:ascii="Times New Roman" w:hAnsi="Times New Roman" w:cs="Times New Roman"/>
          <w:i/>
          <w:sz w:val="24"/>
          <w:szCs w:val="24"/>
        </w:rPr>
        <w:t>Missa Spiritus almus</w:t>
      </w:r>
      <w:r w:rsidR="00FD1B29" w:rsidRPr="002B630E">
        <w:rPr>
          <w:rFonts w:ascii="Times New Roman" w:hAnsi="Times New Roman" w:cs="Times New Roman"/>
          <w:sz w:val="24"/>
          <w:szCs w:val="24"/>
        </w:rPr>
        <w:t xml:space="preserve">, a work that Tinctoris </w:t>
      </w:r>
      <w:r w:rsidR="000845A3">
        <w:rPr>
          <w:rFonts w:ascii="Times New Roman" w:hAnsi="Times New Roman" w:cs="Times New Roman"/>
          <w:sz w:val="24"/>
          <w:szCs w:val="24"/>
        </w:rPr>
        <w:t xml:space="preserve">appears to have taken great issue </w:t>
      </w:r>
      <w:r w:rsidR="00FD1B29" w:rsidRPr="002B630E">
        <w:rPr>
          <w:rFonts w:ascii="Times New Roman" w:hAnsi="Times New Roman" w:cs="Times New Roman"/>
          <w:sz w:val="24"/>
          <w:szCs w:val="24"/>
        </w:rPr>
        <w:t xml:space="preserve">with on a number of theoretical levels if the quantity of citations is taken to be indicative of </w:t>
      </w:r>
      <w:r w:rsidR="00364574">
        <w:rPr>
          <w:rFonts w:ascii="Times New Roman" w:hAnsi="Times New Roman" w:cs="Times New Roman"/>
          <w:sz w:val="24"/>
          <w:szCs w:val="24"/>
        </w:rPr>
        <w:t>his views on its quality</w:t>
      </w:r>
      <w:r w:rsidR="00FD1B29" w:rsidRPr="002B630E">
        <w:rPr>
          <w:rFonts w:ascii="Times New Roman" w:hAnsi="Times New Roman" w:cs="Times New Roman"/>
          <w:sz w:val="24"/>
          <w:szCs w:val="24"/>
        </w:rPr>
        <w:t xml:space="preserve">, and </w:t>
      </w:r>
      <w:r w:rsidR="00560D33" w:rsidRPr="002B630E">
        <w:rPr>
          <w:rFonts w:ascii="Times New Roman" w:hAnsi="Times New Roman" w:cs="Times New Roman"/>
          <w:sz w:val="24"/>
          <w:szCs w:val="24"/>
        </w:rPr>
        <w:t>Busnoys</w:t>
      </w:r>
      <w:r w:rsidR="00FD1B29" w:rsidRPr="002B630E">
        <w:rPr>
          <w:rFonts w:ascii="Times New Roman" w:hAnsi="Times New Roman" w:cs="Times New Roman"/>
          <w:sz w:val="24"/>
          <w:szCs w:val="24"/>
        </w:rPr>
        <w:t xml:space="preserve">’ chanson </w:t>
      </w:r>
      <w:r w:rsidR="00FD1B29" w:rsidRPr="002B630E">
        <w:rPr>
          <w:rFonts w:ascii="Times New Roman" w:hAnsi="Times New Roman" w:cs="Times New Roman"/>
          <w:i/>
          <w:sz w:val="24"/>
          <w:szCs w:val="24"/>
        </w:rPr>
        <w:t>Maintes femmes</w:t>
      </w:r>
      <w:r w:rsidR="00FD1B29" w:rsidRPr="002B630E">
        <w:rPr>
          <w:rFonts w:ascii="Times New Roman" w:hAnsi="Times New Roman" w:cs="Times New Roman"/>
          <w:sz w:val="24"/>
          <w:szCs w:val="24"/>
        </w:rPr>
        <w:t>.</w:t>
      </w:r>
      <w:r w:rsidR="00B62474" w:rsidRPr="002B630E">
        <w:rPr>
          <w:rStyle w:val="FootnoteReference"/>
          <w:rFonts w:ascii="Times New Roman" w:hAnsi="Times New Roman" w:cs="Times New Roman"/>
          <w:sz w:val="24"/>
          <w:szCs w:val="24"/>
        </w:rPr>
        <w:footnoteReference w:id="21"/>
      </w:r>
      <w:r w:rsidR="00FD1B29" w:rsidRPr="002B630E">
        <w:rPr>
          <w:rFonts w:ascii="Times New Roman" w:hAnsi="Times New Roman" w:cs="Times New Roman"/>
          <w:sz w:val="24"/>
          <w:szCs w:val="24"/>
        </w:rPr>
        <w:t xml:space="preserve"> </w:t>
      </w:r>
    </w:p>
    <w:p w14:paraId="4AE39F3E" w14:textId="41BCC370" w:rsidR="00605883" w:rsidRPr="002B630E" w:rsidRDefault="00605883"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t>Tinctoris includes a short passage of notation from the two contratenor voices (</w:t>
      </w:r>
      <w:r w:rsidR="003276B5" w:rsidRPr="002B630E">
        <w:rPr>
          <w:rFonts w:ascii="Times New Roman" w:hAnsi="Times New Roman" w:cs="Times New Roman"/>
          <w:sz w:val="24"/>
          <w:szCs w:val="24"/>
        </w:rPr>
        <w:t>C</w:t>
      </w:r>
      <w:r w:rsidRPr="002B630E">
        <w:rPr>
          <w:rFonts w:ascii="Times New Roman" w:hAnsi="Times New Roman" w:cs="Times New Roman"/>
          <w:sz w:val="24"/>
          <w:szCs w:val="24"/>
        </w:rPr>
        <w:t>ontratenor bass</w:t>
      </w:r>
      <w:r w:rsidR="00D12B41" w:rsidRPr="002B630E">
        <w:rPr>
          <w:rFonts w:ascii="Times New Roman" w:hAnsi="Times New Roman" w:cs="Times New Roman"/>
          <w:sz w:val="24"/>
          <w:szCs w:val="24"/>
        </w:rPr>
        <w:t xml:space="preserve">us and </w:t>
      </w:r>
      <w:r w:rsidR="003276B5" w:rsidRPr="002B630E">
        <w:rPr>
          <w:rFonts w:ascii="Times New Roman" w:hAnsi="Times New Roman" w:cs="Times New Roman"/>
          <w:sz w:val="24"/>
          <w:szCs w:val="24"/>
        </w:rPr>
        <w:t>C</w:t>
      </w:r>
      <w:r w:rsidR="00D12B41" w:rsidRPr="002B630E">
        <w:rPr>
          <w:rFonts w:ascii="Times New Roman" w:hAnsi="Times New Roman" w:cs="Times New Roman"/>
          <w:sz w:val="24"/>
          <w:szCs w:val="24"/>
        </w:rPr>
        <w:t xml:space="preserve">ontratenor altus) from </w:t>
      </w:r>
      <w:r w:rsidR="00A13F3A" w:rsidRPr="002B630E">
        <w:rPr>
          <w:rFonts w:ascii="Times New Roman" w:hAnsi="Times New Roman" w:cs="Times New Roman"/>
          <w:sz w:val="24"/>
          <w:szCs w:val="24"/>
        </w:rPr>
        <w:t>D</w:t>
      </w:r>
      <w:r w:rsidRPr="002B630E">
        <w:rPr>
          <w:rFonts w:ascii="Times New Roman" w:hAnsi="Times New Roman" w:cs="Times New Roman"/>
          <w:sz w:val="24"/>
          <w:szCs w:val="24"/>
        </w:rPr>
        <w:t xml:space="preserve">e Domarto’s work, placing a </w:t>
      </w:r>
      <w:r w:rsidR="00AF7EE6" w:rsidRPr="002B630E">
        <w:rPr>
          <w:rFonts w:ascii="Times New Roman" w:hAnsi="Times New Roman" w:cs="Times New Roman"/>
          <w:i/>
          <w:sz w:val="24"/>
          <w:szCs w:val="24"/>
        </w:rPr>
        <w:t>sign</w:t>
      </w:r>
      <w:r w:rsidR="0017022D" w:rsidRPr="002B630E">
        <w:rPr>
          <w:rFonts w:ascii="Times New Roman" w:hAnsi="Times New Roman" w:cs="Times New Roman"/>
          <w:i/>
          <w:sz w:val="24"/>
          <w:szCs w:val="24"/>
        </w:rPr>
        <w:t>um</w:t>
      </w:r>
      <w:r w:rsidR="00AF7EE6" w:rsidRPr="002B630E">
        <w:rPr>
          <w:rFonts w:ascii="Times New Roman" w:hAnsi="Times New Roman" w:cs="Times New Roman"/>
          <w:i/>
          <w:sz w:val="24"/>
          <w:szCs w:val="24"/>
        </w:rPr>
        <w:t xml:space="preserve"> </w:t>
      </w:r>
      <w:r w:rsidR="00AF7EE6" w:rsidRPr="002B630E">
        <w:rPr>
          <w:rFonts w:ascii="Times New Roman" w:hAnsi="Times New Roman" w:cs="Times New Roman"/>
          <w:sz w:val="24"/>
          <w:szCs w:val="24"/>
        </w:rPr>
        <w:t xml:space="preserve">above the second note of </w:t>
      </w:r>
      <w:r w:rsidR="00EB5C6F" w:rsidRPr="002B630E">
        <w:rPr>
          <w:rFonts w:ascii="Times New Roman" w:hAnsi="Times New Roman" w:cs="Times New Roman"/>
          <w:sz w:val="24"/>
          <w:szCs w:val="24"/>
        </w:rPr>
        <w:t xml:space="preserve">the </w:t>
      </w:r>
      <w:r w:rsidR="003276B5" w:rsidRPr="002B630E">
        <w:rPr>
          <w:rFonts w:ascii="Times New Roman" w:hAnsi="Times New Roman" w:cs="Times New Roman"/>
          <w:sz w:val="24"/>
          <w:szCs w:val="24"/>
        </w:rPr>
        <w:t>C</w:t>
      </w:r>
      <w:r w:rsidR="00AF7EE6" w:rsidRPr="002B630E">
        <w:rPr>
          <w:rFonts w:ascii="Times New Roman" w:hAnsi="Times New Roman" w:cs="Times New Roman"/>
          <w:sz w:val="24"/>
          <w:szCs w:val="24"/>
        </w:rPr>
        <w:t xml:space="preserve">ontratenor bassus and </w:t>
      </w:r>
      <w:r w:rsidR="003276B5" w:rsidRPr="002B630E">
        <w:rPr>
          <w:rFonts w:ascii="Times New Roman" w:hAnsi="Times New Roman" w:cs="Times New Roman"/>
          <w:sz w:val="24"/>
          <w:szCs w:val="24"/>
        </w:rPr>
        <w:t>C</w:t>
      </w:r>
      <w:r w:rsidR="00AF7EE6" w:rsidRPr="002B630E">
        <w:rPr>
          <w:rFonts w:ascii="Times New Roman" w:hAnsi="Times New Roman" w:cs="Times New Roman"/>
          <w:sz w:val="24"/>
          <w:szCs w:val="24"/>
        </w:rPr>
        <w:t xml:space="preserve">ontratenor altus. </w:t>
      </w:r>
      <w:r w:rsidR="00CD12FB" w:rsidRPr="002B630E">
        <w:rPr>
          <w:rFonts w:ascii="Times New Roman" w:hAnsi="Times New Roman" w:cs="Times New Roman"/>
          <w:sz w:val="24"/>
          <w:szCs w:val="24"/>
        </w:rPr>
        <w:t xml:space="preserve">The brevity of the citation provides a sufficiently rich context for demonstration without the distraction of contextual clutter that might obscure important theoretical details in the example. </w:t>
      </w:r>
      <w:r w:rsidR="00AF7EE6" w:rsidRPr="002B630E">
        <w:rPr>
          <w:rFonts w:ascii="Times New Roman" w:hAnsi="Times New Roman" w:cs="Times New Roman"/>
          <w:sz w:val="24"/>
          <w:szCs w:val="24"/>
        </w:rPr>
        <w:t xml:space="preserve">If the traditional definition of a </w:t>
      </w:r>
      <w:r w:rsidR="003C1898" w:rsidRPr="002B630E">
        <w:rPr>
          <w:rFonts w:ascii="Times New Roman" w:hAnsi="Times New Roman" w:cs="Times New Roman"/>
          <w:i/>
          <w:sz w:val="24"/>
          <w:szCs w:val="24"/>
        </w:rPr>
        <w:t>signum</w:t>
      </w:r>
      <w:r w:rsidR="00AF7EE6" w:rsidRPr="002B630E">
        <w:rPr>
          <w:rFonts w:ascii="Times New Roman" w:hAnsi="Times New Roman" w:cs="Times New Roman"/>
          <w:i/>
          <w:sz w:val="24"/>
          <w:szCs w:val="24"/>
        </w:rPr>
        <w:t xml:space="preserve"> congruentiae</w:t>
      </w:r>
      <w:r w:rsidR="00AF7EE6" w:rsidRPr="002B630E">
        <w:rPr>
          <w:rFonts w:ascii="Times New Roman" w:hAnsi="Times New Roman" w:cs="Times New Roman"/>
          <w:sz w:val="24"/>
          <w:szCs w:val="24"/>
        </w:rPr>
        <w:t xml:space="preserve"> was taken for this example, a reader might have </w:t>
      </w:r>
      <w:r w:rsidR="002D4AFA">
        <w:rPr>
          <w:rFonts w:ascii="Times New Roman" w:hAnsi="Times New Roman" w:cs="Times New Roman"/>
          <w:sz w:val="24"/>
          <w:szCs w:val="24"/>
        </w:rPr>
        <w:t xml:space="preserve">mistakenly </w:t>
      </w:r>
      <w:r w:rsidR="00AF7EE6" w:rsidRPr="002B630E">
        <w:rPr>
          <w:rFonts w:ascii="Times New Roman" w:hAnsi="Times New Roman" w:cs="Times New Roman"/>
          <w:sz w:val="24"/>
          <w:szCs w:val="24"/>
        </w:rPr>
        <w:t xml:space="preserve">aligned the two symbols and assumed that the two </w:t>
      </w:r>
      <w:r w:rsidR="00364574">
        <w:rPr>
          <w:rFonts w:ascii="Times New Roman" w:hAnsi="Times New Roman" w:cs="Times New Roman"/>
          <w:sz w:val="24"/>
          <w:szCs w:val="24"/>
        </w:rPr>
        <w:t xml:space="preserve">corresponding pitches </w:t>
      </w:r>
      <w:r w:rsidR="00AF7EE6" w:rsidRPr="002B630E">
        <w:rPr>
          <w:rFonts w:ascii="Times New Roman" w:hAnsi="Times New Roman" w:cs="Times New Roman"/>
          <w:sz w:val="24"/>
          <w:szCs w:val="24"/>
        </w:rPr>
        <w:t>were to be sounded together</w:t>
      </w:r>
      <w:r w:rsidR="00D71AF2" w:rsidRPr="002B630E">
        <w:rPr>
          <w:rFonts w:ascii="Times New Roman" w:hAnsi="Times New Roman" w:cs="Times New Roman"/>
          <w:sz w:val="24"/>
          <w:szCs w:val="24"/>
        </w:rPr>
        <w:t xml:space="preserve"> as though they coincided</w:t>
      </w:r>
      <w:r w:rsidR="00AF7EE6" w:rsidRPr="002B630E">
        <w:rPr>
          <w:rFonts w:ascii="Times New Roman" w:hAnsi="Times New Roman" w:cs="Times New Roman"/>
          <w:sz w:val="24"/>
          <w:szCs w:val="24"/>
        </w:rPr>
        <w:t xml:space="preserve">. </w:t>
      </w:r>
      <w:r w:rsidR="002D4AFA">
        <w:rPr>
          <w:rFonts w:ascii="Times New Roman" w:hAnsi="Times New Roman" w:cs="Times New Roman"/>
          <w:sz w:val="24"/>
          <w:szCs w:val="24"/>
        </w:rPr>
        <w:t xml:space="preserve">The only solution to this ambiguity would have been for Tinctoris to split this breve into two notes, thus obscuring his theoretical point. </w:t>
      </w:r>
      <w:r w:rsidR="00AF7EE6" w:rsidRPr="002B630E">
        <w:rPr>
          <w:rFonts w:ascii="Times New Roman" w:hAnsi="Times New Roman" w:cs="Times New Roman"/>
          <w:sz w:val="24"/>
          <w:szCs w:val="24"/>
        </w:rPr>
        <w:t xml:space="preserve">However, </w:t>
      </w:r>
      <w:r w:rsidR="00B76415" w:rsidRPr="002B630E">
        <w:rPr>
          <w:rFonts w:ascii="Times New Roman" w:hAnsi="Times New Roman" w:cs="Times New Roman"/>
          <w:sz w:val="24"/>
          <w:szCs w:val="24"/>
        </w:rPr>
        <w:t>close</w:t>
      </w:r>
      <w:r w:rsidR="003276B5" w:rsidRPr="002B630E">
        <w:rPr>
          <w:rFonts w:ascii="Times New Roman" w:hAnsi="Times New Roman" w:cs="Times New Roman"/>
          <w:sz w:val="24"/>
          <w:szCs w:val="24"/>
        </w:rPr>
        <w:t>r</w:t>
      </w:r>
      <w:r w:rsidR="00B76415" w:rsidRPr="002B630E">
        <w:rPr>
          <w:rFonts w:ascii="Times New Roman" w:hAnsi="Times New Roman" w:cs="Times New Roman"/>
          <w:sz w:val="24"/>
          <w:szCs w:val="24"/>
        </w:rPr>
        <w:t xml:space="preserve"> examination</w:t>
      </w:r>
      <w:r w:rsidR="00AF7EE6" w:rsidRPr="002B630E">
        <w:rPr>
          <w:rFonts w:ascii="Times New Roman" w:hAnsi="Times New Roman" w:cs="Times New Roman"/>
          <w:sz w:val="24"/>
          <w:szCs w:val="24"/>
        </w:rPr>
        <w:t xml:space="preserve"> of the notation reveals </w:t>
      </w:r>
      <w:r w:rsidR="00C7423D" w:rsidRPr="002B630E">
        <w:rPr>
          <w:rFonts w:ascii="Times New Roman" w:hAnsi="Times New Roman" w:cs="Times New Roman"/>
          <w:sz w:val="24"/>
          <w:szCs w:val="24"/>
        </w:rPr>
        <w:t xml:space="preserve">that, although indicating a broad point of coincidence, these two pitches </w:t>
      </w:r>
      <w:r w:rsidR="00D71AF2" w:rsidRPr="002B630E">
        <w:rPr>
          <w:rFonts w:ascii="Times New Roman" w:hAnsi="Times New Roman" w:cs="Times New Roman"/>
          <w:sz w:val="24"/>
          <w:szCs w:val="24"/>
        </w:rPr>
        <w:t xml:space="preserve">should not be ‘struck’ together, </w:t>
      </w:r>
      <w:r w:rsidR="00AF7EE6" w:rsidRPr="002B630E">
        <w:rPr>
          <w:rFonts w:ascii="Times New Roman" w:hAnsi="Times New Roman" w:cs="Times New Roman"/>
          <w:sz w:val="24"/>
          <w:szCs w:val="24"/>
        </w:rPr>
        <w:t xml:space="preserve">as </w:t>
      </w:r>
      <w:r w:rsidR="003276B5" w:rsidRPr="002B630E">
        <w:rPr>
          <w:rFonts w:ascii="Times New Roman" w:hAnsi="Times New Roman" w:cs="Times New Roman"/>
          <w:sz w:val="24"/>
          <w:szCs w:val="24"/>
        </w:rPr>
        <w:t xml:space="preserve">demonstrated by the transcription below </w:t>
      </w:r>
      <w:r w:rsidR="00D10043" w:rsidRPr="002B630E">
        <w:rPr>
          <w:rFonts w:ascii="Times New Roman" w:hAnsi="Times New Roman" w:cs="Times New Roman"/>
          <w:sz w:val="24"/>
          <w:szCs w:val="24"/>
        </w:rPr>
        <w:t>(Figure 3</w:t>
      </w:r>
      <w:r w:rsidR="00F345A3" w:rsidRPr="002B630E">
        <w:rPr>
          <w:rFonts w:ascii="Times New Roman" w:hAnsi="Times New Roman" w:cs="Times New Roman"/>
          <w:sz w:val="24"/>
          <w:szCs w:val="24"/>
        </w:rPr>
        <w:t>).</w:t>
      </w:r>
    </w:p>
    <w:p w14:paraId="5BE785CE" w14:textId="77777777" w:rsidR="00B95FCD" w:rsidRPr="002B630E" w:rsidRDefault="00B95FCD" w:rsidP="00B95FCD">
      <w:pPr>
        <w:spacing w:line="480" w:lineRule="auto"/>
        <w:jc w:val="both"/>
        <w:rPr>
          <w:rFonts w:ascii="Times New Roman" w:hAnsi="Times New Roman" w:cs="Times New Roman"/>
          <w:sz w:val="24"/>
          <w:szCs w:val="24"/>
        </w:rPr>
      </w:pPr>
    </w:p>
    <w:p w14:paraId="22C79210" w14:textId="3650F10B" w:rsidR="00CD12FB" w:rsidRPr="002B630E" w:rsidRDefault="00CD12FB" w:rsidP="00B95FCD">
      <w:pPr>
        <w:keepNext/>
        <w:spacing w:line="480" w:lineRule="auto"/>
        <w:jc w:val="center"/>
        <w:rPr>
          <w:rFonts w:ascii="Times New Roman" w:hAnsi="Times New Roman" w:cs="Times New Roman"/>
          <w:sz w:val="24"/>
          <w:szCs w:val="24"/>
        </w:rPr>
      </w:pPr>
    </w:p>
    <w:p w14:paraId="2574EE93" w14:textId="589E2081" w:rsidR="00CD12FB" w:rsidRPr="002B630E" w:rsidRDefault="002C60EF" w:rsidP="00B95FCD">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GB"/>
        </w:rPr>
        <w:t>[FIG 3 HERE]</w:t>
      </w:r>
    </w:p>
    <w:p w14:paraId="5C0508C6" w14:textId="30EF7651" w:rsidR="00B95FCD" w:rsidRPr="002B630E" w:rsidRDefault="0062486A" w:rsidP="00EF611D">
      <w:pPr>
        <w:pStyle w:val="Caption2"/>
        <w:spacing w:line="480" w:lineRule="auto"/>
        <w:jc w:val="left"/>
        <w:rPr>
          <w:szCs w:val="24"/>
        </w:rPr>
      </w:pPr>
      <w:bookmarkStart w:id="2" w:name="_Ref302379910"/>
      <w:bookmarkStart w:id="3" w:name="_Toc433639889"/>
      <w:bookmarkStart w:id="4" w:name="_Toc433894644"/>
      <w:bookmarkStart w:id="5" w:name="_Toc307846371"/>
      <w:bookmarkStart w:id="6" w:name="_Toc308721444"/>
      <w:bookmarkStart w:id="7" w:name="_Toc308721754"/>
      <w:bookmarkStart w:id="8" w:name="_Toc309827210"/>
      <w:r w:rsidRPr="002B630E">
        <w:rPr>
          <w:szCs w:val="24"/>
        </w:rPr>
        <w:t xml:space="preserve">Figure </w:t>
      </w:r>
      <w:r w:rsidR="00D10043" w:rsidRPr="002B630E">
        <w:rPr>
          <w:szCs w:val="24"/>
        </w:rPr>
        <w:t>3</w:t>
      </w:r>
      <w:r w:rsidRPr="002B630E">
        <w:rPr>
          <w:szCs w:val="24"/>
        </w:rPr>
        <w:t xml:space="preserve">. Tinctoris, </w:t>
      </w:r>
      <w:r w:rsidRPr="002B630E">
        <w:rPr>
          <w:i/>
          <w:szCs w:val="24"/>
        </w:rPr>
        <w:t>De contr.</w:t>
      </w:r>
      <w:r w:rsidRPr="002B630E">
        <w:rPr>
          <w:szCs w:val="24"/>
        </w:rPr>
        <w:t>, II.xxix. (above) Two citations from existing works by Petrus de Domarto (left) and Antoine Busnoys (right)</w:t>
      </w:r>
      <w:r w:rsidR="00A81928" w:rsidRPr="002B630E">
        <w:rPr>
          <w:szCs w:val="24"/>
        </w:rPr>
        <w:t>,</w:t>
      </w:r>
      <w:r w:rsidRPr="002B630E">
        <w:rPr>
          <w:szCs w:val="24"/>
        </w:rPr>
        <w:t xml:space="preserve"> </w:t>
      </w:r>
      <w:r w:rsidR="00A81928" w:rsidRPr="002B630E">
        <w:rPr>
          <w:szCs w:val="24"/>
        </w:rPr>
        <w:t xml:space="preserve">Valencia, Universitat de València, Biblioteca Històrica, MS 835, fol. </w:t>
      </w:r>
      <w:r w:rsidR="00791910" w:rsidRPr="002B630E">
        <w:rPr>
          <w:szCs w:val="24"/>
        </w:rPr>
        <w:t>136</w:t>
      </w:r>
      <w:r w:rsidR="00791910" w:rsidRPr="002B630E">
        <w:rPr>
          <w:szCs w:val="24"/>
          <w:vertAlign w:val="superscript"/>
        </w:rPr>
        <w:t>v</w:t>
      </w:r>
      <w:r w:rsidRPr="002B630E">
        <w:rPr>
          <w:szCs w:val="24"/>
        </w:rPr>
        <w:t>.</w:t>
      </w:r>
      <w:bookmarkEnd w:id="2"/>
      <w:r w:rsidR="00CD12FB" w:rsidRPr="002B630E">
        <w:rPr>
          <w:szCs w:val="24"/>
        </w:rPr>
        <w:t xml:space="preserve"> </w:t>
      </w:r>
      <w:bookmarkStart w:id="9" w:name="_Toc308722541"/>
      <w:bookmarkStart w:id="10" w:name="_Toc309827285"/>
      <w:bookmarkStart w:id="11" w:name="_Toc309932641"/>
      <w:bookmarkStart w:id="12" w:name="_Toc309935457"/>
      <w:r w:rsidRPr="002B630E">
        <w:rPr>
          <w:szCs w:val="24"/>
        </w:rPr>
        <w:t xml:space="preserve">(below) </w:t>
      </w:r>
      <w:r w:rsidR="00CD12FB" w:rsidRPr="002B630E">
        <w:rPr>
          <w:szCs w:val="24"/>
        </w:rPr>
        <w:t xml:space="preserve">Transcription of the citation from De Domarto’s </w:t>
      </w:r>
      <w:r w:rsidR="00CD12FB" w:rsidRPr="002B630E">
        <w:rPr>
          <w:i/>
          <w:szCs w:val="24"/>
        </w:rPr>
        <w:t>Missa Spiritus almus</w:t>
      </w:r>
      <w:r w:rsidR="00CD12FB" w:rsidRPr="002B630E">
        <w:rPr>
          <w:szCs w:val="24"/>
        </w:rPr>
        <w:t xml:space="preserve">, with </w:t>
      </w:r>
      <w:r w:rsidR="00CD12FB" w:rsidRPr="002B630E">
        <w:rPr>
          <w:i/>
          <w:szCs w:val="24"/>
        </w:rPr>
        <w:t>signa congruentiae</w:t>
      </w:r>
      <w:r w:rsidR="00CD12FB" w:rsidRPr="002B630E">
        <w:rPr>
          <w:szCs w:val="24"/>
        </w:rPr>
        <w:t>.</w:t>
      </w:r>
      <w:bookmarkEnd w:id="3"/>
      <w:bookmarkEnd w:id="4"/>
      <w:bookmarkEnd w:id="5"/>
      <w:bookmarkEnd w:id="6"/>
      <w:bookmarkEnd w:id="7"/>
      <w:bookmarkEnd w:id="8"/>
      <w:bookmarkEnd w:id="9"/>
      <w:bookmarkEnd w:id="10"/>
      <w:bookmarkEnd w:id="11"/>
      <w:bookmarkEnd w:id="12"/>
      <w:r w:rsidR="00854F3E">
        <w:rPr>
          <w:szCs w:val="24"/>
        </w:rPr>
        <w:t xml:space="preserve"> Reproduced with kind permission of the </w:t>
      </w:r>
      <w:r w:rsidR="00CE7A4C">
        <w:rPr>
          <w:szCs w:val="24"/>
        </w:rPr>
        <w:t xml:space="preserve">Universitat de València, </w:t>
      </w:r>
      <w:r w:rsidR="00854F3E">
        <w:rPr>
          <w:szCs w:val="24"/>
        </w:rPr>
        <w:t xml:space="preserve">Biblioteca Històrica. </w:t>
      </w:r>
    </w:p>
    <w:p w14:paraId="6D01066E" w14:textId="77777777" w:rsidR="00854F3E" w:rsidRDefault="00854F3E" w:rsidP="00B95FCD">
      <w:pPr>
        <w:spacing w:line="480" w:lineRule="auto"/>
        <w:jc w:val="both"/>
        <w:rPr>
          <w:rFonts w:ascii="Times New Roman" w:hAnsi="Times New Roman" w:cs="Times New Roman"/>
          <w:sz w:val="24"/>
          <w:szCs w:val="24"/>
        </w:rPr>
      </w:pPr>
    </w:p>
    <w:p w14:paraId="331DF526" w14:textId="4F28D85B" w:rsidR="00AB66B7" w:rsidRPr="002B630E" w:rsidRDefault="00D71AF2"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The</w:t>
      </w:r>
      <w:r w:rsidR="00AF7EE6" w:rsidRPr="002B630E">
        <w:rPr>
          <w:rFonts w:ascii="Times New Roman" w:hAnsi="Times New Roman" w:cs="Times New Roman"/>
          <w:sz w:val="24"/>
          <w:szCs w:val="24"/>
        </w:rPr>
        <w:t xml:space="preserve"> F of the </w:t>
      </w:r>
      <w:r w:rsidR="00B90DB6" w:rsidRPr="002B630E">
        <w:rPr>
          <w:rFonts w:ascii="Times New Roman" w:hAnsi="Times New Roman" w:cs="Times New Roman"/>
          <w:sz w:val="24"/>
          <w:szCs w:val="24"/>
        </w:rPr>
        <w:t>C</w:t>
      </w:r>
      <w:r w:rsidR="00AF7EE6" w:rsidRPr="002B630E">
        <w:rPr>
          <w:rFonts w:ascii="Times New Roman" w:hAnsi="Times New Roman" w:cs="Times New Roman"/>
          <w:sz w:val="24"/>
          <w:szCs w:val="24"/>
        </w:rPr>
        <w:t xml:space="preserve">ontratenor altus is to be sounded before the G of the </w:t>
      </w:r>
      <w:r w:rsidR="00B90DB6" w:rsidRPr="002B630E">
        <w:rPr>
          <w:rFonts w:ascii="Times New Roman" w:hAnsi="Times New Roman" w:cs="Times New Roman"/>
          <w:sz w:val="24"/>
          <w:szCs w:val="24"/>
        </w:rPr>
        <w:t>C</w:t>
      </w:r>
      <w:r w:rsidR="00AF7EE6" w:rsidRPr="002B630E">
        <w:rPr>
          <w:rFonts w:ascii="Times New Roman" w:hAnsi="Times New Roman" w:cs="Times New Roman"/>
          <w:sz w:val="24"/>
          <w:szCs w:val="24"/>
        </w:rPr>
        <w:t xml:space="preserve">ontratenor bassus, creating a brief moment of </w:t>
      </w:r>
      <w:r w:rsidR="0082244C" w:rsidRPr="002B630E">
        <w:rPr>
          <w:rFonts w:ascii="Times New Roman" w:hAnsi="Times New Roman" w:cs="Times New Roman"/>
          <w:sz w:val="24"/>
          <w:szCs w:val="24"/>
        </w:rPr>
        <w:t>overlapping dissonance</w:t>
      </w:r>
      <w:r w:rsidR="00AF7EE6" w:rsidRPr="002B630E">
        <w:rPr>
          <w:rFonts w:ascii="Times New Roman" w:hAnsi="Times New Roman" w:cs="Times New Roman"/>
          <w:sz w:val="24"/>
          <w:szCs w:val="24"/>
        </w:rPr>
        <w:t xml:space="preserve">, fulfilling the requirements of </w:t>
      </w:r>
      <w:r w:rsidR="00C83CD1" w:rsidRPr="002B630E">
        <w:rPr>
          <w:rFonts w:ascii="Times New Roman" w:hAnsi="Times New Roman" w:cs="Times New Roman"/>
          <w:sz w:val="24"/>
          <w:szCs w:val="24"/>
        </w:rPr>
        <w:t>Tinctoris’s</w:t>
      </w:r>
      <w:r w:rsidR="00AF7EE6" w:rsidRPr="002B630E">
        <w:rPr>
          <w:rFonts w:ascii="Times New Roman" w:hAnsi="Times New Roman" w:cs="Times New Roman"/>
          <w:sz w:val="24"/>
          <w:szCs w:val="24"/>
        </w:rPr>
        <w:t xml:space="preserve"> text. </w:t>
      </w:r>
      <w:r w:rsidR="00126AA8" w:rsidRPr="002B630E">
        <w:rPr>
          <w:rFonts w:ascii="Times New Roman" w:hAnsi="Times New Roman" w:cs="Times New Roman"/>
          <w:sz w:val="24"/>
          <w:szCs w:val="24"/>
        </w:rPr>
        <w:t xml:space="preserve">Instead of indicating a point of alignment, the </w:t>
      </w:r>
      <w:r w:rsidR="00126AA8" w:rsidRPr="002B630E">
        <w:rPr>
          <w:rFonts w:ascii="Times New Roman" w:hAnsi="Times New Roman" w:cs="Times New Roman"/>
          <w:i/>
          <w:sz w:val="24"/>
          <w:szCs w:val="24"/>
        </w:rPr>
        <w:t xml:space="preserve">signa </w:t>
      </w:r>
      <w:r w:rsidR="00126AA8" w:rsidRPr="002B630E">
        <w:rPr>
          <w:rFonts w:ascii="Times New Roman" w:hAnsi="Times New Roman" w:cs="Times New Roman"/>
          <w:sz w:val="24"/>
          <w:szCs w:val="24"/>
        </w:rPr>
        <w:t xml:space="preserve">in both voice parts surely </w:t>
      </w:r>
      <w:r w:rsidR="000A6B2C" w:rsidRPr="002B630E">
        <w:rPr>
          <w:rFonts w:ascii="Times New Roman" w:hAnsi="Times New Roman" w:cs="Times New Roman"/>
          <w:sz w:val="24"/>
          <w:szCs w:val="24"/>
        </w:rPr>
        <w:t xml:space="preserve">draw attention to </w:t>
      </w:r>
      <w:r w:rsidR="00126AA8" w:rsidRPr="002B630E">
        <w:rPr>
          <w:rFonts w:ascii="Times New Roman" w:hAnsi="Times New Roman" w:cs="Times New Roman"/>
          <w:sz w:val="24"/>
          <w:szCs w:val="24"/>
        </w:rPr>
        <w:t xml:space="preserve">a specific point, in this case, </w:t>
      </w:r>
      <w:r w:rsidR="0005577E" w:rsidRPr="002B630E">
        <w:rPr>
          <w:rFonts w:ascii="Times New Roman" w:hAnsi="Times New Roman" w:cs="Times New Roman"/>
          <w:sz w:val="24"/>
          <w:szCs w:val="24"/>
        </w:rPr>
        <w:t xml:space="preserve">a dissonance that exceeds the duration permitted under </w:t>
      </w:r>
      <w:r w:rsidR="00C83CD1" w:rsidRPr="002B630E">
        <w:rPr>
          <w:rFonts w:ascii="Times New Roman" w:hAnsi="Times New Roman" w:cs="Times New Roman"/>
          <w:sz w:val="24"/>
          <w:szCs w:val="24"/>
        </w:rPr>
        <w:t>Tinctoris’s</w:t>
      </w:r>
      <w:r w:rsidR="0005577E" w:rsidRPr="002B630E">
        <w:rPr>
          <w:rFonts w:ascii="Times New Roman" w:hAnsi="Times New Roman" w:cs="Times New Roman"/>
          <w:sz w:val="24"/>
          <w:szCs w:val="24"/>
        </w:rPr>
        <w:t xml:space="preserve"> rather conservative rules. </w:t>
      </w:r>
      <w:r w:rsidR="00865599" w:rsidRPr="002B630E">
        <w:rPr>
          <w:rFonts w:ascii="Times New Roman" w:hAnsi="Times New Roman" w:cs="Times New Roman"/>
          <w:sz w:val="24"/>
          <w:szCs w:val="24"/>
        </w:rPr>
        <w:t xml:space="preserve">Such visual distinction </w:t>
      </w:r>
      <w:r w:rsidR="00AB66B7" w:rsidRPr="002B630E">
        <w:rPr>
          <w:rFonts w:ascii="Times New Roman" w:hAnsi="Times New Roman" w:cs="Times New Roman"/>
          <w:sz w:val="24"/>
          <w:szCs w:val="24"/>
        </w:rPr>
        <w:t xml:space="preserve">strengthens the link between the theoretical text and musical notation. A reader who understood the function of </w:t>
      </w:r>
      <w:r w:rsidR="00AB66B7" w:rsidRPr="002B630E">
        <w:rPr>
          <w:rFonts w:ascii="Times New Roman" w:hAnsi="Times New Roman" w:cs="Times New Roman"/>
          <w:i/>
          <w:sz w:val="24"/>
          <w:szCs w:val="24"/>
        </w:rPr>
        <w:t>signa</w:t>
      </w:r>
      <w:r w:rsidR="00AB66B7" w:rsidRPr="002B630E">
        <w:rPr>
          <w:rFonts w:ascii="Times New Roman" w:hAnsi="Times New Roman" w:cs="Times New Roman"/>
          <w:sz w:val="24"/>
          <w:szCs w:val="24"/>
        </w:rPr>
        <w:t xml:space="preserve"> placed in such position</w:t>
      </w:r>
      <w:r w:rsidR="00865599" w:rsidRPr="002B630E">
        <w:rPr>
          <w:rFonts w:ascii="Times New Roman" w:hAnsi="Times New Roman" w:cs="Times New Roman"/>
          <w:sz w:val="24"/>
          <w:szCs w:val="24"/>
        </w:rPr>
        <w:t>s</w:t>
      </w:r>
      <w:r w:rsidR="00AB66B7" w:rsidRPr="002B630E">
        <w:rPr>
          <w:rFonts w:ascii="Times New Roman" w:hAnsi="Times New Roman" w:cs="Times New Roman"/>
          <w:sz w:val="24"/>
          <w:szCs w:val="24"/>
        </w:rPr>
        <w:t xml:space="preserve"> would have been able to quickly identify the theoretical point of the example, </w:t>
      </w:r>
      <w:r w:rsidR="00865599" w:rsidRPr="002B630E">
        <w:rPr>
          <w:rFonts w:ascii="Times New Roman" w:hAnsi="Times New Roman" w:cs="Times New Roman"/>
          <w:sz w:val="24"/>
          <w:szCs w:val="24"/>
        </w:rPr>
        <w:t>aiding the understanding of Tinctoris’s rule.</w:t>
      </w:r>
      <w:r w:rsidR="00AB66B7" w:rsidRPr="002B630E">
        <w:rPr>
          <w:rStyle w:val="FootnoteReference"/>
          <w:rFonts w:ascii="Times New Roman" w:hAnsi="Times New Roman" w:cs="Times New Roman"/>
          <w:sz w:val="24"/>
          <w:szCs w:val="24"/>
        </w:rPr>
        <w:footnoteReference w:id="22"/>
      </w:r>
      <w:r w:rsidR="00AB66B7" w:rsidRPr="002B630E">
        <w:rPr>
          <w:rFonts w:ascii="Times New Roman" w:hAnsi="Times New Roman" w:cs="Times New Roman"/>
          <w:sz w:val="24"/>
          <w:szCs w:val="24"/>
        </w:rPr>
        <w:t xml:space="preserve"> </w:t>
      </w:r>
    </w:p>
    <w:p w14:paraId="39EAEA25" w14:textId="16DD3683" w:rsidR="00405D29" w:rsidRPr="002B630E" w:rsidRDefault="00C7423D" w:rsidP="00B95FCD">
      <w:pPr>
        <w:spacing w:line="480" w:lineRule="auto"/>
        <w:ind w:firstLine="720"/>
        <w:jc w:val="both"/>
        <w:rPr>
          <w:rFonts w:ascii="Times New Roman" w:hAnsi="Times New Roman" w:cs="Times New Roman"/>
          <w:sz w:val="24"/>
          <w:szCs w:val="24"/>
        </w:rPr>
      </w:pPr>
      <w:r w:rsidRPr="002B630E">
        <w:rPr>
          <w:rFonts w:ascii="Times New Roman" w:hAnsi="Times New Roman" w:cs="Times New Roman"/>
          <w:sz w:val="24"/>
          <w:szCs w:val="24"/>
        </w:rPr>
        <w:lastRenderedPageBreak/>
        <w:t xml:space="preserve">Given that some effort has been made to draw a hypothetical reader’s attention </w:t>
      </w:r>
      <w:r w:rsidR="00865599" w:rsidRPr="002B630E">
        <w:rPr>
          <w:rFonts w:ascii="Times New Roman" w:hAnsi="Times New Roman" w:cs="Times New Roman"/>
          <w:sz w:val="24"/>
          <w:szCs w:val="24"/>
        </w:rPr>
        <w:t xml:space="preserve">to </w:t>
      </w:r>
      <w:r w:rsidR="008229F1" w:rsidRPr="002B630E">
        <w:rPr>
          <w:rFonts w:ascii="Times New Roman" w:hAnsi="Times New Roman" w:cs="Times New Roman"/>
          <w:sz w:val="24"/>
          <w:szCs w:val="24"/>
        </w:rPr>
        <w:t xml:space="preserve">the </w:t>
      </w:r>
      <w:r w:rsidR="00865599" w:rsidRPr="002B630E">
        <w:rPr>
          <w:rFonts w:ascii="Times New Roman" w:hAnsi="Times New Roman" w:cs="Times New Roman"/>
          <w:sz w:val="24"/>
          <w:szCs w:val="24"/>
        </w:rPr>
        <w:t xml:space="preserve">key theoretical moment with such </w:t>
      </w:r>
      <w:r w:rsidR="0062486A" w:rsidRPr="002B630E">
        <w:rPr>
          <w:rFonts w:ascii="Times New Roman" w:hAnsi="Times New Roman" w:cs="Times New Roman"/>
          <w:sz w:val="24"/>
          <w:szCs w:val="24"/>
        </w:rPr>
        <w:t xml:space="preserve">striking visual </w:t>
      </w:r>
      <w:r w:rsidR="00865599" w:rsidRPr="002B630E">
        <w:rPr>
          <w:rFonts w:ascii="Times New Roman" w:hAnsi="Times New Roman" w:cs="Times New Roman"/>
          <w:sz w:val="24"/>
          <w:szCs w:val="24"/>
        </w:rPr>
        <w:t xml:space="preserve">clarity, </w:t>
      </w:r>
      <w:r w:rsidR="00BA0C64" w:rsidRPr="002B630E">
        <w:rPr>
          <w:rFonts w:ascii="Times New Roman" w:hAnsi="Times New Roman" w:cs="Times New Roman"/>
          <w:sz w:val="24"/>
          <w:szCs w:val="24"/>
        </w:rPr>
        <w:t xml:space="preserve">we </w:t>
      </w:r>
      <w:r w:rsidR="00DC7C6E" w:rsidRPr="002B630E">
        <w:rPr>
          <w:rFonts w:ascii="Times New Roman" w:hAnsi="Times New Roman" w:cs="Times New Roman"/>
          <w:sz w:val="24"/>
          <w:szCs w:val="24"/>
        </w:rPr>
        <w:t xml:space="preserve">could </w:t>
      </w:r>
      <w:r w:rsidR="00BA0C64" w:rsidRPr="002B630E">
        <w:rPr>
          <w:rFonts w:ascii="Times New Roman" w:hAnsi="Times New Roman" w:cs="Times New Roman"/>
          <w:sz w:val="24"/>
          <w:szCs w:val="24"/>
        </w:rPr>
        <w:t>see this as an implicit recognition of the needs of Tinctoris’s potential readers.</w:t>
      </w:r>
      <w:r w:rsidR="00641B39" w:rsidRPr="002B630E">
        <w:rPr>
          <w:rFonts w:ascii="Times New Roman" w:hAnsi="Times New Roman" w:cs="Times New Roman"/>
          <w:sz w:val="24"/>
          <w:szCs w:val="24"/>
        </w:rPr>
        <w:t xml:space="preserve"> Might this demonstrate the use of a symbol to raise the visual profile of a key theoretical moment, perhaps to help readers less comfortable with mensural notation?</w:t>
      </w:r>
      <w:r w:rsidR="00BA0C64" w:rsidRPr="002B630E">
        <w:rPr>
          <w:rFonts w:ascii="Times New Roman" w:hAnsi="Times New Roman" w:cs="Times New Roman"/>
          <w:sz w:val="24"/>
          <w:szCs w:val="24"/>
        </w:rPr>
        <w:t xml:space="preserve"> </w:t>
      </w:r>
      <w:r w:rsidRPr="002B630E">
        <w:rPr>
          <w:rFonts w:ascii="Times New Roman" w:hAnsi="Times New Roman" w:cs="Times New Roman"/>
          <w:sz w:val="24"/>
          <w:szCs w:val="24"/>
        </w:rPr>
        <w:t>Considered in this context,</w:t>
      </w:r>
      <w:r w:rsidR="00641B39" w:rsidRPr="002B630E">
        <w:rPr>
          <w:rFonts w:ascii="Times New Roman" w:hAnsi="Times New Roman" w:cs="Times New Roman"/>
          <w:sz w:val="24"/>
          <w:szCs w:val="24"/>
        </w:rPr>
        <w:t xml:space="preserve"> </w:t>
      </w:r>
      <w:r w:rsidRPr="002B630E">
        <w:rPr>
          <w:rFonts w:ascii="Times New Roman" w:hAnsi="Times New Roman" w:cs="Times New Roman"/>
          <w:sz w:val="24"/>
          <w:szCs w:val="24"/>
        </w:rPr>
        <w:t>the</w:t>
      </w:r>
      <w:r w:rsidR="008229F1" w:rsidRPr="002B630E">
        <w:rPr>
          <w:rFonts w:ascii="Times New Roman" w:hAnsi="Times New Roman" w:cs="Times New Roman"/>
          <w:sz w:val="24"/>
          <w:szCs w:val="24"/>
        </w:rPr>
        <w:t xml:space="preserve"> example </w:t>
      </w:r>
      <w:r w:rsidRPr="002B630E">
        <w:rPr>
          <w:rFonts w:ascii="Times New Roman" w:hAnsi="Times New Roman" w:cs="Times New Roman"/>
          <w:sz w:val="24"/>
          <w:szCs w:val="24"/>
        </w:rPr>
        <w:t xml:space="preserve">from De Domarto’s mass </w:t>
      </w:r>
      <w:r w:rsidR="008229F1" w:rsidRPr="002B630E">
        <w:rPr>
          <w:rFonts w:ascii="Times New Roman" w:hAnsi="Times New Roman" w:cs="Times New Roman"/>
          <w:sz w:val="24"/>
          <w:szCs w:val="24"/>
        </w:rPr>
        <w:t xml:space="preserve">may provide evidence to suggest that some of </w:t>
      </w:r>
      <w:r w:rsidR="00C83CD1" w:rsidRPr="002B630E">
        <w:rPr>
          <w:rFonts w:ascii="Times New Roman" w:hAnsi="Times New Roman" w:cs="Times New Roman"/>
          <w:sz w:val="24"/>
          <w:szCs w:val="24"/>
        </w:rPr>
        <w:t>Tinctoris’s</w:t>
      </w:r>
      <w:r w:rsidR="008229F1" w:rsidRPr="002B630E">
        <w:rPr>
          <w:rFonts w:ascii="Times New Roman" w:hAnsi="Times New Roman" w:cs="Times New Roman"/>
          <w:sz w:val="24"/>
          <w:szCs w:val="24"/>
        </w:rPr>
        <w:t xml:space="preserve"> readers </w:t>
      </w:r>
      <w:r w:rsidR="00543DB7" w:rsidRPr="002B630E">
        <w:rPr>
          <w:rFonts w:ascii="Times New Roman" w:hAnsi="Times New Roman" w:cs="Times New Roman"/>
          <w:sz w:val="24"/>
          <w:szCs w:val="24"/>
        </w:rPr>
        <w:t>might</w:t>
      </w:r>
      <w:r w:rsidR="008229F1" w:rsidRPr="002B630E">
        <w:rPr>
          <w:rFonts w:ascii="Times New Roman" w:hAnsi="Times New Roman" w:cs="Times New Roman"/>
          <w:sz w:val="24"/>
          <w:szCs w:val="24"/>
        </w:rPr>
        <w:t xml:space="preserve"> not have fully understood the </w:t>
      </w:r>
      <w:r w:rsidR="0040617E" w:rsidRPr="002B630E">
        <w:rPr>
          <w:rFonts w:ascii="Times New Roman" w:hAnsi="Times New Roman" w:cs="Times New Roman"/>
          <w:sz w:val="24"/>
          <w:szCs w:val="24"/>
        </w:rPr>
        <w:t>musical notation</w:t>
      </w:r>
      <w:r w:rsidR="006666AB">
        <w:rPr>
          <w:rFonts w:ascii="Times New Roman" w:hAnsi="Times New Roman" w:cs="Times New Roman"/>
          <w:sz w:val="24"/>
          <w:szCs w:val="24"/>
        </w:rPr>
        <w:t>, or ‘glossed’ over it. The</w:t>
      </w:r>
      <w:r w:rsidR="008229F1" w:rsidRPr="002B630E">
        <w:rPr>
          <w:rFonts w:ascii="Times New Roman" w:hAnsi="Times New Roman" w:cs="Times New Roman"/>
          <w:sz w:val="24"/>
          <w:szCs w:val="24"/>
        </w:rPr>
        <w:t xml:space="preserve"> </w:t>
      </w:r>
      <w:r w:rsidR="008650F2" w:rsidRPr="002B630E">
        <w:rPr>
          <w:rFonts w:ascii="Times New Roman" w:hAnsi="Times New Roman" w:cs="Times New Roman"/>
          <w:i/>
          <w:sz w:val="24"/>
          <w:szCs w:val="24"/>
        </w:rPr>
        <w:t>signa congruentiae</w:t>
      </w:r>
      <w:r w:rsidR="008229F1" w:rsidRPr="002B630E">
        <w:rPr>
          <w:rFonts w:ascii="Times New Roman" w:hAnsi="Times New Roman" w:cs="Times New Roman"/>
          <w:sz w:val="24"/>
          <w:szCs w:val="24"/>
        </w:rPr>
        <w:t xml:space="preserve"> </w:t>
      </w:r>
      <w:r w:rsidR="006666AB">
        <w:rPr>
          <w:rFonts w:ascii="Times New Roman" w:hAnsi="Times New Roman" w:cs="Times New Roman"/>
          <w:sz w:val="24"/>
          <w:szCs w:val="24"/>
        </w:rPr>
        <w:t xml:space="preserve">could have been used </w:t>
      </w:r>
      <w:r w:rsidR="008229F1" w:rsidRPr="002B630E">
        <w:rPr>
          <w:rFonts w:ascii="Times New Roman" w:hAnsi="Times New Roman" w:cs="Times New Roman"/>
          <w:sz w:val="24"/>
          <w:szCs w:val="24"/>
        </w:rPr>
        <w:t>as a way to</w:t>
      </w:r>
      <w:r w:rsidRPr="002B630E">
        <w:rPr>
          <w:rFonts w:ascii="Times New Roman" w:hAnsi="Times New Roman" w:cs="Times New Roman"/>
          <w:sz w:val="24"/>
          <w:szCs w:val="24"/>
        </w:rPr>
        <w:t xml:space="preserve"> navigate to</w:t>
      </w:r>
      <w:r w:rsidR="008229F1" w:rsidRPr="002B630E">
        <w:rPr>
          <w:rFonts w:ascii="Times New Roman" w:hAnsi="Times New Roman" w:cs="Times New Roman"/>
          <w:sz w:val="24"/>
          <w:szCs w:val="24"/>
        </w:rPr>
        <w:t xml:space="preserve"> the main theoretical point</w:t>
      </w:r>
      <w:r w:rsidR="00B76415" w:rsidRPr="002B630E">
        <w:rPr>
          <w:rFonts w:ascii="Times New Roman" w:hAnsi="Times New Roman" w:cs="Times New Roman"/>
          <w:sz w:val="24"/>
          <w:szCs w:val="24"/>
        </w:rPr>
        <w:t xml:space="preserve"> </w:t>
      </w:r>
      <w:r w:rsidR="0036053D" w:rsidRPr="002B630E">
        <w:rPr>
          <w:rFonts w:ascii="Times New Roman" w:hAnsi="Times New Roman" w:cs="Times New Roman"/>
          <w:sz w:val="24"/>
          <w:szCs w:val="24"/>
        </w:rPr>
        <w:t xml:space="preserve">as presented in the notation </w:t>
      </w:r>
      <w:r w:rsidR="00B76415" w:rsidRPr="002B630E">
        <w:rPr>
          <w:rFonts w:ascii="Times New Roman" w:hAnsi="Times New Roman" w:cs="Times New Roman"/>
          <w:sz w:val="24"/>
          <w:szCs w:val="24"/>
        </w:rPr>
        <w:t xml:space="preserve">and establish a link between the </w:t>
      </w:r>
      <w:r w:rsidR="005E613B" w:rsidRPr="002B630E">
        <w:rPr>
          <w:rFonts w:ascii="Times New Roman" w:hAnsi="Times New Roman" w:cs="Times New Roman"/>
          <w:sz w:val="24"/>
          <w:szCs w:val="24"/>
        </w:rPr>
        <w:t xml:space="preserve">Latin </w:t>
      </w:r>
      <w:r w:rsidR="00B76415" w:rsidRPr="002B630E">
        <w:rPr>
          <w:rFonts w:ascii="Times New Roman" w:hAnsi="Times New Roman" w:cs="Times New Roman"/>
          <w:sz w:val="24"/>
          <w:szCs w:val="24"/>
        </w:rPr>
        <w:t xml:space="preserve">text and </w:t>
      </w:r>
      <w:r w:rsidR="005E613B" w:rsidRPr="002B630E">
        <w:rPr>
          <w:rFonts w:ascii="Times New Roman" w:hAnsi="Times New Roman" w:cs="Times New Roman"/>
          <w:sz w:val="24"/>
          <w:szCs w:val="24"/>
        </w:rPr>
        <w:t xml:space="preserve">musical </w:t>
      </w:r>
      <w:r w:rsidR="00B76415" w:rsidRPr="002B630E">
        <w:rPr>
          <w:rFonts w:ascii="Times New Roman" w:hAnsi="Times New Roman" w:cs="Times New Roman"/>
          <w:sz w:val="24"/>
          <w:szCs w:val="24"/>
        </w:rPr>
        <w:t>notation</w:t>
      </w:r>
      <w:r w:rsidR="008229F1" w:rsidRPr="002B630E">
        <w:rPr>
          <w:rFonts w:ascii="Times New Roman" w:hAnsi="Times New Roman" w:cs="Times New Roman"/>
          <w:sz w:val="24"/>
          <w:szCs w:val="24"/>
        </w:rPr>
        <w:t>.</w:t>
      </w:r>
    </w:p>
    <w:p w14:paraId="04255A9F" w14:textId="752D918D" w:rsidR="005172F2" w:rsidRPr="002B630E" w:rsidRDefault="00DC7C6E" w:rsidP="00B95FCD">
      <w:pPr>
        <w:spacing w:line="480" w:lineRule="auto"/>
        <w:ind w:firstLine="720"/>
        <w:jc w:val="both"/>
        <w:rPr>
          <w:rFonts w:ascii="Times New Roman" w:hAnsi="Times New Roman" w:cs="Times New Roman"/>
          <w:sz w:val="24"/>
          <w:szCs w:val="24"/>
        </w:rPr>
      </w:pPr>
      <w:r w:rsidRPr="002B630E">
        <w:rPr>
          <w:rFonts w:ascii="Times New Roman" w:hAnsi="Times New Roman" w:cs="Times New Roman"/>
          <w:sz w:val="24"/>
          <w:szCs w:val="24"/>
        </w:rPr>
        <w:t xml:space="preserve">The deployment of </w:t>
      </w:r>
      <w:r w:rsidR="00543DB7" w:rsidRPr="002B630E">
        <w:rPr>
          <w:rFonts w:ascii="Times New Roman" w:hAnsi="Times New Roman" w:cs="Times New Roman"/>
          <w:i/>
          <w:sz w:val="24"/>
          <w:szCs w:val="24"/>
        </w:rPr>
        <w:t xml:space="preserve">signa </w:t>
      </w:r>
      <w:r w:rsidR="00543DB7" w:rsidRPr="002B630E">
        <w:rPr>
          <w:rFonts w:ascii="Times New Roman" w:hAnsi="Times New Roman" w:cs="Times New Roman"/>
          <w:sz w:val="24"/>
          <w:szCs w:val="24"/>
        </w:rPr>
        <w:t>in thi</w:t>
      </w:r>
      <w:r w:rsidR="00647F1A" w:rsidRPr="002B630E">
        <w:rPr>
          <w:rFonts w:ascii="Times New Roman" w:hAnsi="Times New Roman" w:cs="Times New Roman"/>
          <w:sz w:val="24"/>
          <w:szCs w:val="24"/>
        </w:rPr>
        <w:t>s</w:t>
      </w:r>
      <w:r w:rsidR="00543DB7" w:rsidRPr="002B630E">
        <w:rPr>
          <w:rFonts w:ascii="Times New Roman" w:hAnsi="Times New Roman" w:cs="Times New Roman"/>
          <w:sz w:val="24"/>
          <w:szCs w:val="24"/>
        </w:rPr>
        <w:t xml:space="preserve"> way in two examples presented together is</w:t>
      </w:r>
      <w:r w:rsidR="00647F1A" w:rsidRPr="002B630E">
        <w:rPr>
          <w:rFonts w:ascii="Times New Roman" w:hAnsi="Times New Roman" w:cs="Times New Roman"/>
          <w:sz w:val="24"/>
          <w:szCs w:val="24"/>
        </w:rPr>
        <w:t xml:space="preserve"> almost certainly not </w:t>
      </w:r>
      <w:r w:rsidR="007944D9" w:rsidRPr="002B630E">
        <w:rPr>
          <w:rFonts w:ascii="Times New Roman" w:hAnsi="Times New Roman" w:cs="Times New Roman"/>
          <w:sz w:val="24"/>
          <w:szCs w:val="24"/>
        </w:rPr>
        <w:t>coincidental, as Tinctoris adopts the same method for</w:t>
      </w:r>
      <w:r w:rsidR="00647F1A" w:rsidRPr="002B630E">
        <w:rPr>
          <w:rFonts w:ascii="Times New Roman" w:hAnsi="Times New Roman" w:cs="Times New Roman"/>
          <w:sz w:val="24"/>
          <w:szCs w:val="24"/>
        </w:rPr>
        <w:t xml:space="preserve"> showing the point of dissonance, incidentally also a seventh, in </w:t>
      </w:r>
      <w:r w:rsidR="007944D9" w:rsidRPr="002B630E">
        <w:rPr>
          <w:rFonts w:ascii="Times New Roman" w:hAnsi="Times New Roman" w:cs="Times New Roman"/>
          <w:sz w:val="24"/>
          <w:szCs w:val="24"/>
        </w:rPr>
        <w:t xml:space="preserve">the </w:t>
      </w:r>
      <w:r w:rsidR="00425504">
        <w:rPr>
          <w:rFonts w:ascii="Times New Roman" w:hAnsi="Times New Roman" w:cs="Times New Roman"/>
          <w:sz w:val="24"/>
          <w:szCs w:val="24"/>
        </w:rPr>
        <w:t>quotation</w:t>
      </w:r>
      <w:r w:rsidR="00425504" w:rsidRPr="002B630E">
        <w:rPr>
          <w:rFonts w:ascii="Times New Roman" w:hAnsi="Times New Roman" w:cs="Times New Roman"/>
          <w:sz w:val="24"/>
          <w:szCs w:val="24"/>
        </w:rPr>
        <w:t xml:space="preserve"> </w:t>
      </w:r>
      <w:r w:rsidR="007944D9" w:rsidRPr="002B630E">
        <w:rPr>
          <w:rFonts w:ascii="Times New Roman" w:hAnsi="Times New Roman" w:cs="Times New Roman"/>
          <w:sz w:val="24"/>
          <w:szCs w:val="24"/>
        </w:rPr>
        <w:t xml:space="preserve">from </w:t>
      </w:r>
      <w:r w:rsidR="00560D33" w:rsidRPr="002B630E">
        <w:rPr>
          <w:rFonts w:ascii="Times New Roman" w:hAnsi="Times New Roman" w:cs="Times New Roman"/>
          <w:sz w:val="24"/>
          <w:szCs w:val="24"/>
        </w:rPr>
        <w:t>Busnoys</w:t>
      </w:r>
      <w:r w:rsidR="007944D9" w:rsidRPr="002B630E">
        <w:rPr>
          <w:rFonts w:ascii="Times New Roman" w:hAnsi="Times New Roman" w:cs="Times New Roman"/>
          <w:sz w:val="24"/>
          <w:szCs w:val="24"/>
        </w:rPr>
        <w:t xml:space="preserve">’ </w:t>
      </w:r>
      <w:r w:rsidR="007944D9" w:rsidRPr="002B630E">
        <w:rPr>
          <w:rFonts w:ascii="Times New Roman" w:hAnsi="Times New Roman" w:cs="Times New Roman"/>
          <w:i/>
          <w:sz w:val="24"/>
          <w:szCs w:val="24"/>
        </w:rPr>
        <w:t>Maintes femmes</w:t>
      </w:r>
      <w:r w:rsidR="003C50A2" w:rsidRPr="002B630E">
        <w:rPr>
          <w:rFonts w:ascii="Times New Roman" w:hAnsi="Times New Roman" w:cs="Times New Roman"/>
          <w:i/>
          <w:sz w:val="24"/>
          <w:szCs w:val="24"/>
        </w:rPr>
        <w:t xml:space="preserve"> </w:t>
      </w:r>
      <w:r w:rsidR="003C50A2" w:rsidRPr="002B630E">
        <w:rPr>
          <w:rFonts w:ascii="Times New Roman" w:hAnsi="Times New Roman" w:cs="Times New Roman"/>
          <w:sz w:val="24"/>
          <w:szCs w:val="24"/>
        </w:rPr>
        <w:t xml:space="preserve">that immediately follows the partial extract from De Domarto’s mass. </w:t>
      </w:r>
      <w:r w:rsidR="007944D9" w:rsidRPr="002B630E">
        <w:rPr>
          <w:rFonts w:ascii="Times New Roman" w:hAnsi="Times New Roman" w:cs="Times New Roman"/>
          <w:sz w:val="24"/>
          <w:szCs w:val="24"/>
        </w:rPr>
        <w:t>Tinctoris uses two voice parts from a larger polyphonic work</w:t>
      </w:r>
      <w:r w:rsidR="003C50A2" w:rsidRPr="002B630E">
        <w:rPr>
          <w:rFonts w:ascii="Times New Roman" w:hAnsi="Times New Roman" w:cs="Times New Roman"/>
          <w:sz w:val="24"/>
          <w:szCs w:val="24"/>
        </w:rPr>
        <w:t xml:space="preserve"> for this second example</w:t>
      </w:r>
      <w:r w:rsidR="007944D9" w:rsidRPr="002B630E">
        <w:rPr>
          <w:rFonts w:ascii="Times New Roman" w:hAnsi="Times New Roman" w:cs="Times New Roman"/>
          <w:sz w:val="24"/>
          <w:szCs w:val="24"/>
        </w:rPr>
        <w:t xml:space="preserve">, and places </w:t>
      </w:r>
      <w:r w:rsidR="007944D9" w:rsidRPr="002B630E">
        <w:rPr>
          <w:rFonts w:ascii="Times New Roman" w:hAnsi="Times New Roman" w:cs="Times New Roman"/>
          <w:i/>
          <w:sz w:val="24"/>
          <w:szCs w:val="24"/>
        </w:rPr>
        <w:t>sign</w:t>
      </w:r>
      <w:r w:rsidRPr="002B630E">
        <w:rPr>
          <w:rFonts w:ascii="Times New Roman" w:hAnsi="Times New Roman" w:cs="Times New Roman"/>
          <w:i/>
          <w:sz w:val="24"/>
          <w:szCs w:val="24"/>
        </w:rPr>
        <w:t>a</w:t>
      </w:r>
      <w:r w:rsidR="007944D9" w:rsidRPr="002B630E">
        <w:rPr>
          <w:rFonts w:ascii="Times New Roman" w:hAnsi="Times New Roman" w:cs="Times New Roman"/>
          <w:i/>
          <w:sz w:val="24"/>
          <w:szCs w:val="24"/>
        </w:rPr>
        <w:t xml:space="preserve"> </w:t>
      </w:r>
      <w:r w:rsidR="007944D9" w:rsidRPr="002B630E">
        <w:rPr>
          <w:rFonts w:ascii="Times New Roman" w:hAnsi="Times New Roman" w:cs="Times New Roman"/>
          <w:sz w:val="24"/>
          <w:szCs w:val="24"/>
        </w:rPr>
        <w:t xml:space="preserve">in both parts at the point of dissonance that breaches his theoretical rules. The </w:t>
      </w:r>
      <w:r w:rsidR="005E613B" w:rsidRPr="002B630E">
        <w:rPr>
          <w:rFonts w:ascii="Times New Roman" w:hAnsi="Times New Roman" w:cs="Times New Roman"/>
          <w:sz w:val="24"/>
          <w:szCs w:val="24"/>
        </w:rPr>
        <w:t xml:space="preserve">citation from </w:t>
      </w:r>
      <w:r w:rsidR="00560D33" w:rsidRPr="002B630E">
        <w:rPr>
          <w:rFonts w:ascii="Times New Roman" w:hAnsi="Times New Roman" w:cs="Times New Roman"/>
          <w:sz w:val="24"/>
          <w:szCs w:val="24"/>
        </w:rPr>
        <w:t>Busnoys</w:t>
      </w:r>
      <w:r w:rsidR="005E613B" w:rsidRPr="002B630E">
        <w:rPr>
          <w:rFonts w:ascii="Times New Roman" w:hAnsi="Times New Roman" w:cs="Times New Roman"/>
          <w:sz w:val="24"/>
          <w:szCs w:val="24"/>
        </w:rPr>
        <w:t xml:space="preserve">’ </w:t>
      </w:r>
      <w:r w:rsidR="005E613B" w:rsidRPr="002B630E">
        <w:rPr>
          <w:rFonts w:ascii="Times New Roman" w:hAnsi="Times New Roman" w:cs="Times New Roman"/>
          <w:i/>
          <w:sz w:val="24"/>
          <w:szCs w:val="24"/>
        </w:rPr>
        <w:t>Maintes femmes</w:t>
      </w:r>
      <w:r w:rsidR="007944D9" w:rsidRPr="002B630E">
        <w:rPr>
          <w:rFonts w:ascii="Times New Roman" w:hAnsi="Times New Roman" w:cs="Times New Roman"/>
          <w:sz w:val="24"/>
          <w:szCs w:val="24"/>
        </w:rPr>
        <w:t xml:space="preserve"> has a more florid upper part, and thus the inclusion of a symbol to </w:t>
      </w:r>
      <w:r w:rsidR="003F3783" w:rsidRPr="002B630E">
        <w:rPr>
          <w:rFonts w:ascii="Times New Roman" w:hAnsi="Times New Roman" w:cs="Times New Roman"/>
          <w:sz w:val="24"/>
          <w:szCs w:val="24"/>
        </w:rPr>
        <w:t xml:space="preserve">draw attention to </w:t>
      </w:r>
      <w:r w:rsidR="00D52305" w:rsidRPr="002B630E">
        <w:rPr>
          <w:rFonts w:ascii="Times New Roman" w:hAnsi="Times New Roman" w:cs="Times New Roman"/>
          <w:sz w:val="24"/>
          <w:szCs w:val="24"/>
        </w:rPr>
        <w:t>the point of dissonance would probably have been</w:t>
      </w:r>
      <w:r w:rsidR="008E15FD" w:rsidRPr="002B630E">
        <w:rPr>
          <w:rFonts w:ascii="Times New Roman" w:hAnsi="Times New Roman" w:cs="Times New Roman"/>
          <w:sz w:val="24"/>
          <w:szCs w:val="24"/>
        </w:rPr>
        <w:t xml:space="preserve"> even more helpful than in the </w:t>
      </w:r>
      <w:r w:rsidR="00A13F3A" w:rsidRPr="002B630E">
        <w:rPr>
          <w:rFonts w:ascii="Times New Roman" w:hAnsi="Times New Roman" w:cs="Times New Roman"/>
          <w:sz w:val="24"/>
          <w:szCs w:val="24"/>
        </w:rPr>
        <w:t>D</w:t>
      </w:r>
      <w:r w:rsidR="00D52305" w:rsidRPr="002B630E">
        <w:rPr>
          <w:rFonts w:ascii="Times New Roman" w:hAnsi="Times New Roman" w:cs="Times New Roman"/>
          <w:sz w:val="24"/>
          <w:szCs w:val="24"/>
        </w:rPr>
        <w:t>e Domarto citation.</w:t>
      </w:r>
      <w:r w:rsidR="00190DB8" w:rsidRPr="002B630E">
        <w:rPr>
          <w:rStyle w:val="FootnoteReference"/>
          <w:rFonts w:ascii="Times New Roman" w:hAnsi="Times New Roman" w:cs="Times New Roman"/>
          <w:sz w:val="24"/>
          <w:szCs w:val="24"/>
        </w:rPr>
        <w:footnoteReference w:id="23"/>
      </w:r>
      <w:r w:rsidR="00D52305" w:rsidRPr="002B630E">
        <w:rPr>
          <w:rFonts w:ascii="Times New Roman" w:hAnsi="Times New Roman" w:cs="Times New Roman"/>
          <w:sz w:val="24"/>
          <w:szCs w:val="24"/>
        </w:rPr>
        <w:t xml:space="preserve"> Nevertheless, music in practical sources would never have used this symbol in such a way, and I have found no other examples of this type </w:t>
      </w:r>
      <w:r w:rsidR="008650F2" w:rsidRPr="002B630E">
        <w:rPr>
          <w:rFonts w:ascii="Times New Roman" w:hAnsi="Times New Roman" w:cs="Times New Roman"/>
          <w:sz w:val="24"/>
          <w:szCs w:val="24"/>
        </w:rPr>
        <w:t xml:space="preserve">being used </w:t>
      </w:r>
      <w:r w:rsidR="005E613B" w:rsidRPr="002B630E">
        <w:rPr>
          <w:rFonts w:ascii="Times New Roman" w:hAnsi="Times New Roman" w:cs="Times New Roman"/>
          <w:sz w:val="24"/>
          <w:szCs w:val="24"/>
        </w:rPr>
        <w:t>to this effect</w:t>
      </w:r>
      <w:r w:rsidR="00D52305" w:rsidRPr="002B630E">
        <w:rPr>
          <w:rFonts w:ascii="Times New Roman" w:hAnsi="Times New Roman" w:cs="Times New Roman"/>
          <w:sz w:val="24"/>
          <w:szCs w:val="24"/>
        </w:rPr>
        <w:t xml:space="preserve"> outside of </w:t>
      </w:r>
      <w:r w:rsidR="00C83CD1" w:rsidRPr="002B630E">
        <w:rPr>
          <w:rFonts w:ascii="Times New Roman" w:hAnsi="Times New Roman" w:cs="Times New Roman"/>
          <w:sz w:val="24"/>
          <w:szCs w:val="24"/>
        </w:rPr>
        <w:t>Tinctoris’s</w:t>
      </w:r>
      <w:r w:rsidR="00D52305" w:rsidRPr="002B630E">
        <w:rPr>
          <w:rFonts w:ascii="Times New Roman" w:hAnsi="Times New Roman" w:cs="Times New Roman"/>
          <w:sz w:val="24"/>
          <w:szCs w:val="24"/>
        </w:rPr>
        <w:t xml:space="preserve"> theoretical works</w:t>
      </w:r>
      <w:r w:rsidR="001A1407" w:rsidRPr="002B630E">
        <w:rPr>
          <w:rFonts w:ascii="Times New Roman" w:hAnsi="Times New Roman" w:cs="Times New Roman"/>
          <w:sz w:val="24"/>
          <w:szCs w:val="24"/>
        </w:rPr>
        <w:t xml:space="preserve"> in the fifteenth century</w:t>
      </w:r>
      <w:r w:rsidR="00D52305" w:rsidRPr="002B630E">
        <w:rPr>
          <w:rFonts w:ascii="Times New Roman" w:hAnsi="Times New Roman" w:cs="Times New Roman"/>
          <w:sz w:val="24"/>
          <w:szCs w:val="24"/>
        </w:rPr>
        <w:t xml:space="preserve">. </w:t>
      </w:r>
      <w:r w:rsidR="00641B39" w:rsidRPr="002B630E">
        <w:rPr>
          <w:rFonts w:ascii="Times New Roman" w:hAnsi="Times New Roman" w:cs="Times New Roman"/>
          <w:sz w:val="24"/>
          <w:szCs w:val="24"/>
        </w:rPr>
        <w:t xml:space="preserve">It seems that Tinctoris made a clear decision to use </w:t>
      </w:r>
      <w:r w:rsidR="00641B39" w:rsidRPr="002B630E">
        <w:rPr>
          <w:rFonts w:ascii="Times New Roman" w:hAnsi="Times New Roman" w:cs="Times New Roman"/>
          <w:i/>
          <w:sz w:val="24"/>
          <w:szCs w:val="24"/>
        </w:rPr>
        <w:t xml:space="preserve">signa </w:t>
      </w:r>
      <w:r w:rsidR="00641B39" w:rsidRPr="002B630E">
        <w:rPr>
          <w:rFonts w:ascii="Times New Roman" w:hAnsi="Times New Roman" w:cs="Times New Roman"/>
          <w:sz w:val="24"/>
          <w:szCs w:val="24"/>
        </w:rPr>
        <w:t xml:space="preserve">to represent key theoretical moments in his examples. </w:t>
      </w:r>
      <w:r w:rsidR="00220FDE" w:rsidRPr="002B630E">
        <w:rPr>
          <w:rFonts w:ascii="Times New Roman" w:hAnsi="Times New Roman" w:cs="Times New Roman"/>
          <w:sz w:val="24"/>
          <w:szCs w:val="24"/>
        </w:rPr>
        <w:t xml:space="preserve">Although the </w:t>
      </w:r>
      <w:r w:rsidR="00220FDE" w:rsidRPr="002B630E">
        <w:rPr>
          <w:rFonts w:ascii="Times New Roman" w:hAnsi="Times New Roman" w:cs="Times New Roman"/>
          <w:i/>
          <w:sz w:val="24"/>
          <w:szCs w:val="24"/>
        </w:rPr>
        <w:t>signa</w:t>
      </w:r>
      <w:r w:rsidR="00220FDE" w:rsidRPr="002B630E">
        <w:rPr>
          <w:rFonts w:ascii="Times New Roman" w:hAnsi="Times New Roman" w:cs="Times New Roman"/>
          <w:sz w:val="24"/>
          <w:szCs w:val="24"/>
        </w:rPr>
        <w:t xml:space="preserve"> </w:t>
      </w:r>
      <w:r w:rsidR="00220FDE" w:rsidRPr="002B630E">
        <w:rPr>
          <w:rFonts w:ascii="Times New Roman" w:hAnsi="Times New Roman" w:cs="Times New Roman"/>
          <w:sz w:val="24"/>
          <w:szCs w:val="24"/>
        </w:rPr>
        <w:lastRenderedPageBreak/>
        <w:t xml:space="preserve">might be </w:t>
      </w:r>
      <w:r w:rsidR="002B5E00" w:rsidRPr="002B630E">
        <w:rPr>
          <w:rFonts w:ascii="Times New Roman" w:hAnsi="Times New Roman" w:cs="Times New Roman"/>
          <w:sz w:val="24"/>
          <w:szCs w:val="24"/>
        </w:rPr>
        <w:t xml:space="preserve">judged </w:t>
      </w:r>
      <w:r w:rsidR="00220FDE" w:rsidRPr="002B630E">
        <w:rPr>
          <w:rFonts w:ascii="Times New Roman" w:hAnsi="Times New Roman" w:cs="Times New Roman"/>
          <w:sz w:val="24"/>
          <w:szCs w:val="24"/>
        </w:rPr>
        <w:t>to introduce a small degree of ambiguity if not considered within the overall context, their function is clearly that of an asterisk rather than a technically specific musical symbol to indicate a congruent point of structural importance.</w:t>
      </w:r>
    </w:p>
    <w:p w14:paraId="5EAEE4E2" w14:textId="2A605B46" w:rsidR="00657D25" w:rsidRPr="002B630E" w:rsidRDefault="00220FDE" w:rsidP="00B95FCD">
      <w:pPr>
        <w:spacing w:line="480" w:lineRule="auto"/>
        <w:jc w:val="both"/>
        <w:rPr>
          <w:rFonts w:ascii="Times New Roman" w:hAnsi="Times New Roman" w:cs="Times New Roman"/>
          <w:sz w:val="24"/>
          <w:szCs w:val="24"/>
        </w:rPr>
      </w:pPr>
      <w:r w:rsidRPr="002B630E">
        <w:rPr>
          <w:rFonts w:ascii="Times New Roman" w:hAnsi="Times New Roman" w:cs="Times New Roman"/>
          <w:b/>
          <w:sz w:val="24"/>
          <w:szCs w:val="24"/>
        </w:rPr>
        <w:tab/>
      </w:r>
      <w:r w:rsidR="002B5E00" w:rsidRPr="002B630E">
        <w:rPr>
          <w:rFonts w:ascii="Times New Roman" w:hAnsi="Times New Roman" w:cs="Times New Roman"/>
          <w:sz w:val="24"/>
          <w:szCs w:val="24"/>
        </w:rPr>
        <w:t>Similar usage of s</w:t>
      </w:r>
      <w:r w:rsidRPr="002B630E">
        <w:rPr>
          <w:rFonts w:ascii="Times New Roman" w:hAnsi="Times New Roman" w:cs="Times New Roman"/>
          <w:sz w:val="24"/>
          <w:szCs w:val="24"/>
        </w:rPr>
        <w:t xml:space="preserve">ymbols resembling </w:t>
      </w:r>
      <w:r w:rsidRPr="002B630E">
        <w:rPr>
          <w:rFonts w:ascii="Times New Roman" w:hAnsi="Times New Roman" w:cs="Times New Roman"/>
          <w:i/>
          <w:sz w:val="24"/>
          <w:szCs w:val="24"/>
        </w:rPr>
        <w:t xml:space="preserve">signa congruentiae </w:t>
      </w:r>
      <w:r w:rsidR="002B5E00" w:rsidRPr="002B630E">
        <w:rPr>
          <w:rFonts w:ascii="Times New Roman" w:hAnsi="Times New Roman" w:cs="Times New Roman"/>
          <w:sz w:val="24"/>
          <w:szCs w:val="24"/>
        </w:rPr>
        <w:t xml:space="preserve">is </w:t>
      </w:r>
      <w:r w:rsidRPr="002B630E">
        <w:rPr>
          <w:rFonts w:ascii="Times New Roman" w:hAnsi="Times New Roman" w:cs="Times New Roman"/>
          <w:sz w:val="24"/>
          <w:szCs w:val="24"/>
        </w:rPr>
        <w:t xml:space="preserve">also to be found in the more extended polyphonic examples located towards the end of Book II and throughout Book III of </w:t>
      </w:r>
      <w:r w:rsidRPr="002B630E">
        <w:rPr>
          <w:rFonts w:ascii="Times New Roman" w:hAnsi="Times New Roman" w:cs="Times New Roman"/>
          <w:i/>
          <w:sz w:val="24"/>
          <w:szCs w:val="24"/>
        </w:rPr>
        <w:t>De arte contrapuncti</w:t>
      </w:r>
      <w:r w:rsidRPr="002B630E">
        <w:rPr>
          <w:rFonts w:ascii="Times New Roman" w:hAnsi="Times New Roman" w:cs="Times New Roman"/>
          <w:sz w:val="24"/>
          <w:szCs w:val="24"/>
        </w:rPr>
        <w:t xml:space="preserve">. </w:t>
      </w:r>
      <w:r w:rsidR="00657D25" w:rsidRPr="002B630E">
        <w:rPr>
          <w:rFonts w:ascii="Times New Roman" w:hAnsi="Times New Roman" w:cs="Times New Roman"/>
          <w:sz w:val="24"/>
          <w:szCs w:val="24"/>
        </w:rPr>
        <w:t xml:space="preserve">Despite being best known as an influential music theorist, Tinctoris was also a composer of </w:t>
      </w:r>
      <w:r w:rsidRPr="002B630E">
        <w:rPr>
          <w:rFonts w:ascii="Times New Roman" w:hAnsi="Times New Roman" w:cs="Times New Roman"/>
          <w:sz w:val="24"/>
          <w:szCs w:val="24"/>
        </w:rPr>
        <w:t>modest distinction</w:t>
      </w:r>
      <w:r w:rsidR="00657D25" w:rsidRPr="002B630E">
        <w:rPr>
          <w:rFonts w:ascii="Times New Roman" w:hAnsi="Times New Roman" w:cs="Times New Roman"/>
          <w:sz w:val="24"/>
          <w:szCs w:val="24"/>
        </w:rPr>
        <w:t xml:space="preserve">, though </w:t>
      </w:r>
      <w:r w:rsidR="00190DB8" w:rsidRPr="002B630E">
        <w:rPr>
          <w:rFonts w:ascii="Times New Roman" w:hAnsi="Times New Roman" w:cs="Times New Roman"/>
          <w:sz w:val="24"/>
          <w:szCs w:val="24"/>
        </w:rPr>
        <w:t xml:space="preserve">discussions of this aspect of his output </w:t>
      </w:r>
      <w:r w:rsidR="00FB53F5">
        <w:rPr>
          <w:rFonts w:ascii="Times New Roman" w:hAnsi="Times New Roman" w:cs="Times New Roman"/>
          <w:sz w:val="24"/>
          <w:szCs w:val="24"/>
        </w:rPr>
        <w:t>often only occupy</w:t>
      </w:r>
      <w:r w:rsidR="00FB53F5" w:rsidRPr="002B630E">
        <w:rPr>
          <w:rFonts w:ascii="Times New Roman" w:hAnsi="Times New Roman" w:cs="Times New Roman"/>
          <w:sz w:val="24"/>
          <w:szCs w:val="24"/>
        </w:rPr>
        <w:t xml:space="preserve"> </w:t>
      </w:r>
      <w:r w:rsidR="00190DB8" w:rsidRPr="002B630E">
        <w:rPr>
          <w:rFonts w:ascii="Times New Roman" w:hAnsi="Times New Roman" w:cs="Times New Roman"/>
          <w:sz w:val="24"/>
          <w:szCs w:val="24"/>
        </w:rPr>
        <w:t>a passing remark in musicological literature.</w:t>
      </w:r>
      <w:r w:rsidR="005E613B" w:rsidRPr="002B630E">
        <w:rPr>
          <w:rStyle w:val="FootnoteReference"/>
          <w:rFonts w:ascii="Times New Roman" w:hAnsi="Times New Roman" w:cs="Times New Roman"/>
          <w:sz w:val="24"/>
          <w:szCs w:val="24"/>
        </w:rPr>
        <w:footnoteReference w:id="24"/>
      </w:r>
      <w:r w:rsidR="00657D25" w:rsidRPr="002B630E">
        <w:rPr>
          <w:rFonts w:ascii="Times New Roman" w:hAnsi="Times New Roman" w:cs="Times New Roman"/>
          <w:sz w:val="24"/>
          <w:szCs w:val="24"/>
        </w:rPr>
        <w:t xml:space="preserve"> Perhaps the best demonstrations of his compositional skills are the short musical examples composed to demonstrate particular theoretical points</w:t>
      </w:r>
      <w:r w:rsidR="00527A9F" w:rsidRPr="002B630E">
        <w:rPr>
          <w:rFonts w:ascii="Times New Roman" w:hAnsi="Times New Roman" w:cs="Times New Roman"/>
          <w:sz w:val="24"/>
          <w:szCs w:val="24"/>
        </w:rPr>
        <w:t>.</w:t>
      </w:r>
      <w:r w:rsidR="00527A9F" w:rsidRPr="002B630E">
        <w:rPr>
          <w:rStyle w:val="FootnoteReference"/>
          <w:rFonts w:ascii="Times New Roman" w:hAnsi="Times New Roman" w:cs="Times New Roman"/>
          <w:sz w:val="24"/>
          <w:szCs w:val="24"/>
        </w:rPr>
        <w:footnoteReference w:id="25"/>
      </w:r>
      <w:r w:rsidR="00527A9F" w:rsidRPr="002B630E">
        <w:rPr>
          <w:rFonts w:ascii="Times New Roman" w:hAnsi="Times New Roman" w:cs="Times New Roman"/>
          <w:sz w:val="24"/>
          <w:szCs w:val="24"/>
        </w:rPr>
        <w:t xml:space="preserve"> </w:t>
      </w:r>
      <w:r w:rsidR="00657D25" w:rsidRPr="002B630E">
        <w:rPr>
          <w:rFonts w:ascii="Times New Roman" w:hAnsi="Times New Roman" w:cs="Times New Roman"/>
          <w:sz w:val="24"/>
          <w:szCs w:val="24"/>
        </w:rPr>
        <w:t xml:space="preserve">Indeed, it is in this type of example that symbols resembling </w:t>
      </w:r>
      <w:r w:rsidR="00657D25" w:rsidRPr="002B630E">
        <w:rPr>
          <w:rFonts w:ascii="Times New Roman" w:hAnsi="Times New Roman" w:cs="Times New Roman"/>
          <w:i/>
          <w:sz w:val="24"/>
          <w:szCs w:val="24"/>
        </w:rPr>
        <w:t>signa congruentiae</w:t>
      </w:r>
      <w:r w:rsidR="00657D25" w:rsidRPr="002B630E">
        <w:rPr>
          <w:rFonts w:ascii="Times New Roman" w:hAnsi="Times New Roman" w:cs="Times New Roman"/>
          <w:sz w:val="24"/>
          <w:szCs w:val="24"/>
        </w:rPr>
        <w:t xml:space="preserve"> </w:t>
      </w:r>
      <w:r w:rsidR="00534F4B">
        <w:rPr>
          <w:rFonts w:ascii="Times New Roman" w:hAnsi="Times New Roman" w:cs="Times New Roman"/>
          <w:sz w:val="24"/>
          <w:szCs w:val="24"/>
        </w:rPr>
        <w:t xml:space="preserve">may </w:t>
      </w:r>
      <w:r w:rsidR="002B5E00" w:rsidRPr="002B630E">
        <w:rPr>
          <w:rFonts w:ascii="Times New Roman" w:hAnsi="Times New Roman" w:cs="Times New Roman"/>
          <w:sz w:val="24"/>
          <w:szCs w:val="24"/>
        </w:rPr>
        <w:t>have the most profound effect upon the text–example relationship.</w:t>
      </w:r>
      <w:r w:rsidR="00535F00" w:rsidRPr="002B630E">
        <w:rPr>
          <w:rFonts w:ascii="Times New Roman" w:hAnsi="Times New Roman" w:cs="Times New Roman"/>
          <w:sz w:val="24"/>
          <w:szCs w:val="24"/>
        </w:rPr>
        <w:t xml:space="preserve"> </w:t>
      </w:r>
    </w:p>
    <w:p w14:paraId="768F8DBC" w14:textId="5A8A6B57" w:rsidR="00F16D80" w:rsidRPr="002B630E" w:rsidRDefault="00F16D80"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t>The first newly composed extended polyphonic miniature</w:t>
      </w:r>
      <w:r w:rsidR="002A59DC" w:rsidRPr="002B630E">
        <w:rPr>
          <w:rStyle w:val="FootnoteReference"/>
          <w:rFonts w:ascii="Times New Roman" w:hAnsi="Times New Roman" w:cs="Times New Roman"/>
          <w:sz w:val="24"/>
          <w:szCs w:val="24"/>
        </w:rPr>
        <w:footnoteReference w:id="26"/>
      </w:r>
      <w:r w:rsidRPr="002B630E">
        <w:rPr>
          <w:rFonts w:ascii="Times New Roman" w:hAnsi="Times New Roman" w:cs="Times New Roman"/>
          <w:sz w:val="24"/>
          <w:szCs w:val="24"/>
        </w:rPr>
        <w:t xml:space="preserve"> to </w:t>
      </w:r>
      <w:r w:rsidR="00527A9F" w:rsidRPr="002B630E">
        <w:rPr>
          <w:rFonts w:ascii="Times New Roman" w:hAnsi="Times New Roman" w:cs="Times New Roman"/>
          <w:sz w:val="24"/>
          <w:szCs w:val="24"/>
        </w:rPr>
        <w:t xml:space="preserve">use </w:t>
      </w:r>
      <w:r w:rsidR="00527A9F" w:rsidRPr="002B630E">
        <w:rPr>
          <w:rFonts w:ascii="Times New Roman" w:hAnsi="Times New Roman" w:cs="Times New Roman"/>
          <w:i/>
          <w:sz w:val="24"/>
          <w:szCs w:val="24"/>
        </w:rPr>
        <w:t>signa congruentiae</w:t>
      </w:r>
      <w:r w:rsidR="00527A9F" w:rsidRPr="002B630E">
        <w:rPr>
          <w:rFonts w:ascii="Times New Roman" w:hAnsi="Times New Roman" w:cs="Times New Roman"/>
          <w:sz w:val="24"/>
          <w:szCs w:val="24"/>
        </w:rPr>
        <w:t xml:space="preserve"> in an unusual fashion is</w:t>
      </w:r>
      <w:r w:rsidR="00962304" w:rsidRPr="002B630E">
        <w:rPr>
          <w:rFonts w:ascii="Times New Roman" w:hAnsi="Times New Roman" w:cs="Times New Roman"/>
          <w:sz w:val="24"/>
          <w:szCs w:val="24"/>
        </w:rPr>
        <w:t xml:space="preserve"> found in II</w:t>
      </w:r>
      <w:r w:rsidR="00C331C4" w:rsidRPr="002B630E">
        <w:rPr>
          <w:rFonts w:ascii="Times New Roman" w:hAnsi="Times New Roman" w:cs="Times New Roman"/>
          <w:sz w:val="24"/>
          <w:szCs w:val="24"/>
        </w:rPr>
        <w:t>.xxxiv</w:t>
      </w:r>
      <w:r w:rsidRPr="002B630E">
        <w:rPr>
          <w:rFonts w:ascii="Times New Roman" w:hAnsi="Times New Roman" w:cs="Times New Roman"/>
          <w:sz w:val="24"/>
          <w:szCs w:val="24"/>
        </w:rPr>
        <w:t xml:space="preserve">, a chapter </w:t>
      </w:r>
      <w:r w:rsidR="00982058" w:rsidRPr="002B630E">
        <w:rPr>
          <w:rFonts w:ascii="Times New Roman" w:hAnsi="Times New Roman" w:cs="Times New Roman"/>
          <w:sz w:val="24"/>
          <w:szCs w:val="24"/>
        </w:rPr>
        <w:t xml:space="preserve">which </w:t>
      </w:r>
      <w:r w:rsidRPr="002B630E">
        <w:rPr>
          <w:rFonts w:ascii="Times New Roman" w:hAnsi="Times New Roman" w:cs="Times New Roman"/>
          <w:sz w:val="24"/>
          <w:szCs w:val="24"/>
        </w:rPr>
        <w:t xml:space="preserve">has received much discussion in </w:t>
      </w:r>
      <w:r w:rsidRPr="002B630E">
        <w:rPr>
          <w:rFonts w:ascii="Times New Roman" w:hAnsi="Times New Roman" w:cs="Times New Roman"/>
          <w:sz w:val="24"/>
          <w:szCs w:val="24"/>
        </w:rPr>
        <w:lastRenderedPageBreak/>
        <w:t xml:space="preserve">recent musicological literature. </w:t>
      </w:r>
      <w:r w:rsidR="002A59DC" w:rsidRPr="002B630E">
        <w:rPr>
          <w:rFonts w:ascii="Times New Roman" w:hAnsi="Times New Roman" w:cs="Times New Roman"/>
          <w:sz w:val="24"/>
          <w:szCs w:val="24"/>
        </w:rPr>
        <w:t>This example (Figure 4) accompanies a theoretical point that discusses issues surrounding false relations specifically caused by sharpening one note in a polyphonic texture, rendering a perfect consonance “imperfect” (diminished) or “superfluous” (augmented) by virtue of such alteration</w:t>
      </w:r>
      <w:r w:rsidRPr="002B630E">
        <w:rPr>
          <w:rFonts w:ascii="Times New Roman" w:hAnsi="Times New Roman" w:cs="Times New Roman"/>
          <w:sz w:val="24"/>
          <w:szCs w:val="24"/>
        </w:rPr>
        <w:t>.</w:t>
      </w:r>
      <w:r w:rsidR="00200D25" w:rsidRPr="002B630E">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15"/>
        <w:gridCol w:w="4511"/>
      </w:tblGrid>
      <w:tr w:rsidR="00F16D80" w:rsidRPr="002B630E" w14:paraId="3F1F83FD" w14:textId="77777777" w:rsidTr="00647F1A">
        <w:tc>
          <w:tcPr>
            <w:tcW w:w="4621" w:type="dxa"/>
          </w:tcPr>
          <w:p w14:paraId="7C3D6B1E" w14:textId="77777777" w:rsidR="00F16D80" w:rsidRPr="002B630E" w:rsidRDefault="00F16D80"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Concordantie vero perfecte quae per semitonium cromaticum, hoc est per sustentionem, aut imperfecte aut superflue efficiuntur, etiam sunt evitande. Licet et his uti supra totam aut dimidiam aut maiorem partem note mensuram dirigentis, et perfectionem immediate precedentis, omnes fere compositores in compositione trium aut plurium partium, ut hic sequitur, expertus sim:</w:t>
            </w:r>
            <w:r w:rsidRPr="002B630E">
              <w:rPr>
                <w:rStyle w:val="FootnoteReference"/>
                <w:rFonts w:ascii="Times New Roman" w:hAnsi="Times New Roman" w:cs="Times New Roman"/>
                <w:sz w:val="24"/>
                <w:szCs w:val="24"/>
              </w:rPr>
              <w:footnoteReference w:id="27"/>
            </w:r>
          </w:p>
        </w:tc>
        <w:tc>
          <w:tcPr>
            <w:tcW w:w="4621" w:type="dxa"/>
          </w:tcPr>
          <w:p w14:paraId="5B43479F" w14:textId="77777777" w:rsidR="00F16D80" w:rsidRPr="002B630E" w:rsidRDefault="00F16D80"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Indeed, perfect concords which are made imperfect or superfluous by a chromatic semitone, that is, by alteration, must be avoided, although I am aware that almost all composers use above all or half or a larger part of the note defining the measure and immediately preceding a perfection in a composition of three or many voices, as follows here:</w:t>
            </w:r>
          </w:p>
        </w:tc>
      </w:tr>
    </w:tbl>
    <w:p w14:paraId="1848CF2C" w14:textId="2786E010" w:rsidR="00F16D80" w:rsidRDefault="00C83CD1"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Tinctoris’s</w:t>
      </w:r>
      <w:r w:rsidR="00C907EB" w:rsidRPr="002B630E">
        <w:rPr>
          <w:rFonts w:ascii="Times New Roman" w:hAnsi="Times New Roman" w:cs="Times New Roman"/>
          <w:sz w:val="24"/>
          <w:szCs w:val="24"/>
        </w:rPr>
        <w:t xml:space="preserve"> text here centres on the widening and narrowing of perfect concords, describing the altered intervals as ‘imperfecte’ [imperfecting i.e. making the concord narrower] and ‘superflue’ [making the concord superfluous i.e. widening the concord]. Although stating that this practice should be avoided, </w:t>
      </w:r>
      <w:r w:rsidR="00982058" w:rsidRPr="002B630E">
        <w:rPr>
          <w:rFonts w:ascii="Times New Roman" w:hAnsi="Times New Roman" w:cs="Times New Roman"/>
          <w:sz w:val="24"/>
          <w:szCs w:val="24"/>
        </w:rPr>
        <w:t xml:space="preserve">he </w:t>
      </w:r>
      <w:r w:rsidR="00C907EB" w:rsidRPr="002B630E">
        <w:rPr>
          <w:rFonts w:ascii="Times New Roman" w:hAnsi="Times New Roman" w:cs="Times New Roman"/>
          <w:sz w:val="24"/>
          <w:szCs w:val="24"/>
        </w:rPr>
        <w:t>concedes that this is an accepted practice</w:t>
      </w:r>
      <w:r w:rsidR="00982058" w:rsidRPr="002B630E">
        <w:rPr>
          <w:rFonts w:ascii="Times New Roman" w:hAnsi="Times New Roman" w:cs="Times New Roman"/>
          <w:sz w:val="24"/>
          <w:szCs w:val="24"/>
        </w:rPr>
        <w:t xml:space="preserve"> for many composers</w:t>
      </w:r>
      <w:r w:rsidR="00C907EB" w:rsidRPr="002B630E">
        <w:rPr>
          <w:rFonts w:ascii="Times New Roman" w:hAnsi="Times New Roman" w:cs="Times New Roman"/>
          <w:sz w:val="24"/>
          <w:szCs w:val="24"/>
        </w:rPr>
        <w:t xml:space="preserve">, and thus he provides a rare demonstration of </w:t>
      </w:r>
      <w:r w:rsidR="00982058" w:rsidRPr="002B630E">
        <w:rPr>
          <w:rFonts w:ascii="Times New Roman" w:hAnsi="Times New Roman" w:cs="Times New Roman"/>
          <w:sz w:val="24"/>
          <w:szCs w:val="24"/>
        </w:rPr>
        <w:t>‘</w:t>
      </w:r>
      <w:r w:rsidR="00C907EB" w:rsidRPr="002B630E">
        <w:rPr>
          <w:rFonts w:ascii="Times New Roman" w:hAnsi="Times New Roman" w:cs="Times New Roman"/>
          <w:sz w:val="24"/>
          <w:szCs w:val="24"/>
        </w:rPr>
        <w:t>bad</w:t>
      </w:r>
      <w:r w:rsidR="00982058" w:rsidRPr="002B630E">
        <w:rPr>
          <w:rFonts w:ascii="Times New Roman" w:hAnsi="Times New Roman" w:cs="Times New Roman"/>
          <w:sz w:val="24"/>
          <w:szCs w:val="24"/>
        </w:rPr>
        <w:t>’</w:t>
      </w:r>
      <w:r w:rsidR="00C907EB" w:rsidRPr="002B630E">
        <w:rPr>
          <w:rFonts w:ascii="Times New Roman" w:hAnsi="Times New Roman" w:cs="Times New Roman"/>
          <w:sz w:val="24"/>
          <w:szCs w:val="24"/>
        </w:rPr>
        <w:t xml:space="preserve"> practice through one of his own miniature compositions</w:t>
      </w:r>
      <w:r w:rsidR="003A6905" w:rsidRPr="002B630E">
        <w:rPr>
          <w:rFonts w:ascii="Times New Roman" w:hAnsi="Times New Roman" w:cs="Times New Roman"/>
          <w:sz w:val="24"/>
          <w:szCs w:val="24"/>
        </w:rPr>
        <w:t xml:space="preserve"> (Figure 4)</w:t>
      </w:r>
      <w:r w:rsidR="00C907EB" w:rsidRPr="002B630E">
        <w:rPr>
          <w:rFonts w:ascii="Times New Roman" w:hAnsi="Times New Roman" w:cs="Times New Roman"/>
          <w:sz w:val="24"/>
          <w:szCs w:val="24"/>
        </w:rPr>
        <w:t>.</w:t>
      </w:r>
      <w:r w:rsidR="00527A9F" w:rsidRPr="002B630E">
        <w:rPr>
          <w:rStyle w:val="FootnoteReference"/>
          <w:rFonts w:ascii="Times New Roman" w:hAnsi="Times New Roman" w:cs="Times New Roman"/>
          <w:sz w:val="24"/>
          <w:szCs w:val="24"/>
        </w:rPr>
        <w:footnoteReference w:id="28"/>
      </w:r>
      <w:r w:rsidR="00527A9F" w:rsidRPr="002B630E">
        <w:rPr>
          <w:rFonts w:ascii="Times New Roman" w:hAnsi="Times New Roman" w:cs="Times New Roman"/>
          <w:sz w:val="24"/>
          <w:szCs w:val="24"/>
        </w:rPr>
        <w:t xml:space="preserve"> </w:t>
      </w:r>
      <w:r w:rsidR="002A59DC" w:rsidRPr="002B630E">
        <w:rPr>
          <w:rFonts w:ascii="Times New Roman" w:hAnsi="Times New Roman" w:cs="Times New Roman"/>
          <w:sz w:val="24"/>
          <w:szCs w:val="24"/>
        </w:rPr>
        <w:t xml:space="preserve">Given that discussions of naturally false perfect concords </w:t>
      </w:r>
      <w:r w:rsidR="002A59DC" w:rsidRPr="002B630E">
        <w:rPr>
          <w:rFonts w:ascii="Times New Roman" w:hAnsi="Times New Roman" w:cs="Times New Roman"/>
          <w:sz w:val="24"/>
          <w:szCs w:val="24"/>
        </w:rPr>
        <w:lastRenderedPageBreak/>
        <w:t xml:space="preserve">(including those created by flattening one note) are found in II.x–xvi and those created by sharpening in II.xvii, Tinctoris does not identify explicitly the false perfect concords here. He does, however, provide specific details to the placement and qualities of such concords, noting that these are often placed immediately before a cadence in compositions of three (or more) voices, and that the duration of such dissonances (in relation to the </w:t>
      </w:r>
      <w:r w:rsidR="002A59DC" w:rsidRPr="002B630E">
        <w:rPr>
          <w:rFonts w:ascii="Times New Roman" w:hAnsi="Times New Roman" w:cs="Times New Roman"/>
          <w:i/>
          <w:sz w:val="24"/>
          <w:szCs w:val="24"/>
        </w:rPr>
        <w:t>mensura</w:t>
      </w:r>
      <w:r w:rsidR="002A59DC" w:rsidRPr="002B630E">
        <w:rPr>
          <w:rFonts w:ascii="Times New Roman" w:hAnsi="Times New Roman" w:cs="Times New Roman"/>
          <w:sz w:val="24"/>
          <w:szCs w:val="24"/>
        </w:rPr>
        <w:t>)</w:t>
      </w:r>
      <w:r w:rsidR="002A59DC" w:rsidRPr="002B630E">
        <w:rPr>
          <w:rFonts w:ascii="Times New Roman" w:hAnsi="Times New Roman" w:cs="Times New Roman"/>
          <w:i/>
          <w:sz w:val="24"/>
          <w:szCs w:val="24"/>
        </w:rPr>
        <w:t xml:space="preserve"> </w:t>
      </w:r>
      <w:r w:rsidR="002A59DC" w:rsidRPr="002B630E">
        <w:rPr>
          <w:rFonts w:ascii="Times New Roman" w:hAnsi="Times New Roman" w:cs="Times New Roman"/>
          <w:sz w:val="24"/>
          <w:szCs w:val="24"/>
        </w:rPr>
        <w:t>as extending beyond that which he feels is proper in counterpoint.</w:t>
      </w:r>
    </w:p>
    <w:p w14:paraId="7C4E94DC" w14:textId="248E45ED" w:rsidR="001F7BC3" w:rsidRPr="002C60EF" w:rsidRDefault="002C60EF" w:rsidP="001F7BC3">
      <w:pPr>
        <w:spacing w:line="480" w:lineRule="auto"/>
        <w:jc w:val="center"/>
        <w:rPr>
          <w:rFonts w:ascii="Times New Roman" w:hAnsi="Times New Roman" w:cs="Times New Roman"/>
          <w:sz w:val="24"/>
          <w:szCs w:val="24"/>
        </w:rPr>
      </w:pPr>
      <w:r w:rsidRPr="002C60EF">
        <w:rPr>
          <w:rFonts w:ascii="Times New Roman" w:hAnsi="Times New Roman" w:cs="Times New Roman"/>
          <w:noProof/>
          <w:sz w:val="24"/>
          <w:szCs w:val="24"/>
          <w:lang w:eastAsia="en-GB"/>
        </w:rPr>
        <w:t>[FIG 4A HERE]</w:t>
      </w:r>
    </w:p>
    <w:p w14:paraId="515A0EE7" w14:textId="391FEC1D" w:rsidR="001F7BC3" w:rsidRPr="002B630E" w:rsidRDefault="001F7BC3" w:rsidP="00B95FC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4a. </w:t>
      </w:r>
      <w:r w:rsidRPr="002B630E">
        <w:rPr>
          <w:rFonts w:ascii="Times New Roman" w:hAnsi="Times New Roman" w:cs="Times New Roman"/>
          <w:sz w:val="24"/>
        </w:rPr>
        <w:t xml:space="preserve">Tinctoris, </w:t>
      </w:r>
      <w:r w:rsidRPr="002B630E">
        <w:rPr>
          <w:rFonts w:ascii="Times New Roman" w:hAnsi="Times New Roman" w:cs="Times New Roman"/>
          <w:i/>
          <w:sz w:val="24"/>
        </w:rPr>
        <w:t>De contr.</w:t>
      </w:r>
      <w:r w:rsidRPr="002B630E">
        <w:rPr>
          <w:rFonts w:ascii="Times New Roman" w:hAnsi="Times New Roman" w:cs="Times New Roman"/>
          <w:sz w:val="24"/>
        </w:rPr>
        <w:t>, II.xxxiv, fol. 139</w:t>
      </w:r>
      <w:r w:rsidRPr="002B630E">
        <w:rPr>
          <w:rFonts w:ascii="Times New Roman" w:hAnsi="Times New Roman" w:cs="Times New Roman"/>
          <w:sz w:val="24"/>
          <w:vertAlign w:val="superscript"/>
        </w:rPr>
        <w:t>r</w:t>
      </w:r>
      <w:r>
        <w:rPr>
          <w:rFonts w:ascii="Times New Roman" w:hAnsi="Times New Roman" w:cs="Times New Roman"/>
          <w:sz w:val="24"/>
        </w:rPr>
        <w:t xml:space="preserve"> - 'O Deus princeps celorum'. Reproduced with kind </w:t>
      </w:r>
      <w:r w:rsidRPr="001F7BC3">
        <w:rPr>
          <w:rFonts w:ascii="Times New Roman" w:hAnsi="Times New Roman" w:cs="Times New Roman"/>
          <w:sz w:val="24"/>
        </w:rPr>
        <w:t>permission of the Universitat de València, Biblioteca Històrica.</w:t>
      </w:r>
    </w:p>
    <w:p w14:paraId="48CED08E" w14:textId="0E5DDF2F" w:rsidR="00F12966" w:rsidRPr="002B630E" w:rsidRDefault="00567CDD" w:rsidP="00F12966">
      <w:pPr>
        <w:keepNext/>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75359D2" wp14:editId="0E8B4659">
                <wp:simplePos x="0" y="0"/>
                <wp:positionH relativeFrom="column">
                  <wp:posOffset>4982901</wp:posOffset>
                </wp:positionH>
                <wp:positionV relativeFrom="paragraph">
                  <wp:posOffset>3744410</wp:posOffset>
                </wp:positionV>
                <wp:extent cx="144684" cy="109960"/>
                <wp:effectExtent l="0" t="0" r="8255" b="4445"/>
                <wp:wrapNone/>
                <wp:docPr id="14" name="Rectangle 14"/>
                <wp:cNvGraphicFramePr/>
                <a:graphic xmlns:a="http://schemas.openxmlformats.org/drawingml/2006/main">
                  <a:graphicData uri="http://schemas.microsoft.com/office/word/2010/wordprocessingShape">
                    <wps:wsp>
                      <wps:cNvSpPr/>
                      <wps:spPr>
                        <a:xfrm>
                          <a:off x="0" y="0"/>
                          <a:ext cx="144684" cy="1099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17079" id="Rectangle 14" o:spid="_x0000_s1026" style="position:absolute;margin-left:392.35pt;margin-top:294.85pt;width:11.4pt;height: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" fillcolor="white [3212]" stroked="f" strokeweight="2pt"/>
            </w:pict>
          </mc:Fallback>
        </mc:AlternateContent>
      </w:r>
      <w:r w:rsidR="002C60EF">
        <w:rPr>
          <w:rFonts w:ascii="Times New Roman" w:hAnsi="Times New Roman" w:cs="Times New Roman"/>
          <w:sz w:val="24"/>
          <w:szCs w:val="24"/>
        </w:rPr>
        <w:t>[FIG 4B HERE]</w:t>
      </w:r>
    </w:p>
    <w:p w14:paraId="4123BEC3" w14:textId="40307273" w:rsidR="00F12966" w:rsidRPr="002B630E" w:rsidRDefault="00F12966" w:rsidP="00E03A60">
      <w:pPr>
        <w:spacing w:line="480" w:lineRule="auto"/>
        <w:rPr>
          <w:rFonts w:ascii="Times New Roman" w:hAnsi="Times New Roman" w:cs="Times New Roman"/>
          <w:sz w:val="24"/>
        </w:rPr>
      </w:pPr>
      <w:r w:rsidRPr="002B630E">
        <w:rPr>
          <w:rFonts w:ascii="Times New Roman" w:hAnsi="Times New Roman" w:cs="Times New Roman"/>
          <w:sz w:val="24"/>
        </w:rPr>
        <w:t>Figure 4</w:t>
      </w:r>
      <w:r w:rsidR="001F7BC3">
        <w:rPr>
          <w:rFonts w:ascii="Times New Roman" w:hAnsi="Times New Roman" w:cs="Times New Roman"/>
          <w:sz w:val="24"/>
        </w:rPr>
        <w:t>b</w:t>
      </w:r>
      <w:r w:rsidRPr="002B630E">
        <w:rPr>
          <w:rFonts w:ascii="Times New Roman" w:hAnsi="Times New Roman" w:cs="Times New Roman"/>
          <w:sz w:val="24"/>
        </w:rPr>
        <w:t xml:space="preserve">. Transcription of 'O Deus princeps celorum' from Tinctoris, </w:t>
      </w:r>
      <w:r w:rsidRPr="002B630E">
        <w:rPr>
          <w:rFonts w:ascii="Times New Roman" w:hAnsi="Times New Roman" w:cs="Times New Roman"/>
          <w:i/>
          <w:sz w:val="24"/>
        </w:rPr>
        <w:t>De contr.</w:t>
      </w:r>
      <w:r w:rsidRPr="002B630E">
        <w:rPr>
          <w:rFonts w:ascii="Times New Roman" w:hAnsi="Times New Roman" w:cs="Times New Roman"/>
          <w:sz w:val="24"/>
        </w:rPr>
        <w:t>, II.xxxiv, fol. 139</w:t>
      </w:r>
      <w:r w:rsidRPr="002B630E">
        <w:rPr>
          <w:rFonts w:ascii="Times New Roman" w:hAnsi="Times New Roman" w:cs="Times New Roman"/>
          <w:sz w:val="24"/>
          <w:vertAlign w:val="superscript"/>
        </w:rPr>
        <w:t>r</w:t>
      </w:r>
      <w:r w:rsidRPr="002B630E">
        <w:rPr>
          <w:rFonts w:ascii="Times New Roman" w:hAnsi="Times New Roman" w:cs="Times New Roman"/>
          <w:sz w:val="24"/>
        </w:rPr>
        <w:t>.</w:t>
      </w:r>
    </w:p>
    <w:p w14:paraId="0BB9B4ED" w14:textId="77777777" w:rsidR="003A6905" w:rsidRPr="002B630E" w:rsidRDefault="003A6905" w:rsidP="00B95FCD">
      <w:pPr>
        <w:spacing w:line="480" w:lineRule="auto"/>
        <w:jc w:val="both"/>
        <w:rPr>
          <w:rFonts w:ascii="Times New Roman" w:hAnsi="Times New Roman" w:cs="Times New Roman"/>
          <w:sz w:val="24"/>
          <w:szCs w:val="24"/>
        </w:rPr>
      </w:pPr>
    </w:p>
    <w:p w14:paraId="3C40856E" w14:textId="162B9367" w:rsidR="00B5154A" w:rsidRPr="002B630E" w:rsidRDefault="002A59DC"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Figure</w:t>
      </w:r>
      <w:r w:rsidR="00D32D97">
        <w:rPr>
          <w:rFonts w:ascii="Times New Roman" w:hAnsi="Times New Roman" w:cs="Times New Roman"/>
          <w:sz w:val="24"/>
          <w:szCs w:val="24"/>
        </w:rPr>
        <w:t>s</w:t>
      </w:r>
      <w:r w:rsidRPr="002B630E">
        <w:rPr>
          <w:rFonts w:ascii="Times New Roman" w:hAnsi="Times New Roman" w:cs="Times New Roman"/>
          <w:sz w:val="24"/>
          <w:szCs w:val="24"/>
        </w:rPr>
        <w:t xml:space="preserve"> 4</w:t>
      </w:r>
      <w:r w:rsidR="00D32D97">
        <w:rPr>
          <w:rFonts w:ascii="Times New Roman" w:hAnsi="Times New Roman" w:cs="Times New Roman"/>
          <w:sz w:val="24"/>
          <w:szCs w:val="24"/>
        </w:rPr>
        <w:t>a and 4b show</w:t>
      </w:r>
      <w:r w:rsidRPr="002B630E">
        <w:rPr>
          <w:rFonts w:ascii="Times New Roman" w:hAnsi="Times New Roman" w:cs="Times New Roman"/>
          <w:sz w:val="24"/>
          <w:szCs w:val="24"/>
        </w:rPr>
        <w:t xml:space="preserve"> two instances of the type of chromatic alteration of perfect concords discussed in the text, both of which make use of </w:t>
      </w:r>
      <w:r w:rsidRPr="002B630E">
        <w:rPr>
          <w:rFonts w:ascii="Times New Roman" w:hAnsi="Times New Roman" w:cs="Times New Roman"/>
          <w:i/>
          <w:sz w:val="24"/>
          <w:szCs w:val="24"/>
        </w:rPr>
        <w:t>signa congruentiae</w:t>
      </w:r>
      <w:r w:rsidR="00A6593F">
        <w:rPr>
          <w:rFonts w:ascii="Times New Roman" w:hAnsi="Times New Roman" w:cs="Times New Roman"/>
          <w:i/>
          <w:sz w:val="24"/>
          <w:szCs w:val="24"/>
        </w:rPr>
        <w:t xml:space="preserve"> </w:t>
      </w:r>
      <w:r w:rsidR="00A6593F">
        <w:rPr>
          <w:rFonts w:ascii="Times New Roman" w:hAnsi="Times New Roman" w:cs="Times New Roman"/>
          <w:sz w:val="24"/>
          <w:szCs w:val="24"/>
        </w:rPr>
        <w:t xml:space="preserve">in </w:t>
      </w:r>
      <w:r w:rsidR="00A6593F">
        <w:rPr>
          <w:rFonts w:ascii="Times New Roman" w:hAnsi="Times New Roman" w:cs="Times New Roman"/>
          <w:b/>
          <w:sz w:val="24"/>
          <w:szCs w:val="24"/>
        </w:rPr>
        <w:t xml:space="preserve">V </w:t>
      </w:r>
      <w:r w:rsidR="00A6593F">
        <w:rPr>
          <w:rFonts w:ascii="Times New Roman" w:hAnsi="Times New Roman" w:cs="Times New Roman"/>
          <w:sz w:val="24"/>
          <w:szCs w:val="24"/>
        </w:rPr>
        <w:t xml:space="preserve">and </w:t>
      </w:r>
      <w:r w:rsidR="00A6593F">
        <w:rPr>
          <w:rFonts w:ascii="Times New Roman" w:hAnsi="Times New Roman" w:cs="Times New Roman"/>
          <w:b/>
          <w:sz w:val="24"/>
          <w:szCs w:val="24"/>
        </w:rPr>
        <w:t>BU</w:t>
      </w:r>
      <w:r w:rsidR="00A6593F">
        <w:rPr>
          <w:rFonts w:ascii="Times New Roman" w:hAnsi="Times New Roman" w:cs="Times New Roman"/>
          <w:sz w:val="24"/>
          <w:szCs w:val="24"/>
        </w:rPr>
        <w:t xml:space="preserve">, but not in </w:t>
      </w:r>
      <w:r w:rsidR="00A6593F">
        <w:rPr>
          <w:rFonts w:ascii="Times New Roman" w:hAnsi="Times New Roman" w:cs="Times New Roman"/>
          <w:b/>
          <w:sz w:val="24"/>
          <w:szCs w:val="24"/>
        </w:rPr>
        <w:t>Br1</w:t>
      </w:r>
      <w:r w:rsidRPr="002B630E">
        <w:rPr>
          <w:rFonts w:ascii="Times New Roman" w:hAnsi="Times New Roman" w:cs="Times New Roman"/>
          <w:sz w:val="24"/>
          <w:szCs w:val="24"/>
        </w:rPr>
        <w:t>. The first chromatically altered perfect concord is found between the seventh note of the Contratenor and the sixth note of the Discantus (highlighted with</w:t>
      </w:r>
      <w:r w:rsidR="009516C3" w:rsidRPr="002B630E">
        <w:rPr>
          <w:rFonts w:ascii="Times New Roman" w:hAnsi="Times New Roman" w:cs="Times New Roman"/>
          <w:noProof/>
          <w:sz w:val="24"/>
          <w:szCs w:val="24"/>
          <w:lang w:eastAsia="en-GB"/>
        </w:rPr>
        <w:drawing>
          <wp:inline distT="0" distB="0" distL="0" distR="0" wp14:anchorId="14C1E6D2" wp14:editId="6DC0C3A7">
            <wp:extent cx="140730" cy="144000"/>
            <wp:effectExtent l="0" t="0" r="1206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730" cy="144000"/>
                    </a:xfrm>
                    <a:prstGeom prst="rect">
                      <a:avLst/>
                    </a:prstGeom>
                    <a:noFill/>
                    <a:ln>
                      <a:noFill/>
                    </a:ln>
                  </pic:spPr>
                </pic:pic>
              </a:graphicData>
            </a:graphic>
          </wp:inline>
        </w:drawing>
      </w:r>
      <w:r w:rsidRPr="002B630E">
        <w:rPr>
          <w:rFonts w:ascii="Times New Roman" w:hAnsi="Times New Roman" w:cs="Times New Roman"/>
          <w:sz w:val="24"/>
          <w:szCs w:val="24"/>
        </w:rPr>
        <w:t>, see Figure 4</w:t>
      </w:r>
      <w:r w:rsidR="00D32D97">
        <w:rPr>
          <w:rFonts w:ascii="Times New Roman" w:hAnsi="Times New Roman" w:cs="Times New Roman"/>
          <w:sz w:val="24"/>
          <w:szCs w:val="24"/>
        </w:rPr>
        <w:t>b</w:t>
      </w:r>
      <w:r w:rsidRPr="002B630E">
        <w:rPr>
          <w:rFonts w:ascii="Times New Roman" w:hAnsi="Times New Roman" w:cs="Times New Roman"/>
          <w:sz w:val="24"/>
          <w:szCs w:val="24"/>
        </w:rPr>
        <w:t xml:space="preserve">, b. 2). These two notes (C-sharp and G) show the chromatic alteration of the interval of a perfect fifth (C-G), with the C-sharp indicated using the sign of the chromatic semitone. The </w:t>
      </w:r>
      <w:r w:rsidRPr="002B630E">
        <w:rPr>
          <w:rFonts w:ascii="Times New Roman" w:hAnsi="Times New Roman" w:cs="Times New Roman"/>
          <w:i/>
          <w:sz w:val="24"/>
          <w:szCs w:val="24"/>
        </w:rPr>
        <w:t>signum proprium</w:t>
      </w:r>
      <w:r w:rsidRPr="002B630E">
        <w:rPr>
          <w:rFonts w:ascii="Times New Roman" w:hAnsi="Times New Roman" w:cs="Times New Roman"/>
          <w:sz w:val="24"/>
          <w:szCs w:val="24"/>
        </w:rPr>
        <w:t xml:space="preserve"> for the chromatic semitone (</w:t>
      </w:r>
      <w:r w:rsidRPr="002B630E">
        <w:rPr>
          <w:rFonts w:ascii="Times New Roman" w:hAnsi="Times New Roman" w:cs="Times New Roman"/>
          <w:noProof/>
          <w:sz w:val="24"/>
          <w:szCs w:val="24"/>
          <w:lang w:eastAsia="en-GB"/>
        </w:rPr>
        <w:drawing>
          <wp:inline distT="0" distB="0" distL="0" distR="0" wp14:anchorId="55E40ECC" wp14:editId="29189EDF">
            <wp:extent cx="126000" cy="145384"/>
            <wp:effectExtent l="0" t="0" r="1270" b="7620"/>
            <wp:docPr id="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26000" cy="145384"/>
                    </a:xfrm>
                    <a:prstGeom prst="rect">
                      <a:avLst/>
                    </a:prstGeom>
                    <a:noFill/>
                    <a:ln>
                      <a:noFill/>
                    </a:ln>
                  </pic:spPr>
                </pic:pic>
              </a:graphicData>
            </a:graphic>
          </wp:inline>
        </w:drawing>
      </w:r>
      <w:r w:rsidRPr="002B630E">
        <w:rPr>
          <w:rFonts w:ascii="Times New Roman" w:hAnsi="Times New Roman" w:cs="Times New Roman"/>
          <w:sz w:val="24"/>
          <w:szCs w:val="24"/>
        </w:rPr>
        <w:t>) is placed immediately before the Contratenor C in all three sources, helping to raise the visual profile of this moment.</w:t>
      </w:r>
      <w:r w:rsidR="002A2B47">
        <w:rPr>
          <w:rStyle w:val="FootnoteReference"/>
          <w:rFonts w:ascii="Times New Roman" w:hAnsi="Times New Roman" w:cs="Times New Roman"/>
          <w:sz w:val="24"/>
          <w:szCs w:val="24"/>
        </w:rPr>
        <w:footnoteReference w:id="29"/>
      </w:r>
      <w:r w:rsidRPr="002B630E">
        <w:rPr>
          <w:rFonts w:ascii="Times New Roman" w:hAnsi="Times New Roman" w:cs="Times New Roman"/>
          <w:sz w:val="24"/>
          <w:szCs w:val="24"/>
        </w:rPr>
        <w:t xml:space="preserve"> To further draw attention to this key </w:t>
      </w:r>
      <w:r w:rsidRPr="002B630E">
        <w:rPr>
          <w:rFonts w:ascii="Times New Roman" w:hAnsi="Times New Roman" w:cs="Times New Roman"/>
          <w:sz w:val="24"/>
          <w:szCs w:val="24"/>
        </w:rPr>
        <w:lastRenderedPageBreak/>
        <w:t xml:space="preserve">theoretical moment, </w:t>
      </w:r>
      <w:r w:rsidRPr="002B630E">
        <w:rPr>
          <w:rFonts w:ascii="Times New Roman" w:hAnsi="Times New Roman" w:cs="Times New Roman"/>
          <w:i/>
          <w:sz w:val="24"/>
          <w:szCs w:val="24"/>
        </w:rPr>
        <w:t>signa congruentiae</w:t>
      </w:r>
      <w:r w:rsidRPr="002B630E">
        <w:rPr>
          <w:rFonts w:ascii="Times New Roman" w:hAnsi="Times New Roman" w:cs="Times New Roman"/>
          <w:sz w:val="24"/>
          <w:szCs w:val="24"/>
        </w:rPr>
        <w:t xml:space="preserve"> </w:t>
      </w:r>
      <w:r w:rsidR="00A6593F">
        <w:rPr>
          <w:rFonts w:ascii="Times New Roman" w:hAnsi="Times New Roman" w:cs="Times New Roman"/>
          <w:sz w:val="24"/>
          <w:szCs w:val="24"/>
        </w:rPr>
        <w:t xml:space="preserve">are placed </w:t>
      </w:r>
      <w:r w:rsidRPr="002B630E">
        <w:rPr>
          <w:rFonts w:ascii="Times New Roman" w:hAnsi="Times New Roman" w:cs="Times New Roman"/>
          <w:sz w:val="24"/>
          <w:szCs w:val="24"/>
        </w:rPr>
        <w:t>above the relevant notes of the Contratenor and Discantus</w:t>
      </w:r>
      <w:r w:rsidR="00A6593F">
        <w:rPr>
          <w:rFonts w:ascii="Times New Roman" w:hAnsi="Times New Roman" w:cs="Times New Roman"/>
          <w:sz w:val="24"/>
          <w:szCs w:val="24"/>
        </w:rPr>
        <w:t xml:space="preserve"> in </w:t>
      </w:r>
      <w:r w:rsidR="00A6593F">
        <w:rPr>
          <w:rFonts w:ascii="Times New Roman" w:hAnsi="Times New Roman" w:cs="Times New Roman"/>
          <w:b/>
          <w:sz w:val="24"/>
          <w:szCs w:val="24"/>
        </w:rPr>
        <w:t xml:space="preserve">V </w:t>
      </w:r>
      <w:r w:rsidR="00A6593F">
        <w:rPr>
          <w:rFonts w:ascii="Times New Roman" w:hAnsi="Times New Roman" w:cs="Times New Roman"/>
          <w:sz w:val="24"/>
          <w:szCs w:val="24"/>
        </w:rPr>
        <w:t xml:space="preserve">and </w:t>
      </w:r>
      <w:r w:rsidR="00A6593F">
        <w:rPr>
          <w:rFonts w:ascii="Times New Roman" w:hAnsi="Times New Roman" w:cs="Times New Roman"/>
          <w:b/>
          <w:sz w:val="24"/>
          <w:szCs w:val="24"/>
        </w:rPr>
        <w:t>BU</w:t>
      </w:r>
      <w:r w:rsidRPr="002B630E">
        <w:rPr>
          <w:rFonts w:ascii="Times New Roman" w:hAnsi="Times New Roman" w:cs="Times New Roman"/>
          <w:sz w:val="24"/>
          <w:szCs w:val="24"/>
        </w:rPr>
        <w:t xml:space="preserve">. </w:t>
      </w:r>
      <w:r w:rsidR="00B5154A" w:rsidRPr="002B630E">
        <w:rPr>
          <w:rFonts w:ascii="Times New Roman" w:hAnsi="Times New Roman" w:cs="Times New Roman"/>
          <w:sz w:val="24"/>
          <w:szCs w:val="24"/>
        </w:rPr>
        <w:t>It is the chromatic alteration to a C-sharp that makes this example useful to demonstrate this particular theoretical point</w:t>
      </w:r>
      <w:r w:rsidR="00E607AB" w:rsidRPr="002B630E">
        <w:rPr>
          <w:rFonts w:ascii="Times New Roman" w:hAnsi="Times New Roman" w:cs="Times New Roman"/>
          <w:sz w:val="24"/>
          <w:szCs w:val="24"/>
        </w:rPr>
        <w:t>, with the</w:t>
      </w:r>
      <w:r w:rsidR="002063FA" w:rsidRPr="002B630E">
        <w:rPr>
          <w:rFonts w:ascii="Times New Roman" w:hAnsi="Times New Roman" w:cs="Times New Roman"/>
          <w:sz w:val="24"/>
          <w:szCs w:val="24"/>
        </w:rPr>
        <w:t xml:space="preserve"> sign of the chromatic semitone </w:t>
      </w:r>
      <w:r w:rsidR="00E607AB" w:rsidRPr="002B630E">
        <w:rPr>
          <w:rFonts w:ascii="Times New Roman" w:hAnsi="Times New Roman" w:cs="Times New Roman"/>
          <w:sz w:val="24"/>
          <w:szCs w:val="24"/>
        </w:rPr>
        <w:t>confirming</w:t>
      </w:r>
      <w:r w:rsidR="002063FA" w:rsidRPr="002B630E">
        <w:rPr>
          <w:rFonts w:ascii="Times New Roman" w:hAnsi="Times New Roman" w:cs="Times New Roman"/>
          <w:sz w:val="24"/>
          <w:szCs w:val="24"/>
        </w:rPr>
        <w:t xml:space="preserve"> to a singer that this dissonance was intended, and </w:t>
      </w:r>
      <w:r w:rsidR="00E607AB" w:rsidRPr="002B630E">
        <w:rPr>
          <w:rFonts w:ascii="Times New Roman" w:hAnsi="Times New Roman" w:cs="Times New Roman"/>
          <w:sz w:val="24"/>
          <w:szCs w:val="24"/>
        </w:rPr>
        <w:t xml:space="preserve">preventing any adjustment being made to avoid the apparent clash. </w:t>
      </w:r>
    </w:p>
    <w:p w14:paraId="124B9A84" w14:textId="5B3B5877" w:rsidR="00745E23" w:rsidRPr="002B630E" w:rsidRDefault="00B5154A"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t xml:space="preserve">The second </w:t>
      </w:r>
      <w:r w:rsidR="00E508F7">
        <w:rPr>
          <w:rFonts w:ascii="Times New Roman" w:hAnsi="Times New Roman" w:cs="Times New Roman"/>
          <w:sz w:val="24"/>
          <w:szCs w:val="24"/>
        </w:rPr>
        <w:t xml:space="preserve">likely point of </w:t>
      </w:r>
      <w:r w:rsidRPr="002B630E">
        <w:rPr>
          <w:rFonts w:ascii="Times New Roman" w:hAnsi="Times New Roman" w:cs="Times New Roman"/>
          <w:sz w:val="24"/>
          <w:szCs w:val="24"/>
        </w:rPr>
        <w:t xml:space="preserve">dissonance to be found in this example is also marked with </w:t>
      </w:r>
      <w:r w:rsidRPr="002B630E">
        <w:rPr>
          <w:rFonts w:ascii="Times New Roman" w:hAnsi="Times New Roman" w:cs="Times New Roman"/>
          <w:i/>
          <w:sz w:val="24"/>
          <w:szCs w:val="24"/>
        </w:rPr>
        <w:t>signa congruentiae</w:t>
      </w:r>
      <w:r w:rsidRPr="002B630E">
        <w:rPr>
          <w:rFonts w:ascii="Times New Roman" w:hAnsi="Times New Roman" w:cs="Times New Roman"/>
          <w:sz w:val="24"/>
          <w:szCs w:val="24"/>
        </w:rPr>
        <w:t xml:space="preserve"> in the discantus and contratenor parts, occurring in the verticality preceding the second cadential moment</w:t>
      </w:r>
      <w:r w:rsidR="00D32D97">
        <w:rPr>
          <w:rFonts w:ascii="Times New Roman" w:hAnsi="Times New Roman" w:cs="Times New Roman"/>
          <w:sz w:val="24"/>
          <w:szCs w:val="24"/>
        </w:rPr>
        <w:t xml:space="preserve"> (Figure 4b, b.6)</w:t>
      </w:r>
      <w:r w:rsidRPr="002B630E">
        <w:rPr>
          <w:rFonts w:ascii="Times New Roman" w:hAnsi="Times New Roman" w:cs="Times New Roman"/>
          <w:sz w:val="24"/>
          <w:szCs w:val="24"/>
        </w:rPr>
        <w:t xml:space="preserve">. </w:t>
      </w:r>
      <w:r w:rsidR="00A6593F">
        <w:rPr>
          <w:rFonts w:ascii="Times New Roman" w:hAnsi="Times New Roman" w:cs="Times New Roman"/>
          <w:sz w:val="24"/>
          <w:szCs w:val="24"/>
        </w:rPr>
        <w:t xml:space="preserve">Again, </w:t>
      </w:r>
      <w:r w:rsidR="00A6593F">
        <w:rPr>
          <w:rFonts w:ascii="Times New Roman" w:hAnsi="Times New Roman" w:cs="Times New Roman"/>
          <w:i/>
          <w:sz w:val="24"/>
          <w:szCs w:val="24"/>
        </w:rPr>
        <w:t xml:space="preserve">signa </w:t>
      </w:r>
      <w:r w:rsidR="00A6593F">
        <w:rPr>
          <w:rFonts w:ascii="Times New Roman" w:hAnsi="Times New Roman" w:cs="Times New Roman"/>
          <w:sz w:val="24"/>
          <w:szCs w:val="24"/>
        </w:rPr>
        <w:t xml:space="preserve">are present in </w:t>
      </w:r>
      <w:r w:rsidR="00A6593F">
        <w:rPr>
          <w:rFonts w:ascii="Times New Roman" w:hAnsi="Times New Roman" w:cs="Times New Roman"/>
          <w:b/>
          <w:sz w:val="24"/>
          <w:szCs w:val="24"/>
        </w:rPr>
        <w:t xml:space="preserve">V </w:t>
      </w:r>
      <w:r w:rsidR="00A6593F">
        <w:rPr>
          <w:rFonts w:ascii="Times New Roman" w:hAnsi="Times New Roman" w:cs="Times New Roman"/>
          <w:sz w:val="24"/>
          <w:szCs w:val="24"/>
        </w:rPr>
        <w:t xml:space="preserve">and </w:t>
      </w:r>
      <w:r w:rsidR="00A6593F">
        <w:rPr>
          <w:rFonts w:ascii="Times New Roman" w:hAnsi="Times New Roman" w:cs="Times New Roman"/>
          <w:b/>
          <w:sz w:val="24"/>
          <w:szCs w:val="24"/>
        </w:rPr>
        <w:t xml:space="preserve">BU </w:t>
      </w:r>
      <w:r w:rsidR="00A6593F">
        <w:rPr>
          <w:rFonts w:ascii="Times New Roman" w:hAnsi="Times New Roman" w:cs="Times New Roman"/>
          <w:sz w:val="24"/>
          <w:szCs w:val="24"/>
        </w:rPr>
        <w:t xml:space="preserve">only. </w:t>
      </w:r>
      <w:r w:rsidR="00B70803">
        <w:rPr>
          <w:rFonts w:ascii="Times New Roman" w:hAnsi="Times New Roman" w:cs="Times New Roman"/>
          <w:sz w:val="24"/>
          <w:szCs w:val="24"/>
        </w:rPr>
        <w:t>T</w:t>
      </w:r>
      <w:r w:rsidR="00745E23" w:rsidRPr="002B630E">
        <w:rPr>
          <w:rFonts w:ascii="Times New Roman" w:hAnsi="Times New Roman" w:cs="Times New Roman"/>
          <w:sz w:val="24"/>
          <w:szCs w:val="24"/>
        </w:rPr>
        <w:t xml:space="preserve">wo </w:t>
      </w:r>
      <w:r w:rsidR="00745E23" w:rsidRPr="002B630E">
        <w:rPr>
          <w:rFonts w:ascii="Times New Roman" w:hAnsi="Times New Roman" w:cs="Times New Roman"/>
          <w:i/>
          <w:sz w:val="24"/>
          <w:szCs w:val="24"/>
        </w:rPr>
        <w:t>signa</w:t>
      </w:r>
      <w:r w:rsidR="00745E23" w:rsidRPr="002B630E">
        <w:rPr>
          <w:rFonts w:ascii="Times New Roman" w:hAnsi="Times New Roman" w:cs="Times New Roman"/>
          <w:sz w:val="24"/>
          <w:szCs w:val="24"/>
        </w:rPr>
        <w:t xml:space="preserve"> are placed above </w:t>
      </w:r>
      <w:r w:rsidR="009A2C1F" w:rsidRPr="002B630E">
        <w:rPr>
          <w:rFonts w:ascii="Times New Roman" w:hAnsi="Times New Roman" w:cs="Times New Roman"/>
          <w:sz w:val="24"/>
          <w:szCs w:val="24"/>
        </w:rPr>
        <w:t xml:space="preserve">the </w:t>
      </w:r>
      <w:r w:rsidR="004A0C6A" w:rsidRPr="002B630E">
        <w:rPr>
          <w:rFonts w:ascii="Times New Roman" w:hAnsi="Times New Roman" w:cs="Times New Roman"/>
          <w:sz w:val="24"/>
          <w:szCs w:val="24"/>
        </w:rPr>
        <w:t>G</w:t>
      </w:r>
      <w:r w:rsidR="00745E23" w:rsidRPr="002B630E">
        <w:rPr>
          <w:rFonts w:ascii="Times New Roman" w:hAnsi="Times New Roman" w:cs="Times New Roman"/>
          <w:sz w:val="24"/>
          <w:szCs w:val="24"/>
        </w:rPr>
        <w:t xml:space="preserve"> in </w:t>
      </w:r>
      <w:r w:rsidR="004A0C6A" w:rsidRPr="002B630E">
        <w:rPr>
          <w:rFonts w:ascii="Times New Roman" w:hAnsi="Times New Roman" w:cs="Times New Roman"/>
          <w:sz w:val="24"/>
          <w:szCs w:val="24"/>
        </w:rPr>
        <w:t xml:space="preserve">both </w:t>
      </w:r>
      <w:r w:rsidR="00745E23" w:rsidRPr="002B630E">
        <w:rPr>
          <w:rFonts w:ascii="Times New Roman" w:hAnsi="Times New Roman" w:cs="Times New Roman"/>
          <w:sz w:val="24"/>
          <w:szCs w:val="24"/>
        </w:rPr>
        <w:t xml:space="preserve">the </w:t>
      </w:r>
      <w:r w:rsidR="00E03AF0" w:rsidRPr="002B630E">
        <w:rPr>
          <w:rFonts w:ascii="Times New Roman" w:hAnsi="Times New Roman" w:cs="Times New Roman"/>
          <w:sz w:val="24"/>
          <w:szCs w:val="24"/>
        </w:rPr>
        <w:t>D</w:t>
      </w:r>
      <w:r w:rsidR="00745E23" w:rsidRPr="002B630E">
        <w:rPr>
          <w:rFonts w:ascii="Times New Roman" w:hAnsi="Times New Roman" w:cs="Times New Roman"/>
          <w:sz w:val="24"/>
          <w:szCs w:val="24"/>
        </w:rPr>
        <w:t xml:space="preserve">iscantus and </w:t>
      </w:r>
      <w:r w:rsidR="00E03AF0" w:rsidRPr="002B630E">
        <w:rPr>
          <w:rFonts w:ascii="Times New Roman" w:hAnsi="Times New Roman" w:cs="Times New Roman"/>
          <w:sz w:val="24"/>
          <w:szCs w:val="24"/>
        </w:rPr>
        <w:t>C</w:t>
      </w:r>
      <w:r w:rsidR="00745E23" w:rsidRPr="002B630E">
        <w:rPr>
          <w:rFonts w:ascii="Times New Roman" w:hAnsi="Times New Roman" w:cs="Times New Roman"/>
          <w:sz w:val="24"/>
          <w:szCs w:val="24"/>
        </w:rPr>
        <w:t xml:space="preserve">ontratenor parts, and thus </w:t>
      </w:r>
      <w:r w:rsidR="00B70803">
        <w:rPr>
          <w:rFonts w:ascii="Times New Roman" w:hAnsi="Times New Roman" w:cs="Times New Roman"/>
          <w:sz w:val="24"/>
          <w:szCs w:val="24"/>
        </w:rPr>
        <w:t>it seems that this is location for the second key theoretical moment.</w:t>
      </w:r>
    </w:p>
    <w:p w14:paraId="79736D5A" w14:textId="123B6A83" w:rsidR="00B5154A" w:rsidRPr="002B630E" w:rsidRDefault="00745E23"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t xml:space="preserve"> </w:t>
      </w:r>
      <w:r w:rsidR="00B5154A" w:rsidRPr="002B630E">
        <w:rPr>
          <w:rFonts w:ascii="Times New Roman" w:hAnsi="Times New Roman" w:cs="Times New Roman"/>
          <w:sz w:val="24"/>
          <w:szCs w:val="24"/>
        </w:rPr>
        <w:t xml:space="preserve">However, if the two parts marked with </w:t>
      </w:r>
      <w:r w:rsidR="00B5154A" w:rsidRPr="002B630E">
        <w:rPr>
          <w:rFonts w:ascii="Times New Roman" w:hAnsi="Times New Roman" w:cs="Times New Roman"/>
          <w:i/>
          <w:sz w:val="24"/>
          <w:szCs w:val="24"/>
        </w:rPr>
        <w:t>signa congruentiae</w:t>
      </w:r>
      <w:r w:rsidR="00B5154A" w:rsidRPr="002B630E">
        <w:rPr>
          <w:rFonts w:ascii="Times New Roman" w:hAnsi="Times New Roman" w:cs="Times New Roman"/>
          <w:sz w:val="24"/>
          <w:szCs w:val="24"/>
        </w:rPr>
        <w:t xml:space="preserve"> are consulted carefully and taken </w:t>
      </w:r>
      <w:r w:rsidR="00294096">
        <w:rPr>
          <w:rFonts w:ascii="Times New Roman" w:hAnsi="Times New Roman" w:cs="Times New Roman"/>
          <w:sz w:val="24"/>
          <w:szCs w:val="24"/>
        </w:rPr>
        <w:t xml:space="preserve">exactly </w:t>
      </w:r>
      <w:r w:rsidR="00B5154A" w:rsidRPr="002B630E">
        <w:rPr>
          <w:rFonts w:ascii="Times New Roman" w:hAnsi="Times New Roman" w:cs="Times New Roman"/>
          <w:sz w:val="24"/>
          <w:szCs w:val="24"/>
        </w:rPr>
        <w:t xml:space="preserve">as notated, to modern eyes at least, then there is no dissonance at all. Both the </w:t>
      </w:r>
      <w:r w:rsidR="00E607AB" w:rsidRPr="002B630E">
        <w:rPr>
          <w:rFonts w:ascii="Times New Roman" w:hAnsi="Times New Roman" w:cs="Times New Roman"/>
          <w:sz w:val="24"/>
          <w:szCs w:val="24"/>
        </w:rPr>
        <w:t>D</w:t>
      </w:r>
      <w:r w:rsidR="00B5154A" w:rsidRPr="002B630E">
        <w:rPr>
          <w:rFonts w:ascii="Times New Roman" w:hAnsi="Times New Roman" w:cs="Times New Roman"/>
          <w:sz w:val="24"/>
          <w:szCs w:val="24"/>
        </w:rPr>
        <w:t xml:space="preserve">iscantus and </w:t>
      </w:r>
      <w:r w:rsidR="00E607AB" w:rsidRPr="002B630E">
        <w:rPr>
          <w:rFonts w:ascii="Times New Roman" w:hAnsi="Times New Roman" w:cs="Times New Roman"/>
          <w:sz w:val="24"/>
          <w:szCs w:val="24"/>
        </w:rPr>
        <w:t>C</w:t>
      </w:r>
      <w:r w:rsidR="00B5154A" w:rsidRPr="002B630E">
        <w:rPr>
          <w:rFonts w:ascii="Times New Roman" w:hAnsi="Times New Roman" w:cs="Times New Roman"/>
          <w:sz w:val="24"/>
          <w:szCs w:val="24"/>
        </w:rPr>
        <w:t xml:space="preserve">ontratenor parts have a notated G, spread by an octave. </w:t>
      </w:r>
      <w:r w:rsidR="00B70803">
        <w:rPr>
          <w:rFonts w:ascii="Times New Roman" w:hAnsi="Times New Roman" w:cs="Times New Roman"/>
          <w:sz w:val="24"/>
          <w:szCs w:val="24"/>
        </w:rPr>
        <w:t>Looking at the three-voice texture here, one might actually be tempted to flatten the B in the Tenor to support the cadential moment. However, i</w:t>
      </w:r>
      <w:r w:rsidR="00B5154A" w:rsidRPr="002B630E">
        <w:rPr>
          <w:rFonts w:ascii="Times New Roman" w:hAnsi="Times New Roman" w:cs="Times New Roman"/>
          <w:sz w:val="24"/>
          <w:szCs w:val="24"/>
        </w:rPr>
        <w:t>n order for there to be a false concord</w:t>
      </w:r>
      <w:r w:rsidR="00C7508E" w:rsidRPr="002B630E">
        <w:rPr>
          <w:rFonts w:ascii="Times New Roman" w:hAnsi="Times New Roman" w:cs="Times New Roman"/>
          <w:sz w:val="24"/>
          <w:szCs w:val="24"/>
        </w:rPr>
        <w:t xml:space="preserve"> at this moment</w:t>
      </w:r>
      <w:r w:rsidR="00B5154A" w:rsidRPr="002B630E">
        <w:rPr>
          <w:rFonts w:ascii="Times New Roman" w:hAnsi="Times New Roman" w:cs="Times New Roman"/>
          <w:sz w:val="24"/>
          <w:szCs w:val="24"/>
        </w:rPr>
        <w:t xml:space="preserve">, </w:t>
      </w:r>
      <w:r w:rsidR="00C7508E" w:rsidRPr="002B630E">
        <w:rPr>
          <w:rFonts w:ascii="Times New Roman" w:hAnsi="Times New Roman" w:cs="Times New Roman"/>
          <w:sz w:val="24"/>
          <w:szCs w:val="24"/>
        </w:rPr>
        <w:t xml:space="preserve">a chromatic alteration needs to be applied to one of </w:t>
      </w:r>
      <w:r w:rsidR="00B70803">
        <w:rPr>
          <w:rFonts w:ascii="Times New Roman" w:hAnsi="Times New Roman" w:cs="Times New Roman"/>
          <w:sz w:val="24"/>
          <w:szCs w:val="24"/>
        </w:rPr>
        <w:t xml:space="preserve">the notes in the Discantus or Contratenor parts, </w:t>
      </w:r>
      <w:r w:rsidR="00C7508E" w:rsidRPr="002B630E">
        <w:rPr>
          <w:rFonts w:ascii="Times New Roman" w:hAnsi="Times New Roman" w:cs="Times New Roman"/>
          <w:sz w:val="24"/>
          <w:szCs w:val="24"/>
        </w:rPr>
        <w:t xml:space="preserve"> </w:t>
      </w:r>
      <w:r w:rsidR="00B5154A" w:rsidRPr="002B630E">
        <w:rPr>
          <w:rFonts w:ascii="Times New Roman" w:hAnsi="Times New Roman" w:cs="Times New Roman"/>
          <w:sz w:val="24"/>
          <w:szCs w:val="24"/>
        </w:rPr>
        <w:t xml:space="preserve">in this case </w:t>
      </w:r>
      <w:r w:rsidR="00C7508E" w:rsidRPr="002B630E">
        <w:rPr>
          <w:rFonts w:ascii="Times New Roman" w:hAnsi="Times New Roman" w:cs="Times New Roman"/>
          <w:sz w:val="24"/>
          <w:szCs w:val="24"/>
        </w:rPr>
        <w:t xml:space="preserve">the </w:t>
      </w:r>
      <w:r w:rsidR="00B70803">
        <w:rPr>
          <w:rFonts w:ascii="Times New Roman" w:hAnsi="Times New Roman" w:cs="Times New Roman"/>
          <w:sz w:val="24"/>
          <w:szCs w:val="24"/>
        </w:rPr>
        <w:t>upper voice</w:t>
      </w:r>
      <w:r w:rsidR="00B70803" w:rsidRPr="002B630E">
        <w:rPr>
          <w:rFonts w:ascii="Times New Roman" w:hAnsi="Times New Roman" w:cs="Times New Roman"/>
          <w:sz w:val="24"/>
          <w:szCs w:val="24"/>
        </w:rPr>
        <w:t xml:space="preserve"> </w:t>
      </w:r>
      <w:r w:rsidR="00C7508E" w:rsidRPr="002B630E">
        <w:rPr>
          <w:rFonts w:ascii="Times New Roman" w:hAnsi="Times New Roman" w:cs="Times New Roman"/>
          <w:sz w:val="24"/>
          <w:szCs w:val="24"/>
        </w:rPr>
        <w:t xml:space="preserve">should be </w:t>
      </w:r>
      <w:r w:rsidR="00B5154A" w:rsidRPr="002B630E">
        <w:rPr>
          <w:rFonts w:ascii="Times New Roman" w:hAnsi="Times New Roman" w:cs="Times New Roman"/>
          <w:sz w:val="24"/>
          <w:szCs w:val="24"/>
        </w:rPr>
        <w:t>sharpened to make the interval ‘superfluous’</w:t>
      </w:r>
      <w:r w:rsidR="00C7508E" w:rsidRPr="002B630E">
        <w:rPr>
          <w:rFonts w:ascii="Times New Roman" w:hAnsi="Times New Roman" w:cs="Times New Roman"/>
          <w:sz w:val="24"/>
          <w:szCs w:val="24"/>
        </w:rPr>
        <w:t>.</w:t>
      </w:r>
      <w:r w:rsidR="00C7508E" w:rsidRPr="002B630E">
        <w:rPr>
          <w:rStyle w:val="FootnoteReference"/>
          <w:rFonts w:ascii="Times New Roman" w:hAnsi="Times New Roman" w:cs="Times New Roman"/>
          <w:sz w:val="24"/>
          <w:szCs w:val="24"/>
        </w:rPr>
        <w:footnoteReference w:id="30"/>
      </w:r>
      <w:r w:rsidRPr="002B630E">
        <w:rPr>
          <w:rFonts w:ascii="Times New Roman" w:hAnsi="Times New Roman" w:cs="Times New Roman"/>
          <w:sz w:val="24"/>
          <w:szCs w:val="24"/>
        </w:rPr>
        <w:t xml:space="preserve"> </w:t>
      </w:r>
    </w:p>
    <w:p w14:paraId="5C3706C3" w14:textId="4F770933" w:rsidR="00B5154A" w:rsidRPr="002B630E" w:rsidRDefault="00B5154A"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t>The fact that a sharp is apparently missing from this part of the notation, yet is present in the earlier part of the example seems to be unusual. Indeed, none of the extant sources of this treatise include any kind of accidental</w:t>
      </w:r>
      <w:r w:rsidR="00C83CD1" w:rsidRPr="002B630E">
        <w:rPr>
          <w:rFonts w:ascii="Times New Roman" w:hAnsi="Times New Roman" w:cs="Times New Roman"/>
          <w:sz w:val="24"/>
          <w:szCs w:val="24"/>
        </w:rPr>
        <w:t xml:space="preserve"> or symbol for a chromatic semitone</w:t>
      </w:r>
      <w:r w:rsidRPr="002B630E">
        <w:rPr>
          <w:rFonts w:ascii="Times New Roman" w:hAnsi="Times New Roman" w:cs="Times New Roman"/>
          <w:sz w:val="24"/>
          <w:szCs w:val="24"/>
        </w:rPr>
        <w:t xml:space="preserve"> at this point, and thus it seems that this was </w:t>
      </w:r>
      <w:r w:rsidR="007B17A9" w:rsidRPr="002B630E">
        <w:rPr>
          <w:rFonts w:ascii="Times New Roman" w:hAnsi="Times New Roman" w:cs="Times New Roman"/>
          <w:sz w:val="24"/>
          <w:szCs w:val="24"/>
        </w:rPr>
        <w:t xml:space="preserve">either </w:t>
      </w:r>
      <w:r w:rsidRPr="002B630E">
        <w:rPr>
          <w:rFonts w:ascii="Times New Roman" w:hAnsi="Times New Roman" w:cs="Times New Roman"/>
          <w:sz w:val="24"/>
          <w:szCs w:val="24"/>
        </w:rPr>
        <w:t xml:space="preserve">a rare mistake in the exemplar, or </w:t>
      </w:r>
      <w:r w:rsidR="000E36B7" w:rsidRPr="002B630E">
        <w:rPr>
          <w:rFonts w:ascii="Times New Roman" w:hAnsi="Times New Roman" w:cs="Times New Roman"/>
          <w:sz w:val="24"/>
          <w:szCs w:val="24"/>
        </w:rPr>
        <w:t xml:space="preserve">equally </w:t>
      </w:r>
      <w:r w:rsidRPr="002B630E">
        <w:rPr>
          <w:rFonts w:ascii="Times New Roman" w:hAnsi="Times New Roman" w:cs="Times New Roman"/>
          <w:sz w:val="24"/>
          <w:szCs w:val="24"/>
        </w:rPr>
        <w:t xml:space="preserve">likely, a sharp to be </w:t>
      </w:r>
      <w:r w:rsidRPr="002B630E">
        <w:rPr>
          <w:rFonts w:ascii="Times New Roman" w:hAnsi="Times New Roman" w:cs="Times New Roman"/>
          <w:sz w:val="24"/>
          <w:szCs w:val="24"/>
        </w:rPr>
        <w:lastRenderedPageBreak/>
        <w:t xml:space="preserve">implied by </w:t>
      </w:r>
      <w:r w:rsidRPr="002B630E">
        <w:rPr>
          <w:rFonts w:ascii="Times New Roman" w:hAnsi="Times New Roman" w:cs="Times New Roman"/>
          <w:i/>
          <w:sz w:val="24"/>
          <w:szCs w:val="24"/>
        </w:rPr>
        <w:t>ficta</w:t>
      </w:r>
      <w:r w:rsidRPr="002B630E">
        <w:rPr>
          <w:rFonts w:ascii="Times New Roman" w:hAnsi="Times New Roman" w:cs="Times New Roman"/>
          <w:sz w:val="24"/>
          <w:szCs w:val="24"/>
        </w:rPr>
        <w:t xml:space="preserve"> as a cadential inflection.</w:t>
      </w:r>
      <w:r w:rsidR="00C83CD1" w:rsidRPr="002B630E">
        <w:rPr>
          <w:rStyle w:val="FootnoteReference"/>
          <w:rFonts w:ascii="Times New Roman" w:hAnsi="Times New Roman" w:cs="Times New Roman"/>
          <w:sz w:val="24"/>
          <w:szCs w:val="24"/>
        </w:rPr>
        <w:footnoteReference w:id="31"/>
      </w:r>
      <w:r w:rsidRPr="002B630E">
        <w:rPr>
          <w:rFonts w:ascii="Times New Roman" w:hAnsi="Times New Roman" w:cs="Times New Roman"/>
          <w:sz w:val="24"/>
          <w:szCs w:val="24"/>
        </w:rPr>
        <w:t xml:space="preserve"> It is thanks</w:t>
      </w:r>
      <w:r w:rsidR="00DF43EA" w:rsidRPr="002B630E">
        <w:rPr>
          <w:rFonts w:ascii="Times New Roman" w:hAnsi="Times New Roman" w:cs="Times New Roman"/>
          <w:sz w:val="24"/>
          <w:szCs w:val="24"/>
        </w:rPr>
        <w:t xml:space="preserve"> </w:t>
      </w:r>
      <w:r w:rsidRPr="002B630E">
        <w:rPr>
          <w:rFonts w:ascii="Times New Roman" w:hAnsi="Times New Roman" w:cs="Times New Roman"/>
          <w:sz w:val="24"/>
          <w:szCs w:val="24"/>
        </w:rPr>
        <w:t xml:space="preserve">to the </w:t>
      </w:r>
      <w:r w:rsidRPr="002B630E">
        <w:rPr>
          <w:rFonts w:ascii="Times New Roman" w:hAnsi="Times New Roman" w:cs="Times New Roman"/>
          <w:i/>
          <w:sz w:val="24"/>
          <w:szCs w:val="24"/>
        </w:rPr>
        <w:t>signa congruentiae</w:t>
      </w:r>
      <w:r w:rsidRPr="002B630E">
        <w:rPr>
          <w:rFonts w:ascii="Times New Roman" w:hAnsi="Times New Roman" w:cs="Times New Roman"/>
          <w:sz w:val="24"/>
          <w:szCs w:val="24"/>
        </w:rPr>
        <w:t xml:space="preserve"> that it is possible to </w:t>
      </w:r>
      <w:r w:rsidR="00DF43EA" w:rsidRPr="002B630E">
        <w:rPr>
          <w:rFonts w:ascii="Times New Roman" w:hAnsi="Times New Roman" w:cs="Times New Roman"/>
          <w:sz w:val="24"/>
          <w:szCs w:val="24"/>
        </w:rPr>
        <w:t xml:space="preserve">identify </w:t>
      </w:r>
      <w:r w:rsidR="00C83CD1" w:rsidRPr="002B630E">
        <w:rPr>
          <w:rFonts w:ascii="Times New Roman" w:hAnsi="Times New Roman" w:cs="Times New Roman"/>
          <w:sz w:val="24"/>
          <w:szCs w:val="24"/>
        </w:rPr>
        <w:t>Tinctoris’s</w:t>
      </w:r>
      <w:r w:rsidRPr="002B630E">
        <w:rPr>
          <w:rFonts w:ascii="Times New Roman" w:hAnsi="Times New Roman" w:cs="Times New Roman"/>
          <w:sz w:val="24"/>
          <w:szCs w:val="24"/>
        </w:rPr>
        <w:t xml:space="preserve"> intended point of dissonance</w:t>
      </w:r>
      <w:r w:rsidR="00266940" w:rsidRPr="002B630E">
        <w:rPr>
          <w:rFonts w:ascii="Times New Roman" w:hAnsi="Times New Roman" w:cs="Times New Roman"/>
          <w:sz w:val="24"/>
          <w:szCs w:val="24"/>
        </w:rPr>
        <w:t>: he cl</w:t>
      </w:r>
      <w:r w:rsidR="000E36B7" w:rsidRPr="002B630E">
        <w:rPr>
          <w:rFonts w:ascii="Times New Roman" w:hAnsi="Times New Roman" w:cs="Times New Roman"/>
          <w:sz w:val="24"/>
          <w:szCs w:val="24"/>
        </w:rPr>
        <w:t>early planned for something to happen at this moment</w:t>
      </w:r>
      <w:r w:rsidRPr="002B630E">
        <w:rPr>
          <w:rFonts w:ascii="Times New Roman" w:hAnsi="Times New Roman" w:cs="Times New Roman"/>
          <w:sz w:val="24"/>
          <w:szCs w:val="24"/>
        </w:rPr>
        <w:t>.</w:t>
      </w:r>
      <w:r w:rsidR="004A0C6A" w:rsidRPr="002B630E">
        <w:rPr>
          <w:rStyle w:val="FootnoteReference"/>
          <w:rFonts w:ascii="Times New Roman" w:hAnsi="Times New Roman" w:cs="Times New Roman"/>
          <w:sz w:val="24"/>
          <w:szCs w:val="24"/>
        </w:rPr>
        <w:footnoteReference w:id="32"/>
      </w:r>
      <w:r w:rsidRPr="002B630E">
        <w:rPr>
          <w:rFonts w:ascii="Times New Roman" w:hAnsi="Times New Roman" w:cs="Times New Roman"/>
          <w:sz w:val="24"/>
          <w:szCs w:val="24"/>
        </w:rPr>
        <w:t xml:space="preserve"> Therefore, the </w:t>
      </w:r>
      <w:r w:rsidR="007B17A9" w:rsidRPr="002B630E">
        <w:rPr>
          <w:rFonts w:ascii="Times New Roman" w:hAnsi="Times New Roman" w:cs="Times New Roman"/>
          <w:sz w:val="24"/>
          <w:szCs w:val="24"/>
        </w:rPr>
        <w:t>additional didactic aids</w:t>
      </w:r>
      <w:r w:rsidRPr="002B630E">
        <w:rPr>
          <w:rFonts w:ascii="Times New Roman" w:hAnsi="Times New Roman" w:cs="Times New Roman"/>
          <w:sz w:val="24"/>
          <w:szCs w:val="24"/>
        </w:rPr>
        <w:t xml:space="preserve"> employed in the presentation of this example may be the only witnesses to his theoretical intentions. </w:t>
      </w:r>
    </w:p>
    <w:p w14:paraId="460B446D" w14:textId="78BAC60F" w:rsidR="00745E23" w:rsidRPr="002B630E" w:rsidRDefault="00745E23"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t xml:space="preserve">There may </w:t>
      </w:r>
      <w:r w:rsidR="007B17A9" w:rsidRPr="002B630E">
        <w:rPr>
          <w:rFonts w:ascii="Times New Roman" w:hAnsi="Times New Roman" w:cs="Times New Roman"/>
          <w:sz w:val="24"/>
          <w:szCs w:val="24"/>
        </w:rPr>
        <w:t xml:space="preserve">also </w:t>
      </w:r>
      <w:r w:rsidRPr="002B630E">
        <w:rPr>
          <w:rFonts w:ascii="Times New Roman" w:hAnsi="Times New Roman" w:cs="Times New Roman"/>
          <w:sz w:val="24"/>
          <w:szCs w:val="24"/>
        </w:rPr>
        <w:t xml:space="preserve">be a contextual explanation to this slightly confusing moment if </w:t>
      </w:r>
      <w:r w:rsidR="008F71B5" w:rsidRPr="002B630E">
        <w:rPr>
          <w:rFonts w:ascii="Times New Roman" w:hAnsi="Times New Roman" w:cs="Times New Roman"/>
          <w:sz w:val="24"/>
          <w:szCs w:val="24"/>
        </w:rPr>
        <w:t>the previous chapter of the treatise</w:t>
      </w:r>
      <w:r w:rsidR="000E36B7" w:rsidRPr="002B630E">
        <w:rPr>
          <w:rFonts w:ascii="Times New Roman" w:hAnsi="Times New Roman" w:cs="Times New Roman"/>
          <w:sz w:val="24"/>
          <w:szCs w:val="24"/>
        </w:rPr>
        <w:t xml:space="preserve"> (II.xxxiii)</w:t>
      </w:r>
      <w:r w:rsidR="008F71B5" w:rsidRPr="002B630E">
        <w:rPr>
          <w:rFonts w:ascii="Times New Roman" w:hAnsi="Times New Roman" w:cs="Times New Roman"/>
          <w:sz w:val="24"/>
          <w:szCs w:val="24"/>
        </w:rPr>
        <w:t xml:space="preserve"> is considered briefly</w:t>
      </w:r>
      <w:r w:rsidRPr="002B630E">
        <w:rPr>
          <w:rFonts w:ascii="Times New Roman" w:hAnsi="Times New Roman" w:cs="Times New Roman"/>
          <w:sz w:val="24"/>
          <w:szCs w:val="24"/>
        </w:rPr>
        <w:t>. Margaret Bent, amongst others, has discussed this chapter at great length</w:t>
      </w:r>
      <w:r w:rsidR="008F71B5" w:rsidRPr="002B630E">
        <w:rPr>
          <w:rFonts w:ascii="Times New Roman" w:hAnsi="Times New Roman" w:cs="Times New Roman"/>
          <w:sz w:val="24"/>
          <w:szCs w:val="24"/>
        </w:rPr>
        <w:t xml:space="preserve"> and thus the discussion here will not consider </w:t>
      </w:r>
      <w:r w:rsidRPr="002B630E">
        <w:rPr>
          <w:rFonts w:ascii="Times New Roman" w:hAnsi="Times New Roman" w:cs="Times New Roman"/>
          <w:sz w:val="24"/>
          <w:szCs w:val="24"/>
        </w:rPr>
        <w:t>the</w:t>
      </w:r>
      <w:r w:rsidR="008F71B5" w:rsidRPr="002B630E">
        <w:rPr>
          <w:rFonts w:ascii="Times New Roman" w:hAnsi="Times New Roman" w:cs="Times New Roman"/>
          <w:sz w:val="24"/>
          <w:szCs w:val="24"/>
        </w:rPr>
        <w:t xml:space="preserve"> </w:t>
      </w:r>
      <w:r w:rsidR="00715F65" w:rsidRPr="002B630E">
        <w:rPr>
          <w:rFonts w:ascii="Times New Roman" w:hAnsi="Times New Roman" w:cs="Times New Roman"/>
          <w:sz w:val="24"/>
          <w:szCs w:val="24"/>
        </w:rPr>
        <w:t xml:space="preserve">much broader </w:t>
      </w:r>
      <w:r w:rsidR="008F71B5" w:rsidRPr="002B630E">
        <w:rPr>
          <w:rFonts w:ascii="Times New Roman" w:hAnsi="Times New Roman" w:cs="Times New Roman"/>
          <w:sz w:val="24"/>
          <w:szCs w:val="24"/>
        </w:rPr>
        <w:t xml:space="preserve">implications </w:t>
      </w:r>
      <w:r w:rsidRPr="002B630E">
        <w:rPr>
          <w:rFonts w:ascii="Times New Roman" w:hAnsi="Times New Roman" w:cs="Times New Roman"/>
          <w:sz w:val="24"/>
          <w:szCs w:val="24"/>
        </w:rPr>
        <w:t>of this passage.</w:t>
      </w:r>
      <w:r w:rsidR="008F71B5" w:rsidRPr="002B630E">
        <w:rPr>
          <w:rStyle w:val="FootnoteReference"/>
          <w:rFonts w:ascii="Times New Roman" w:hAnsi="Times New Roman" w:cs="Times New Roman"/>
          <w:sz w:val="24"/>
          <w:szCs w:val="24"/>
        </w:rPr>
        <w:footnoteReference w:id="33"/>
      </w:r>
      <w:r w:rsidR="00715F65" w:rsidRPr="002B630E">
        <w:rPr>
          <w:rFonts w:ascii="Times New Roman" w:hAnsi="Times New Roman" w:cs="Times New Roman"/>
          <w:sz w:val="24"/>
          <w:szCs w:val="24"/>
        </w:rPr>
        <w:t xml:space="preserve"> For now, it will suffice to </w:t>
      </w:r>
      <w:r w:rsidRPr="002B630E">
        <w:rPr>
          <w:rFonts w:ascii="Times New Roman" w:hAnsi="Times New Roman" w:cs="Times New Roman"/>
          <w:sz w:val="24"/>
          <w:szCs w:val="24"/>
        </w:rPr>
        <w:t xml:space="preserve">say that Tinctoris never unambiguously demonstrates a ‘false’ octave </w:t>
      </w:r>
      <w:r w:rsidR="00E175FF" w:rsidRPr="002B630E">
        <w:rPr>
          <w:rFonts w:ascii="Times New Roman" w:hAnsi="Times New Roman" w:cs="Times New Roman"/>
          <w:sz w:val="24"/>
          <w:szCs w:val="24"/>
        </w:rPr>
        <w:t>created by the use of the</w:t>
      </w:r>
      <w:r w:rsidR="00B067EF" w:rsidRPr="002B630E">
        <w:rPr>
          <w:rFonts w:ascii="Times New Roman" w:hAnsi="Times New Roman" w:cs="Times New Roman"/>
          <w:sz w:val="24"/>
          <w:szCs w:val="24"/>
        </w:rPr>
        <w:t xml:space="preserve"> chromatic semitone </w:t>
      </w:r>
      <w:r w:rsidRPr="002B630E">
        <w:rPr>
          <w:rFonts w:ascii="Times New Roman" w:hAnsi="Times New Roman" w:cs="Times New Roman"/>
          <w:sz w:val="24"/>
          <w:szCs w:val="24"/>
        </w:rPr>
        <w:t xml:space="preserve">in his three </w:t>
      </w:r>
      <w:r w:rsidR="002D2F41">
        <w:rPr>
          <w:rFonts w:ascii="Times New Roman" w:hAnsi="Times New Roman" w:cs="Times New Roman"/>
          <w:sz w:val="24"/>
          <w:szCs w:val="24"/>
        </w:rPr>
        <w:t>quotations from</w:t>
      </w:r>
      <w:r w:rsidRPr="002B630E">
        <w:rPr>
          <w:rFonts w:ascii="Times New Roman" w:hAnsi="Times New Roman" w:cs="Times New Roman"/>
          <w:sz w:val="24"/>
          <w:szCs w:val="24"/>
        </w:rPr>
        <w:t xml:space="preserve"> works by Faug</w:t>
      </w:r>
      <w:r w:rsidR="007B0FF7" w:rsidRPr="002B630E">
        <w:rPr>
          <w:rFonts w:ascii="Times New Roman" w:hAnsi="Times New Roman" w:cs="Times New Roman"/>
          <w:sz w:val="24"/>
          <w:szCs w:val="24"/>
        </w:rPr>
        <w:t>u</w:t>
      </w:r>
      <w:r w:rsidRPr="002B630E">
        <w:rPr>
          <w:rFonts w:ascii="Times New Roman" w:hAnsi="Times New Roman" w:cs="Times New Roman"/>
          <w:sz w:val="24"/>
          <w:szCs w:val="24"/>
        </w:rPr>
        <w:t xml:space="preserve">es, </w:t>
      </w:r>
      <w:r w:rsidR="00560D33" w:rsidRPr="002B630E">
        <w:rPr>
          <w:rFonts w:ascii="Times New Roman" w:hAnsi="Times New Roman" w:cs="Times New Roman"/>
          <w:sz w:val="24"/>
          <w:szCs w:val="24"/>
        </w:rPr>
        <w:t>Busnoys</w:t>
      </w:r>
      <w:r w:rsidRPr="002B630E">
        <w:rPr>
          <w:rFonts w:ascii="Times New Roman" w:hAnsi="Times New Roman" w:cs="Times New Roman"/>
          <w:sz w:val="24"/>
          <w:szCs w:val="24"/>
        </w:rPr>
        <w:t>, and Caron</w:t>
      </w:r>
      <w:r w:rsidR="0049776F">
        <w:rPr>
          <w:rFonts w:ascii="Times New Roman" w:hAnsi="Times New Roman" w:cs="Times New Roman"/>
          <w:sz w:val="24"/>
          <w:szCs w:val="24"/>
        </w:rPr>
        <w:t xml:space="preserve"> in II.xxxiii.5</w:t>
      </w:r>
      <w:r w:rsidRPr="002B630E">
        <w:rPr>
          <w:rFonts w:ascii="Times New Roman" w:hAnsi="Times New Roman" w:cs="Times New Roman"/>
          <w:sz w:val="24"/>
          <w:szCs w:val="24"/>
        </w:rPr>
        <w:t>. The apparent omission of</w:t>
      </w:r>
      <w:r w:rsidR="008F0B73" w:rsidRPr="002B630E">
        <w:rPr>
          <w:rFonts w:ascii="Times New Roman" w:hAnsi="Times New Roman" w:cs="Times New Roman"/>
          <w:sz w:val="24"/>
          <w:szCs w:val="24"/>
        </w:rPr>
        <w:t xml:space="preserve"> an</w:t>
      </w:r>
      <w:r w:rsidRPr="002B630E">
        <w:rPr>
          <w:rFonts w:ascii="Times New Roman" w:hAnsi="Times New Roman" w:cs="Times New Roman"/>
          <w:sz w:val="24"/>
          <w:szCs w:val="24"/>
        </w:rPr>
        <w:t xml:space="preserve"> unambiguously notated false octave from </w:t>
      </w:r>
      <w:r w:rsidR="00C83CD1" w:rsidRPr="002B630E">
        <w:rPr>
          <w:rFonts w:ascii="Times New Roman" w:hAnsi="Times New Roman" w:cs="Times New Roman"/>
          <w:sz w:val="24"/>
          <w:szCs w:val="24"/>
        </w:rPr>
        <w:t>Tinctoris’s</w:t>
      </w:r>
      <w:r w:rsidRPr="002B630E">
        <w:rPr>
          <w:rFonts w:ascii="Times New Roman" w:hAnsi="Times New Roman" w:cs="Times New Roman"/>
          <w:sz w:val="24"/>
          <w:szCs w:val="24"/>
        </w:rPr>
        <w:t xml:space="preserve"> own example might suggest that </w:t>
      </w:r>
      <w:r w:rsidR="000E36B7" w:rsidRPr="002B630E">
        <w:rPr>
          <w:rFonts w:ascii="Times New Roman" w:hAnsi="Times New Roman" w:cs="Times New Roman"/>
          <w:sz w:val="24"/>
          <w:szCs w:val="24"/>
        </w:rPr>
        <w:t xml:space="preserve">this was a practice that was tacitly understood, and therefore did not require detailed explication. Perhaps though, </w:t>
      </w:r>
      <w:r w:rsidRPr="002B630E">
        <w:rPr>
          <w:rFonts w:ascii="Times New Roman" w:hAnsi="Times New Roman" w:cs="Times New Roman"/>
          <w:sz w:val="24"/>
          <w:szCs w:val="24"/>
        </w:rPr>
        <w:t>Tinctoris was not entirely sure how to deploy this dissonance in the manner that his contemporaries would. Indeed, it is in his discussion of the chromatic semitone where Tinctoris appears to get somewhat muddled, building his theoretical points upon a slight misunderstanding of Marchet</w:t>
      </w:r>
      <w:r w:rsidR="00CE6C88" w:rsidRPr="002B630E">
        <w:rPr>
          <w:rFonts w:ascii="Times New Roman" w:hAnsi="Times New Roman" w:cs="Times New Roman"/>
          <w:sz w:val="24"/>
          <w:szCs w:val="24"/>
        </w:rPr>
        <w:t>us</w:t>
      </w:r>
      <w:r w:rsidRPr="002B630E">
        <w:rPr>
          <w:rFonts w:ascii="Times New Roman" w:hAnsi="Times New Roman" w:cs="Times New Roman"/>
          <w:sz w:val="24"/>
          <w:szCs w:val="24"/>
        </w:rPr>
        <w:t xml:space="preserve"> of Padua’s theory of a five-part </w:t>
      </w:r>
      <w:r w:rsidR="004E64B8">
        <w:rPr>
          <w:rFonts w:ascii="Times New Roman" w:hAnsi="Times New Roman" w:cs="Times New Roman"/>
          <w:sz w:val="24"/>
          <w:szCs w:val="24"/>
        </w:rPr>
        <w:t>division of the tone</w:t>
      </w:r>
      <w:r w:rsidRPr="002B630E">
        <w:rPr>
          <w:rFonts w:ascii="Times New Roman" w:hAnsi="Times New Roman" w:cs="Times New Roman"/>
          <w:sz w:val="24"/>
          <w:szCs w:val="24"/>
        </w:rPr>
        <w:t>.</w:t>
      </w:r>
      <w:r w:rsidRPr="002B630E">
        <w:rPr>
          <w:rStyle w:val="FootnoteReference"/>
          <w:rFonts w:ascii="Times New Roman" w:hAnsi="Times New Roman" w:cs="Times New Roman"/>
          <w:sz w:val="24"/>
          <w:szCs w:val="24"/>
        </w:rPr>
        <w:footnoteReference w:id="34"/>
      </w:r>
      <w:r w:rsidR="00E175FF" w:rsidRPr="002B630E">
        <w:rPr>
          <w:rFonts w:ascii="Times New Roman" w:hAnsi="Times New Roman" w:cs="Times New Roman"/>
          <w:sz w:val="24"/>
          <w:szCs w:val="24"/>
        </w:rPr>
        <w:t xml:space="preserve"> </w:t>
      </w:r>
      <w:r w:rsidR="000E36B7" w:rsidRPr="002B630E">
        <w:rPr>
          <w:rFonts w:ascii="Times New Roman" w:hAnsi="Times New Roman" w:cs="Times New Roman"/>
          <w:sz w:val="24"/>
          <w:szCs w:val="24"/>
        </w:rPr>
        <w:t>Whatever the reasons behind this point of ambiguity</w:t>
      </w:r>
      <w:r w:rsidR="00E175FF" w:rsidRPr="002B630E">
        <w:rPr>
          <w:rFonts w:ascii="Times New Roman" w:hAnsi="Times New Roman" w:cs="Times New Roman"/>
          <w:sz w:val="24"/>
          <w:szCs w:val="24"/>
        </w:rPr>
        <w:t xml:space="preserve">, </w:t>
      </w:r>
      <w:r w:rsidR="000E36B7" w:rsidRPr="002B630E">
        <w:rPr>
          <w:rFonts w:ascii="Times New Roman" w:hAnsi="Times New Roman" w:cs="Times New Roman"/>
          <w:sz w:val="24"/>
          <w:szCs w:val="24"/>
        </w:rPr>
        <w:t xml:space="preserve">it is certainly clear that </w:t>
      </w:r>
      <w:r w:rsidR="00E175FF" w:rsidRPr="002B630E">
        <w:rPr>
          <w:rFonts w:ascii="Times New Roman" w:hAnsi="Times New Roman" w:cs="Times New Roman"/>
          <w:sz w:val="24"/>
          <w:szCs w:val="24"/>
        </w:rPr>
        <w:t xml:space="preserve">a </w:t>
      </w:r>
      <w:r w:rsidR="00E175FF" w:rsidRPr="002B630E">
        <w:rPr>
          <w:rFonts w:ascii="Times New Roman" w:hAnsi="Times New Roman" w:cs="Times New Roman"/>
          <w:sz w:val="24"/>
          <w:szCs w:val="24"/>
        </w:rPr>
        <w:lastRenderedPageBreak/>
        <w:t xml:space="preserve">dissonance of this type was intended, and </w:t>
      </w:r>
      <w:r w:rsidR="000E36B7" w:rsidRPr="002B630E">
        <w:rPr>
          <w:rFonts w:ascii="Times New Roman" w:hAnsi="Times New Roman" w:cs="Times New Roman"/>
          <w:sz w:val="24"/>
          <w:szCs w:val="24"/>
        </w:rPr>
        <w:t xml:space="preserve">that the </w:t>
      </w:r>
      <w:r w:rsidR="00240A11">
        <w:rPr>
          <w:rFonts w:ascii="Times New Roman" w:hAnsi="Times New Roman" w:cs="Times New Roman"/>
          <w:i/>
          <w:sz w:val="24"/>
          <w:szCs w:val="24"/>
        </w:rPr>
        <w:t>signum proprium</w:t>
      </w:r>
      <w:r w:rsidR="000E36B7" w:rsidRPr="002B630E">
        <w:rPr>
          <w:rFonts w:ascii="Times New Roman" w:hAnsi="Times New Roman" w:cs="Times New Roman"/>
          <w:sz w:val="24"/>
          <w:szCs w:val="24"/>
        </w:rPr>
        <w:t xml:space="preserve"> was not included in the exemplar copy, either on account of a small mistake, or on the grounds of implied performance practice. </w:t>
      </w:r>
    </w:p>
    <w:p w14:paraId="394CDE6B" w14:textId="75A37E3F" w:rsidR="00DA57BF" w:rsidRPr="002B630E" w:rsidRDefault="00A20F61"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r>
      <w:r w:rsidRPr="002B630E">
        <w:rPr>
          <w:rFonts w:ascii="Times New Roman" w:hAnsi="Times New Roman" w:cs="Times New Roman"/>
          <w:i/>
          <w:sz w:val="24"/>
          <w:szCs w:val="24"/>
        </w:rPr>
        <w:t xml:space="preserve">Signa congruentiae </w:t>
      </w:r>
      <w:r w:rsidRPr="002B630E">
        <w:rPr>
          <w:rFonts w:ascii="Times New Roman" w:hAnsi="Times New Roman" w:cs="Times New Roman"/>
          <w:sz w:val="24"/>
          <w:szCs w:val="24"/>
        </w:rPr>
        <w:t xml:space="preserve">continue to appear in </w:t>
      </w:r>
      <w:r w:rsidR="00C83CD1" w:rsidRPr="002B630E">
        <w:rPr>
          <w:rFonts w:ascii="Times New Roman" w:hAnsi="Times New Roman" w:cs="Times New Roman"/>
          <w:sz w:val="24"/>
          <w:szCs w:val="24"/>
        </w:rPr>
        <w:t>Tinctoris’s</w:t>
      </w:r>
      <w:r w:rsidRPr="002B630E">
        <w:rPr>
          <w:rFonts w:ascii="Times New Roman" w:hAnsi="Times New Roman" w:cs="Times New Roman"/>
          <w:sz w:val="24"/>
          <w:szCs w:val="24"/>
        </w:rPr>
        <w:t xml:space="preserve"> newly composed pedagogical miniatures </w:t>
      </w:r>
      <w:r w:rsidR="002A2B47">
        <w:rPr>
          <w:rFonts w:ascii="Times New Roman" w:hAnsi="Times New Roman" w:cs="Times New Roman"/>
          <w:sz w:val="24"/>
          <w:szCs w:val="24"/>
        </w:rPr>
        <w:t xml:space="preserve">in </w:t>
      </w:r>
      <w:r w:rsidR="002A2B47">
        <w:rPr>
          <w:rFonts w:ascii="Times New Roman" w:hAnsi="Times New Roman" w:cs="Times New Roman"/>
          <w:b/>
          <w:sz w:val="24"/>
          <w:szCs w:val="24"/>
        </w:rPr>
        <w:t xml:space="preserve">V </w:t>
      </w:r>
      <w:r w:rsidR="002A2B47">
        <w:rPr>
          <w:rFonts w:ascii="Times New Roman" w:hAnsi="Times New Roman" w:cs="Times New Roman"/>
          <w:sz w:val="24"/>
          <w:szCs w:val="24"/>
        </w:rPr>
        <w:t xml:space="preserve">and </w:t>
      </w:r>
      <w:r w:rsidR="002A2B47">
        <w:rPr>
          <w:rFonts w:ascii="Times New Roman" w:hAnsi="Times New Roman" w:cs="Times New Roman"/>
          <w:b/>
          <w:sz w:val="24"/>
          <w:szCs w:val="24"/>
        </w:rPr>
        <w:t xml:space="preserve">BU </w:t>
      </w:r>
      <w:r w:rsidRPr="002B630E">
        <w:rPr>
          <w:rFonts w:ascii="Times New Roman" w:hAnsi="Times New Roman" w:cs="Times New Roman"/>
          <w:sz w:val="24"/>
          <w:szCs w:val="24"/>
        </w:rPr>
        <w:t xml:space="preserve">throughout the latter stages of the second book, and the entire third book of the treatise. Thus far in the treatise, </w:t>
      </w:r>
      <w:r w:rsidRPr="002B630E">
        <w:rPr>
          <w:rFonts w:ascii="Times New Roman" w:hAnsi="Times New Roman" w:cs="Times New Roman"/>
          <w:i/>
          <w:sz w:val="24"/>
          <w:szCs w:val="24"/>
        </w:rPr>
        <w:t xml:space="preserve">signa </w:t>
      </w:r>
      <w:r w:rsidRPr="002B630E">
        <w:rPr>
          <w:rFonts w:ascii="Times New Roman" w:hAnsi="Times New Roman" w:cs="Times New Roman"/>
          <w:sz w:val="24"/>
          <w:szCs w:val="24"/>
        </w:rPr>
        <w:t xml:space="preserve">have been used to indicate points of alignment, to highlight specific moments in the notation closely relating to theoretical points that the example accompanies, and as an indicator of dissonance itself, though this last category is almost certainly down to </w:t>
      </w:r>
      <w:r w:rsidR="005A3AB7" w:rsidRPr="002B630E">
        <w:rPr>
          <w:rFonts w:ascii="Times New Roman" w:hAnsi="Times New Roman" w:cs="Times New Roman"/>
          <w:sz w:val="24"/>
          <w:szCs w:val="24"/>
        </w:rPr>
        <w:t xml:space="preserve">an error in an exemplar or the </w:t>
      </w:r>
      <w:r w:rsidRPr="002B630E">
        <w:rPr>
          <w:rFonts w:ascii="Times New Roman" w:hAnsi="Times New Roman" w:cs="Times New Roman"/>
          <w:sz w:val="24"/>
          <w:szCs w:val="24"/>
        </w:rPr>
        <w:t>scribal omission</w:t>
      </w:r>
      <w:r w:rsidR="00303C85" w:rsidRPr="002B630E">
        <w:rPr>
          <w:rFonts w:ascii="Times New Roman" w:hAnsi="Times New Roman" w:cs="Times New Roman"/>
          <w:sz w:val="24"/>
          <w:szCs w:val="24"/>
        </w:rPr>
        <w:t xml:space="preserve"> of a </w:t>
      </w:r>
      <w:r w:rsidR="005A3AB7" w:rsidRPr="002B630E">
        <w:rPr>
          <w:rFonts w:ascii="Times New Roman" w:hAnsi="Times New Roman" w:cs="Times New Roman"/>
          <w:sz w:val="24"/>
          <w:szCs w:val="24"/>
        </w:rPr>
        <w:t xml:space="preserve">crucial </w:t>
      </w:r>
      <w:r w:rsidR="00303C85" w:rsidRPr="002B630E">
        <w:rPr>
          <w:rFonts w:ascii="Times New Roman" w:hAnsi="Times New Roman" w:cs="Times New Roman"/>
          <w:sz w:val="24"/>
          <w:szCs w:val="24"/>
        </w:rPr>
        <w:t>chromatic semitone</w:t>
      </w:r>
      <w:r w:rsidRPr="002B630E">
        <w:rPr>
          <w:rFonts w:ascii="Times New Roman" w:hAnsi="Times New Roman" w:cs="Times New Roman"/>
          <w:sz w:val="24"/>
          <w:szCs w:val="24"/>
        </w:rPr>
        <w:t xml:space="preserve">. </w:t>
      </w:r>
      <w:r w:rsidR="00DA57BF" w:rsidRPr="002B630E">
        <w:rPr>
          <w:rFonts w:ascii="Times New Roman" w:hAnsi="Times New Roman" w:cs="Times New Roman"/>
          <w:sz w:val="24"/>
          <w:szCs w:val="24"/>
        </w:rPr>
        <w:t xml:space="preserve">There is, however, one final type of </w:t>
      </w:r>
      <w:r w:rsidR="00DA57BF" w:rsidRPr="002B630E">
        <w:rPr>
          <w:rFonts w:ascii="Times New Roman" w:hAnsi="Times New Roman" w:cs="Times New Roman"/>
          <w:i/>
          <w:sz w:val="24"/>
          <w:szCs w:val="24"/>
        </w:rPr>
        <w:t xml:space="preserve">signa </w:t>
      </w:r>
      <w:r w:rsidR="00DA57BF" w:rsidRPr="002B630E">
        <w:rPr>
          <w:rFonts w:ascii="Times New Roman" w:hAnsi="Times New Roman" w:cs="Times New Roman"/>
          <w:sz w:val="24"/>
          <w:szCs w:val="24"/>
        </w:rPr>
        <w:t xml:space="preserve">usage found in the treatise on counterpoint. </w:t>
      </w:r>
      <w:r w:rsidR="001D7035" w:rsidRPr="002B630E">
        <w:rPr>
          <w:rFonts w:ascii="Times New Roman" w:hAnsi="Times New Roman" w:cs="Times New Roman"/>
          <w:sz w:val="24"/>
          <w:szCs w:val="24"/>
        </w:rPr>
        <w:t xml:space="preserve">The penultimate </w:t>
      </w:r>
      <w:r w:rsidR="000E36B7" w:rsidRPr="002B630E">
        <w:rPr>
          <w:rFonts w:ascii="Times New Roman" w:hAnsi="Times New Roman" w:cs="Times New Roman"/>
          <w:sz w:val="24"/>
          <w:szCs w:val="24"/>
        </w:rPr>
        <w:t xml:space="preserve">notated </w:t>
      </w:r>
      <w:r w:rsidR="001D7035" w:rsidRPr="002B630E">
        <w:rPr>
          <w:rFonts w:ascii="Times New Roman" w:hAnsi="Times New Roman" w:cs="Times New Roman"/>
          <w:sz w:val="24"/>
          <w:szCs w:val="24"/>
        </w:rPr>
        <w:t>example of the treatise</w:t>
      </w:r>
      <w:r w:rsidRPr="002B630E">
        <w:rPr>
          <w:rFonts w:ascii="Times New Roman" w:hAnsi="Times New Roman" w:cs="Times New Roman"/>
          <w:sz w:val="24"/>
          <w:szCs w:val="24"/>
        </w:rPr>
        <w:t xml:space="preserve"> uses this symbol to </w:t>
      </w:r>
      <w:r w:rsidR="000E36B7" w:rsidRPr="002B630E">
        <w:rPr>
          <w:rFonts w:ascii="Times New Roman" w:hAnsi="Times New Roman" w:cs="Times New Roman"/>
          <w:sz w:val="24"/>
          <w:szCs w:val="24"/>
        </w:rPr>
        <w:t xml:space="preserve">draw attention to </w:t>
      </w:r>
      <w:r w:rsidRPr="002B630E">
        <w:rPr>
          <w:rFonts w:ascii="Times New Roman" w:hAnsi="Times New Roman" w:cs="Times New Roman"/>
          <w:sz w:val="24"/>
          <w:szCs w:val="24"/>
        </w:rPr>
        <w:t xml:space="preserve">a specific sonic effect rather than a </w:t>
      </w:r>
      <w:r w:rsidR="000E36B7" w:rsidRPr="002B630E">
        <w:rPr>
          <w:rFonts w:ascii="Times New Roman" w:hAnsi="Times New Roman" w:cs="Times New Roman"/>
          <w:sz w:val="24"/>
          <w:szCs w:val="24"/>
        </w:rPr>
        <w:t xml:space="preserve">specific </w:t>
      </w:r>
      <w:r w:rsidRPr="002B630E">
        <w:rPr>
          <w:rFonts w:ascii="Times New Roman" w:hAnsi="Times New Roman" w:cs="Times New Roman"/>
          <w:sz w:val="24"/>
          <w:szCs w:val="24"/>
        </w:rPr>
        <w:t>dissonance</w:t>
      </w:r>
      <w:r w:rsidR="00DA57BF" w:rsidRPr="002B630E">
        <w:rPr>
          <w:rFonts w:ascii="Times New Roman" w:hAnsi="Times New Roman" w:cs="Times New Roman"/>
          <w:sz w:val="24"/>
          <w:szCs w:val="24"/>
        </w:rPr>
        <w:t xml:space="preserve"> or point of congruence in the traditional sense</w:t>
      </w:r>
      <w:r w:rsidRPr="002B630E">
        <w:rPr>
          <w:rFonts w:ascii="Times New Roman" w:hAnsi="Times New Roman" w:cs="Times New Roman"/>
          <w:sz w:val="24"/>
          <w:szCs w:val="24"/>
        </w:rPr>
        <w:t xml:space="preserve">. </w:t>
      </w:r>
    </w:p>
    <w:p w14:paraId="574E45A4" w14:textId="37FD37C2" w:rsidR="00791910" w:rsidRPr="002B630E" w:rsidRDefault="00962304" w:rsidP="00B95FCD">
      <w:pPr>
        <w:spacing w:line="480" w:lineRule="auto"/>
        <w:ind w:firstLine="720"/>
        <w:jc w:val="both"/>
        <w:rPr>
          <w:rFonts w:ascii="Times New Roman" w:hAnsi="Times New Roman" w:cs="Times New Roman"/>
          <w:sz w:val="24"/>
          <w:szCs w:val="24"/>
        </w:rPr>
      </w:pPr>
      <w:r w:rsidRPr="002B630E">
        <w:rPr>
          <w:rFonts w:ascii="Times New Roman" w:hAnsi="Times New Roman" w:cs="Times New Roman"/>
          <w:sz w:val="24"/>
          <w:szCs w:val="24"/>
        </w:rPr>
        <w:t>Th</w:t>
      </w:r>
      <w:r w:rsidR="000E36B7" w:rsidRPr="002B630E">
        <w:rPr>
          <w:rFonts w:ascii="Times New Roman" w:hAnsi="Times New Roman" w:cs="Times New Roman"/>
          <w:sz w:val="24"/>
          <w:szCs w:val="24"/>
        </w:rPr>
        <w:t>e</w:t>
      </w:r>
      <w:r w:rsidRPr="002B630E">
        <w:rPr>
          <w:rFonts w:ascii="Times New Roman" w:hAnsi="Times New Roman" w:cs="Times New Roman"/>
          <w:sz w:val="24"/>
          <w:szCs w:val="24"/>
        </w:rPr>
        <w:t xml:space="preserve"> example </w:t>
      </w:r>
      <w:r w:rsidR="000949DE" w:rsidRPr="002B630E">
        <w:rPr>
          <w:rFonts w:ascii="Times New Roman" w:hAnsi="Times New Roman" w:cs="Times New Roman"/>
          <w:sz w:val="24"/>
          <w:szCs w:val="24"/>
        </w:rPr>
        <w:t xml:space="preserve">in question </w:t>
      </w:r>
      <w:r w:rsidR="004A0C6A" w:rsidRPr="002B630E">
        <w:rPr>
          <w:rFonts w:ascii="Times New Roman" w:hAnsi="Times New Roman" w:cs="Times New Roman"/>
          <w:sz w:val="24"/>
          <w:szCs w:val="24"/>
        </w:rPr>
        <w:t xml:space="preserve">(Figure 5) </w:t>
      </w:r>
      <w:r w:rsidRPr="002B630E">
        <w:rPr>
          <w:rFonts w:ascii="Times New Roman" w:hAnsi="Times New Roman" w:cs="Times New Roman"/>
          <w:sz w:val="24"/>
          <w:szCs w:val="24"/>
        </w:rPr>
        <w:t xml:space="preserve">is found in </w:t>
      </w:r>
      <w:r w:rsidR="000E36B7" w:rsidRPr="002B630E">
        <w:rPr>
          <w:rFonts w:ascii="Times New Roman" w:hAnsi="Times New Roman" w:cs="Times New Roman"/>
          <w:sz w:val="24"/>
          <w:szCs w:val="24"/>
        </w:rPr>
        <w:t>III.vi</w:t>
      </w:r>
      <w:r w:rsidR="001D7035" w:rsidRPr="002B630E">
        <w:rPr>
          <w:rFonts w:ascii="Times New Roman" w:hAnsi="Times New Roman" w:cs="Times New Roman"/>
          <w:sz w:val="24"/>
          <w:szCs w:val="24"/>
        </w:rPr>
        <w:t xml:space="preserve"> and accompanies a discussion central to understanding </w:t>
      </w:r>
      <w:r w:rsidR="00C83CD1" w:rsidRPr="002B630E">
        <w:rPr>
          <w:rFonts w:ascii="Times New Roman" w:hAnsi="Times New Roman" w:cs="Times New Roman"/>
          <w:sz w:val="24"/>
          <w:szCs w:val="24"/>
        </w:rPr>
        <w:t>Tinctoris’s</w:t>
      </w:r>
      <w:r w:rsidR="001D7035" w:rsidRPr="002B630E">
        <w:rPr>
          <w:rFonts w:ascii="Times New Roman" w:hAnsi="Times New Roman" w:cs="Times New Roman"/>
          <w:sz w:val="24"/>
          <w:szCs w:val="24"/>
        </w:rPr>
        <w:t xml:space="preserve"> concept</w:t>
      </w:r>
      <w:r w:rsidR="00FA4099" w:rsidRPr="002B630E">
        <w:rPr>
          <w:rFonts w:ascii="Times New Roman" w:hAnsi="Times New Roman" w:cs="Times New Roman"/>
          <w:sz w:val="24"/>
          <w:szCs w:val="24"/>
        </w:rPr>
        <w:t>s</w:t>
      </w:r>
      <w:r w:rsidR="001D7035" w:rsidRPr="002B630E">
        <w:rPr>
          <w:rFonts w:ascii="Times New Roman" w:hAnsi="Times New Roman" w:cs="Times New Roman"/>
          <w:sz w:val="24"/>
          <w:szCs w:val="24"/>
        </w:rPr>
        <w:t xml:space="preserve"> of </w:t>
      </w:r>
      <w:r w:rsidR="001D7035" w:rsidRPr="002B630E">
        <w:rPr>
          <w:rFonts w:ascii="Times New Roman" w:hAnsi="Times New Roman" w:cs="Times New Roman"/>
          <w:i/>
          <w:sz w:val="24"/>
          <w:szCs w:val="24"/>
        </w:rPr>
        <w:t>varietas</w:t>
      </w:r>
      <w:r w:rsidR="00CD3D59" w:rsidRPr="002B630E">
        <w:rPr>
          <w:rFonts w:ascii="Times New Roman" w:hAnsi="Times New Roman" w:cs="Times New Roman"/>
          <w:i/>
          <w:sz w:val="24"/>
          <w:szCs w:val="24"/>
        </w:rPr>
        <w:t xml:space="preserve"> </w:t>
      </w:r>
      <w:r w:rsidR="00FA4099" w:rsidRPr="002B630E">
        <w:rPr>
          <w:rFonts w:ascii="Times New Roman" w:hAnsi="Times New Roman" w:cs="Times New Roman"/>
          <w:sz w:val="24"/>
          <w:szCs w:val="24"/>
        </w:rPr>
        <w:t xml:space="preserve">and </w:t>
      </w:r>
      <w:r w:rsidR="00FA4099" w:rsidRPr="002B630E">
        <w:rPr>
          <w:rFonts w:ascii="Times New Roman" w:hAnsi="Times New Roman" w:cs="Times New Roman"/>
          <w:i/>
          <w:sz w:val="24"/>
          <w:szCs w:val="24"/>
        </w:rPr>
        <w:t xml:space="preserve">redicte </w:t>
      </w:r>
      <w:r w:rsidR="00CD3D59" w:rsidRPr="002B630E">
        <w:rPr>
          <w:rFonts w:ascii="Times New Roman" w:hAnsi="Times New Roman" w:cs="Times New Roman"/>
          <w:sz w:val="24"/>
          <w:szCs w:val="24"/>
        </w:rPr>
        <w:t>in music</w:t>
      </w:r>
      <w:r w:rsidR="001D7035" w:rsidRPr="002B630E">
        <w:rPr>
          <w:rFonts w:ascii="Times New Roman" w:hAnsi="Times New Roman" w:cs="Times New Roman"/>
          <w:i/>
          <w:sz w:val="24"/>
          <w:szCs w:val="24"/>
        </w:rPr>
        <w:t>.</w:t>
      </w:r>
      <w:r w:rsidR="00CD3D59" w:rsidRPr="002B630E">
        <w:rPr>
          <w:rStyle w:val="FootnoteReference"/>
          <w:rFonts w:ascii="Times New Roman" w:hAnsi="Times New Roman" w:cs="Times New Roman"/>
          <w:sz w:val="24"/>
          <w:szCs w:val="24"/>
        </w:rPr>
        <w:footnoteReference w:id="35"/>
      </w:r>
      <w:r w:rsidR="001D7035" w:rsidRPr="002B630E">
        <w:rPr>
          <w:rFonts w:ascii="Times New Roman" w:hAnsi="Times New Roman" w:cs="Times New Roman"/>
          <w:i/>
          <w:sz w:val="24"/>
          <w:szCs w:val="24"/>
        </w:rPr>
        <w:t xml:space="preserve"> </w:t>
      </w:r>
      <w:r w:rsidR="00920AA6" w:rsidRPr="002B630E">
        <w:rPr>
          <w:rFonts w:ascii="Times New Roman" w:hAnsi="Times New Roman" w:cs="Times New Roman"/>
          <w:i/>
          <w:sz w:val="24"/>
          <w:szCs w:val="24"/>
        </w:rPr>
        <w:t>Varietas</w:t>
      </w:r>
      <w:r w:rsidR="00920AA6" w:rsidRPr="002B630E">
        <w:rPr>
          <w:rFonts w:ascii="Times New Roman" w:hAnsi="Times New Roman" w:cs="Times New Roman"/>
          <w:sz w:val="24"/>
          <w:szCs w:val="24"/>
        </w:rPr>
        <w:t xml:space="preserve"> was a concept derived from the </w:t>
      </w:r>
      <w:r w:rsidR="00920AA6" w:rsidRPr="002B630E">
        <w:rPr>
          <w:rFonts w:ascii="Times New Roman" w:hAnsi="Times New Roman" w:cs="Times New Roman"/>
          <w:i/>
          <w:sz w:val="24"/>
          <w:szCs w:val="24"/>
        </w:rPr>
        <w:t xml:space="preserve">trivium </w:t>
      </w:r>
      <w:r w:rsidR="00744C77" w:rsidRPr="002B630E">
        <w:rPr>
          <w:rFonts w:ascii="Times New Roman" w:hAnsi="Times New Roman" w:cs="Times New Roman"/>
          <w:sz w:val="24"/>
          <w:szCs w:val="24"/>
        </w:rPr>
        <w:t xml:space="preserve">(grammar, rhetoric, </w:t>
      </w:r>
      <w:r w:rsidR="00150710" w:rsidRPr="002B630E">
        <w:rPr>
          <w:rFonts w:ascii="Times New Roman" w:hAnsi="Times New Roman" w:cs="Times New Roman"/>
          <w:sz w:val="24"/>
          <w:szCs w:val="24"/>
        </w:rPr>
        <w:t>logic</w:t>
      </w:r>
      <w:r w:rsidR="00744C77" w:rsidRPr="002B630E">
        <w:rPr>
          <w:rFonts w:ascii="Times New Roman" w:hAnsi="Times New Roman" w:cs="Times New Roman"/>
          <w:sz w:val="24"/>
          <w:szCs w:val="24"/>
        </w:rPr>
        <w:t xml:space="preserve">) </w:t>
      </w:r>
      <w:r w:rsidR="00920AA6" w:rsidRPr="002B630E">
        <w:rPr>
          <w:rFonts w:ascii="Times New Roman" w:hAnsi="Times New Roman" w:cs="Times New Roman"/>
          <w:sz w:val="24"/>
          <w:szCs w:val="24"/>
        </w:rPr>
        <w:t xml:space="preserve">that encouraged the use of </w:t>
      </w:r>
      <w:r w:rsidR="00C36862" w:rsidRPr="002B630E">
        <w:rPr>
          <w:rFonts w:ascii="Times New Roman" w:hAnsi="Times New Roman" w:cs="Times New Roman"/>
          <w:sz w:val="24"/>
          <w:szCs w:val="24"/>
        </w:rPr>
        <w:t xml:space="preserve">a variety of rhetorical and grammatical figures and devices </w:t>
      </w:r>
      <w:r w:rsidR="00920AA6" w:rsidRPr="002B630E">
        <w:rPr>
          <w:rFonts w:ascii="Times New Roman" w:hAnsi="Times New Roman" w:cs="Times New Roman"/>
          <w:sz w:val="24"/>
          <w:szCs w:val="24"/>
        </w:rPr>
        <w:t xml:space="preserve">to maintain interest in an oration. </w:t>
      </w:r>
      <w:r w:rsidR="00FA4099" w:rsidRPr="002B630E">
        <w:rPr>
          <w:rFonts w:ascii="Times New Roman" w:hAnsi="Times New Roman" w:cs="Times New Roman"/>
          <w:sz w:val="24"/>
          <w:szCs w:val="24"/>
        </w:rPr>
        <w:t>It influenced all aspects of the composition of a speech and was discussed at length by Cicero</w:t>
      </w:r>
      <w:r w:rsidR="00DF43EA" w:rsidRPr="002B630E">
        <w:rPr>
          <w:rFonts w:ascii="Times New Roman" w:hAnsi="Times New Roman" w:cs="Times New Roman"/>
          <w:sz w:val="24"/>
          <w:szCs w:val="24"/>
        </w:rPr>
        <w:t xml:space="preserve"> </w:t>
      </w:r>
      <w:r w:rsidR="00FA4099" w:rsidRPr="002B630E">
        <w:rPr>
          <w:rFonts w:ascii="Times New Roman" w:hAnsi="Times New Roman" w:cs="Times New Roman"/>
          <w:sz w:val="24"/>
          <w:szCs w:val="24"/>
        </w:rPr>
        <w:t xml:space="preserve">in his </w:t>
      </w:r>
      <w:r w:rsidR="00FA4099" w:rsidRPr="002B630E">
        <w:rPr>
          <w:rFonts w:ascii="Times New Roman" w:hAnsi="Times New Roman" w:cs="Times New Roman"/>
          <w:i/>
          <w:sz w:val="24"/>
          <w:szCs w:val="24"/>
        </w:rPr>
        <w:t>De oratore</w:t>
      </w:r>
      <w:r w:rsidR="00DF43EA" w:rsidRPr="002B630E">
        <w:rPr>
          <w:rFonts w:ascii="Times New Roman" w:hAnsi="Times New Roman" w:cs="Times New Roman"/>
          <w:sz w:val="24"/>
          <w:szCs w:val="24"/>
        </w:rPr>
        <w:t>, amongst other authors</w:t>
      </w:r>
      <w:r w:rsidR="00FA4099" w:rsidRPr="002B630E">
        <w:rPr>
          <w:rFonts w:ascii="Times New Roman" w:hAnsi="Times New Roman" w:cs="Times New Roman"/>
          <w:i/>
          <w:sz w:val="24"/>
          <w:szCs w:val="24"/>
        </w:rPr>
        <w:t>.</w:t>
      </w:r>
      <w:r w:rsidR="00FA4099" w:rsidRPr="002B630E">
        <w:rPr>
          <w:rFonts w:ascii="Times New Roman" w:hAnsi="Times New Roman" w:cs="Times New Roman"/>
          <w:sz w:val="24"/>
          <w:szCs w:val="24"/>
        </w:rPr>
        <w:t xml:space="preserve"> </w:t>
      </w:r>
      <w:r w:rsidR="00DF43EA" w:rsidRPr="002B630E">
        <w:rPr>
          <w:rFonts w:ascii="Times New Roman" w:hAnsi="Times New Roman" w:cs="Times New Roman"/>
          <w:sz w:val="24"/>
          <w:szCs w:val="24"/>
        </w:rPr>
        <w:t xml:space="preserve">Alexis </w:t>
      </w:r>
      <w:r w:rsidR="00FA4099" w:rsidRPr="002B630E">
        <w:rPr>
          <w:rFonts w:ascii="Times New Roman" w:hAnsi="Times New Roman" w:cs="Times New Roman"/>
          <w:sz w:val="24"/>
          <w:szCs w:val="24"/>
        </w:rPr>
        <w:t xml:space="preserve">Luko observes that </w:t>
      </w:r>
      <w:r w:rsidR="00C83CD1" w:rsidRPr="002B630E">
        <w:rPr>
          <w:rFonts w:ascii="Times New Roman" w:hAnsi="Times New Roman" w:cs="Times New Roman"/>
          <w:sz w:val="24"/>
          <w:szCs w:val="24"/>
        </w:rPr>
        <w:t>Tinctoris’s</w:t>
      </w:r>
      <w:r w:rsidR="00FA4099" w:rsidRPr="002B630E">
        <w:rPr>
          <w:rFonts w:ascii="Times New Roman" w:hAnsi="Times New Roman" w:cs="Times New Roman"/>
          <w:sz w:val="24"/>
          <w:szCs w:val="24"/>
        </w:rPr>
        <w:t xml:space="preserve"> conception of </w:t>
      </w:r>
      <w:r w:rsidR="00FA4099" w:rsidRPr="002B630E">
        <w:rPr>
          <w:rFonts w:ascii="Times New Roman" w:hAnsi="Times New Roman" w:cs="Times New Roman"/>
          <w:i/>
          <w:sz w:val="24"/>
          <w:szCs w:val="24"/>
        </w:rPr>
        <w:t>varietas</w:t>
      </w:r>
      <w:r w:rsidR="00FA4099" w:rsidRPr="002B630E">
        <w:rPr>
          <w:rFonts w:ascii="Times New Roman" w:hAnsi="Times New Roman" w:cs="Times New Roman"/>
          <w:sz w:val="24"/>
          <w:szCs w:val="24"/>
        </w:rPr>
        <w:t xml:space="preserve"> cannot merely be described as ‘variety’, but has a more limited definition and application</w:t>
      </w:r>
      <w:r w:rsidR="0036053D" w:rsidRPr="002B630E">
        <w:rPr>
          <w:rFonts w:ascii="Times New Roman" w:hAnsi="Times New Roman" w:cs="Times New Roman"/>
          <w:sz w:val="24"/>
          <w:szCs w:val="24"/>
        </w:rPr>
        <w:t xml:space="preserve"> than </w:t>
      </w:r>
      <w:r w:rsidR="00C36862" w:rsidRPr="002B630E">
        <w:rPr>
          <w:rFonts w:ascii="Times New Roman" w:hAnsi="Times New Roman" w:cs="Times New Roman"/>
          <w:sz w:val="24"/>
          <w:szCs w:val="24"/>
        </w:rPr>
        <w:t xml:space="preserve">many musicologists have suggested, </w:t>
      </w:r>
      <w:r w:rsidR="00517E5C" w:rsidRPr="002B630E">
        <w:rPr>
          <w:rFonts w:ascii="Times New Roman" w:hAnsi="Times New Roman" w:cs="Times New Roman"/>
          <w:sz w:val="24"/>
          <w:szCs w:val="24"/>
        </w:rPr>
        <w:t>tied</w:t>
      </w:r>
      <w:r w:rsidR="0036053D" w:rsidRPr="002B630E">
        <w:rPr>
          <w:rFonts w:ascii="Times New Roman" w:hAnsi="Times New Roman" w:cs="Times New Roman"/>
          <w:sz w:val="24"/>
          <w:szCs w:val="24"/>
        </w:rPr>
        <w:t xml:space="preserve"> more closely to the theories </w:t>
      </w:r>
      <w:r w:rsidR="0036053D" w:rsidRPr="002B630E">
        <w:rPr>
          <w:rFonts w:ascii="Times New Roman" w:hAnsi="Times New Roman" w:cs="Times New Roman"/>
          <w:sz w:val="24"/>
          <w:szCs w:val="24"/>
        </w:rPr>
        <w:lastRenderedPageBreak/>
        <w:t>associated with rhetoric</w:t>
      </w:r>
      <w:r w:rsidR="00FA4099" w:rsidRPr="002B630E">
        <w:rPr>
          <w:rFonts w:ascii="Times New Roman" w:hAnsi="Times New Roman" w:cs="Times New Roman"/>
          <w:sz w:val="24"/>
          <w:szCs w:val="24"/>
        </w:rPr>
        <w:t>. The concept of r</w:t>
      </w:r>
      <w:r w:rsidR="00FA4099" w:rsidRPr="002B630E">
        <w:rPr>
          <w:rFonts w:ascii="Times New Roman" w:hAnsi="Times New Roman" w:cs="Times New Roman"/>
          <w:i/>
          <w:sz w:val="24"/>
          <w:szCs w:val="24"/>
        </w:rPr>
        <w:t>edicte</w:t>
      </w:r>
      <w:r w:rsidR="00FA4099" w:rsidRPr="002B630E">
        <w:rPr>
          <w:rFonts w:ascii="Times New Roman" w:hAnsi="Times New Roman" w:cs="Times New Roman"/>
          <w:sz w:val="24"/>
          <w:szCs w:val="24"/>
        </w:rPr>
        <w:t xml:space="preserve"> </w:t>
      </w:r>
      <w:r w:rsidR="00DF43EA" w:rsidRPr="002B630E">
        <w:rPr>
          <w:rFonts w:ascii="Times New Roman" w:hAnsi="Times New Roman" w:cs="Times New Roman"/>
          <w:sz w:val="24"/>
          <w:szCs w:val="24"/>
        </w:rPr>
        <w:t>is dialectically related</w:t>
      </w:r>
      <w:r w:rsidR="00FA4099" w:rsidRPr="002B630E">
        <w:rPr>
          <w:rFonts w:ascii="Times New Roman" w:hAnsi="Times New Roman" w:cs="Times New Roman"/>
          <w:sz w:val="24"/>
          <w:szCs w:val="24"/>
        </w:rPr>
        <w:t xml:space="preserve"> to </w:t>
      </w:r>
      <w:r w:rsidR="00FA4099" w:rsidRPr="002B630E">
        <w:rPr>
          <w:rFonts w:ascii="Times New Roman" w:hAnsi="Times New Roman" w:cs="Times New Roman"/>
          <w:i/>
          <w:sz w:val="24"/>
          <w:szCs w:val="24"/>
        </w:rPr>
        <w:t>varietas</w:t>
      </w:r>
      <w:r w:rsidR="00FA4099" w:rsidRPr="002B630E">
        <w:rPr>
          <w:rFonts w:ascii="Times New Roman" w:hAnsi="Times New Roman" w:cs="Times New Roman"/>
          <w:sz w:val="24"/>
          <w:szCs w:val="24"/>
        </w:rPr>
        <w:t xml:space="preserve">, referring to the repetition of </w:t>
      </w:r>
      <w:r w:rsidR="00C36862" w:rsidRPr="002B630E">
        <w:rPr>
          <w:rFonts w:ascii="Times New Roman" w:hAnsi="Times New Roman" w:cs="Times New Roman"/>
          <w:sz w:val="24"/>
          <w:szCs w:val="24"/>
        </w:rPr>
        <w:t>figurations</w:t>
      </w:r>
      <w:r w:rsidR="00FA4099" w:rsidRPr="002B630E">
        <w:rPr>
          <w:rFonts w:ascii="Times New Roman" w:hAnsi="Times New Roman" w:cs="Times New Roman"/>
          <w:sz w:val="24"/>
          <w:szCs w:val="24"/>
        </w:rPr>
        <w:t>. The relationship and interaction between the two concepts</w:t>
      </w:r>
      <w:r w:rsidR="00C36862" w:rsidRPr="002B630E">
        <w:rPr>
          <w:rFonts w:ascii="Times New Roman" w:hAnsi="Times New Roman" w:cs="Times New Roman"/>
          <w:sz w:val="24"/>
          <w:szCs w:val="24"/>
        </w:rPr>
        <w:t xml:space="preserve"> in musical composition, and style in a broader sense,</w:t>
      </w:r>
      <w:r w:rsidR="00FA4099" w:rsidRPr="002B630E">
        <w:rPr>
          <w:rFonts w:ascii="Times New Roman" w:hAnsi="Times New Roman" w:cs="Times New Roman"/>
          <w:sz w:val="24"/>
          <w:szCs w:val="24"/>
        </w:rPr>
        <w:t xml:space="preserve"> is important</w:t>
      </w:r>
      <w:r w:rsidR="00920AA6" w:rsidRPr="002B630E">
        <w:rPr>
          <w:rFonts w:ascii="Times New Roman" w:hAnsi="Times New Roman" w:cs="Times New Roman"/>
          <w:sz w:val="24"/>
          <w:szCs w:val="24"/>
        </w:rPr>
        <w:t xml:space="preserve"> </w:t>
      </w:r>
      <w:r w:rsidR="003C7459" w:rsidRPr="002B630E">
        <w:rPr>
          <w:rFonts w:ascii="Times New Roman" w:hAnsi="Times New Roman" w:cs="Times New Roman"/>
          <w:sz w:val="24"/>
          <w:szCs w:val="24"/>
        </w:rPr>
        <w:t xml:space="preserve">to our understanding of fifteenth-century musical practice, </w:t>
      </w:r>
      <w:r w:rsidR="00920AA6" w:rsidRPr="002B630E">
        <w:rPr>
          <w:rFonts w:ascii="Times New Roman" w:hAnsi="Times New Roman" w:cs="Times New Roman"/>
          <w:sz w:val="24"/>
          <w:szCs w:val="24"/>
        </w:rPr>
        <w:t xml:space="preserve">but goes beyond the scope of this article. </w:t>
      </w:r>
      <w:r w:rsidR="00C36862" w:rsidRPr="002B630E">
        <w:rPr>
          <w:rFonts w:ascii="Times New Roman" w:hAnsi="Times New Roman" w:cs="Times New Roman"/>
          <w:sz w:val="24"/>
          <w:szCs w:val="24"/>
        </w:rPr>
        <w:t>T</w:t>
      </w:r>
      <w:r w:rsidR="00723563" w:rsidRPr="002B630E">
        <w:rPr>
          <w:rFonts w:ascii="Times New Roman" w:hAnsi="Times New Roman" w:cs="Times New Roman"/>
          <w:sz w:val="24"/>
          <w:szCs w:val="24"/>
        </w:rPr>
        <w:t>he discussion that follows self-consciously focuss</w:t>
      </w:r>
      <w:r w:rsidR="00920AA6" w:rsidRPr="002B630E">
        <w:rPr>
          <w:rFonts w:ascii="Times New Roman" w:hAnsi="Times New Roman" w:cs="Times New Roman"/>
          <w:sz w:val="24"/>
          <w:szCs w:val="24"/>
        </w:rPr>
        <w:t>es</w:t>
      </w:r>
      <w:r w:rsidR="00723563" w:rsidRPr="002B630E">
        <w:rPr>
          <w:rFonts w:ascii="Times New Roman" w:hAnsi="Times New Roman" w:cs="Times New Roman"/>
          <w:sz w:val="24"/>
          <w:szCs w:val="24"/>
        </w:rPr>
        <w:t xml:space="preserve"> on </w:t>
      </w:r>
      <w:r w:rsidR="00920AA6" w:rsidRPr="002B630E">
        <w:rPr>
          <w:rFonts w:ascii="Times New Roman" w:hAnsi="Times New Roman" w:cs="Times New Roman"/>
          <w:sz w:val="24"/>
          <w:szCs w:val="24"/>
        </w:rPr>
        <w:t>one side of this two-part relationship</w:t>
      </w:r>
      <w:r w:rsidR="00FA4099" w:rsidRPr="002B630E">
        <w:rPr>
          <w:rFonts w:ascii="Times New Roman" w:hAnsi="Times New Roman" w:cs="Times New Roman"/>
          <w:sz w:val="24"/>
          <w:szCs w:val="24"/>
        </w:rPr>
        <w:t>.</w:t>
      </w:r>
    </w:p>
    <w:p w14:paraId="422D95DC" w14:textId="4A23C877" w:rsidR="000949DE" w:rsidRPr="002B630E" w:rsidRDefault="000949DE" w:rsidP="00B95FCD">
      <w:pPr>
        <w:spacing w:line="480" w:lineRule="auto"/>
        <w:ind w:firstLine="720"/>
        <w:jc w:val="both"/>
        <w:rPr>
          <w:rFonts w:ascii="Times New Roman" w:hAnsi="Times New Roman" w:cs="Times New Roman"/>
          <w:sz w:val="24"/>
          <w:szCs w:val="24"/>
        </w:rPr>
      </w:pPr>
      <w:r w:rsidRPr="002B630E">
        <w:rPr>
          <w:rFonts w:ascii="Times New Roman" w:hAnsi="Times New Roman" w:cs="Times New Roman"/>
          <w:sz w:val="24"/>
          <w:szCs w:val="24"/>
        </w:rPr>
        <w:t xml:space="preserve">In discussing the musical applications of </w:t>
      </w:r>
      <w:r w:rsidRPr="002B630E">
        <w:rPr>
          <w:rFonts w:ascii="Times New Roman" w:hAnsi="Times New Roman" w:cs="Times New Roman"/>
          <w:i/>
          <w:sz w:val="24"/>
          <w:szCs w:val="24"/>
        </w:rPr>
        <w:t xml:space="preserve">redicte </w:t>
      </w:r>
      <w:r w:rsidRPr="002B630E">
        <w:rPr>
          <w:rFonts w:ascii="Times New Roman" w:hAnsi="Times New Roman" w:cs="Times New Roman"/>
          <w:sz w:val="24"/>
          <w:szCs w:val="24"/>
        </w:rPr>
        <w:t>in III.vi, Tinctoris includes an example of extempore-style counterpoint and an interesting polyphonic miniature that, by implication, recognises the need to maintain variety other than for the purposes of creating specific sonic effects. Tinctoris’s use of a pedagogical miniature here to show elements of contrapuntal style marks a significant innovation from the more restricted newly composed examples of earlier texts</w:t>
      </w:r>
      <w:r w:rsidR="00AD0FE4" w:rsidRPr="002B630E">
        <w:rPr>
          <w:rFonts w:ascii="Times New Roman" w:hAnsi="Times New Roman" w:cs="Times New Roman"/>
          <w:sz w:val="24"/>
          <w:szCs w:val="24"/>
        </w:rPr>
        <w:t>, or indeed of his discussions of necessarily narrowly defined theoretical precepts</w:t>
      </w:r>
      <w:r w:rsidRPr="002B630E">
        <w:rPr>
          <w:rFonts w:ascii="Times New Roman" w:hAnsi="Times New Roman" w:cs="Times New Roman"/>
          <w:sz w:val="24"/>
          <w:szCs w:val="24"/>
        </w:rPr>
        <w:t xml:space="preserve">. After introducing the requirement to avoid motivic repetition by means of a two-part extempore-style example of note-against-note counterpoint, Tinctoris writes: </w:t>
      </w:r>
    </w:p>
    <w:p w14:paraId="69DAEAE4" w14:textId="77777777" w:rsidR="000949DE" w:rsidRPr="002B630E" w:rsidRDefault="000949DE" w:rsidP="00B95FCD">
      <w:pPr>
        <w:spacing w:line="48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9"/>
        <w:gridCol w:w="4517"/>
      </w:tblGrid>
      <w:tr w:rsidR="000949DE" w:rsidRPr="002B630E" w14:paraId="308C0220" w14:textId="77777777" w:rsidTr="009A63EE">
        <w:tc>
          <w:tcPr>
            <w:tcW w:w="4621" w:type="dxa"/>
          </w:tcPr>
          <w:p w14:paraId="0E722218" w14:textId="77777777" w:rsidR="000949DE" w:rsidRPr="002B630E" w:rsidRDefault="000949DE"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Et quamvis ex omni parte in re facta regulariter etiam prohibeantur, aliquando tamen sonum campanarum aut tubarum imitando ubique tollerantur, ut hic patet:</w:t>
            </w:r>
          </w:p>
          <w:p w14:paraId="4B92B076" w14:textId="77777777" w:rsidR="000949DE" w:rsidRPr="002B630E" w:rsidRDefault="000949DE" w:rsidP="00B95FCD">
            <w:pPr>
              <w:spacing w:line="480" w:lineRule="auto"/>
              <w:jc w:val="both"/>
              <w:rPr>
                <w:rFonts w:ascii="Times New Roman" w:hAnsi="Times New Roman" w:cs="Times New Roman"/>
                <w:sz w:val="24"/>
                <w:szCs w:val="24"/>
              </w:rPr>
            </w:pPr>
          </w:p>
          <w:p w14:paraId="55886C1E" w14:textId="77777777" w:rsidR="000949DE" w:rsidRPr="002B630E" w:rsidRDefault="000949DE" w:rsidP="00B95FCD">
            <w:pPr>
              <w:spacing w:line="480" w:lineRule="auto"/>
              <w:jc w:val="center"/>
              <w:rPr>
                <w:rFonts w:ascii="Times New Roman" w:hAnsi="Times New Roman" w:cs="Times New Roman"/>
                <w:sz w:val="24"/>
                <w:szCs w:val="24"/>
              </w:rPr>
            </w:pPr>
            <w:r w:rsidRPr="002B630E">
              <w:rPr>
                <w:rFonts w:ascii="Times New Roman" w:hAnsi="Times New Roman" w:cs="Times New Roman"/>
                <w:sz w:val="24"/>
                <w:szCs w:val="24"/>
              </w:rPr>
              <w:t>[EXEMPLUM]</w:t>
            </w:r>
          </w:p>
          <w:p w14:paraId="6DA89F26" w14:textId="77777777" w:rsidR="000949DE" w:rsidRPr="002B630E" w:rsidRDefault="000949DE"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Utque patet in his exemplis, redicta nihil aliud est quam unius aut plurium coniunctionum continua repetitio.</w:t>
            </w:r>
          </w:p>
        </w:tc>
        <w:tc>
          <w:tcPr>
            <w:tcW w:w="4621" w:type="dxa"/>
          </w:tcPr>
          <w:p w14:paraId="78EE765A" w14:textId="77777777" w:rsidR="000949DE" w:rsidRPr="002B630E" w:rsidRDefault="000949DE"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And, although these are also prohibited by rule from every part in composed music, sometimes, however, in imitating the sound of bells and trumpets, they are tolerated everywhere, as is clear here:</w:t>
            </w:r>
          </w:p>
          <w:p w14:paraId="6F3F5D25" w14:textId="77777777" w:rsidR="000949DE" w:rsidRPr="002B630E" w:rsidRDefault="000949DE" w:rsidP="00B95FCD">
            <w:pPr>
              <w:spacing w:line="480" w:lineRule="auto"/>
              <w:jc w:val="center"/>
              <w:rPr>
                <w:rFonts w:ascii="Times New Roman" w:hAnsi="Times New Roman" w:cs="Times New Roman"/>
                <w:sz w:val="24"/>
                <w:szCs w:val="24"/>
              </w:rPr>
            </w:pPr>
            <w:r w:rsidRPr="002B630E">
              <w:rPr>
                <w:rFonts w:ascii="Times New Roman" w:hAnsi="Times New Roman" w:cs="Times New Roman"/>
                <w:sz w:val="24"/>
                <w:szCs w:val="24"/>
              </w:rPr>
              <w:t>[EXAMPLE]</w:t>
            </w:r>
          </w:p>
          <w:p w14:paraId="6CE5376B" w14:textId="77777777" w:rsidR="000949DE" w:rsidRPr="002B630E" w:rsidRDefault="000949DE"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 xml:space="preserve">As is seen in these examples, repetition is nothing other than the continuous reiteration </w:t>
            </w:r>
            <w:r w:rsidRPr="002B630E">
              <w:rPr>
                <w:rFonts w:ascii="Times New Roman" w:hAnsi="Times New Roman" w:cs="Times New Roman"/>
                <w:sz w:val="24"/>
                <w:szCs w:val="24"/>
              </w:rPr>
              <w:lastRenderedPageBreak/>
              <w:t xml:space="preserve">of one or more melodic intervals </w:t>
            </w:r>
            <w:r w:rsidRPr="002B630E">
              <w:rPr>
                <w:rFonts w:ascii="Times New Roman" w:hAnsi="Times New Roman" w:cs="Times New Roman"/>
                <w:i/>
                <w:sz w:val="24"/>
                <w:szCs w:val="24"/>
              </w:rPr>
              <w:t>(conjunctiones)</w:t>
            </w:r>
            <w:r w:rsidRPr="002B630E">
              <w:rPr>
                <w:rFonts w:ascii="Times New Roman" w:hAnsi="Times New Roman" w:cs="Times New Roman"/>
                <w:sz w:val="24"/>
                <w:szCs w:val="24"/>
              </w:rPr>
              <w:t>.</w:t>
            </w:r>
            <w:r w:rsidRPr="002B630E">
              <w:rPr>
                <w:rStyle w:val="FootnoteReference"/>
                <w:rFonts w:ascii="Times New Roman" w:hAnsi="Times New Roman" w:cs="Times New Roman"/>
                <w:sz w:val="24"/>
                <w:szCs w:val="24"/>
              </w:rPr>
              <w:footnoteReference w:id="36"/>
            </w:r>
          </w:p>
        </w:tc>
      </w:tr>
    </w:tbl>
    <w:p w14:paraId="063A6204" w14:textId="77777777" w:rsidR="000949DE" w:rsidRPr="002B630E" w:rsidRDefault="000949DE" w:rsidP="00B95FCD">
      <w:pPr>
        <w:spacing w:line="480" w:lineRule="auto"/>
        <w:jc w:val="both"/>
        <w:rPr>
          <w:rFonts w:ascii="Times New Roman" w:hAnsi="Times New Roman" w:cs="Times New Roman"/>
          <w:sz w:val="24"/>
          <w:szCs w:val="24"/>
        </w:rPr>
      </w:pPr>
    </w:p>
    <w:p w14:paraId="08CEE582" w14:textId="19AF42AB" w:rsidR="000949DE" w:rsidRPr="002B630E" w:rsidRDefault="000949DE"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 xml:space="preserve">In the musical example that accompanies this point (see </w:t>
      </w:r>
      <w:r w:rsidR="004A0C6A" w:rsidRPr="002B630E">
        <w:rPr>
          <w:rFonts w:ascii="Times New Roman" w:hAnsi="Times New Roman" w:cs="Times New Roman"/>
          <w:sz w:val="24"/>
          <w:szCs w:val="24"/>
        </w:rPr>
        <w:t>Figures 5 and 6</w:t>
      </w:r>
      <w:r w:rsidR="004A0C6A" w:rsidRPr="002B630E">
        <w:rPr>
          <w:rFonts w:ascii="Times New Roman" w:hAnsi="Times New Roman" w:cs="Times New Roman"/>
          <w:noProof/>
          <w:sz w:val="24"/>
          <w:szCs w:val="24"/>
        </w:rPr>
        <w:t>)</w:t>
      </w:r>
      <w:r w:rsidRPr="002B630E">
        <w:rPr>
          <w:rFonts w:ascii="Times New Roman" w:hAnsi="Times New Roman" w:cs="Times New Roman"/>
          <w:noProof/>
          <w:sz w:val="24"/>
          <w:szCs w:val="24"/>
        </w:rPr>
        <w:t xml:space="preserve">, </w:t>
      </w:r>
      <w:r w:rsidRPr="002B630E">
        <w:rPr>
          <w:rFonts w:ascii="Times New Roman" w:hAnsi="Times New Roman" w:cs="Times New Roman"/>
          <w:sz w:val="24"/>
          <w:szCs w:val="24"/>
        </w:rPr>
        <w:t xml:space="preserve">Tinctoris includes </w:t>
      </w:r>
      <w:r w:rsidR="00C971C0">
        <w:rPr>
          <w:rFonts w:ascii="Times New Roman" w:hAnsi="Times New Roman" w:cs="Times New Roman"/>
          <w:sz w:val="24"/>
          <w:szCs w:val="24"/>
        </w:rPr>
        <w:t>five</w:t>
      </w:r>
      <w:r w:rsidRPr="002B630E">
        <w:rPr>
          <w:rFonts w:ascii="Times New Roman" w:hAnsi="Times New Roman" w:cs="Times New Roman"/>
          <w:sz w:val="24"/>
          <w:szCs w:val="24"/>
        </w:rPr>
        <w:t xml:space="preserve"> instances of repeated figures, with the most striking occurring across all three voices towards the end of the example.</w:t>
      </w:r>
      <w:r w:rsidRPr="002B630E">
        <w:rPr>
          <w:rStyle w:val="FootnoteReference"/>
          <w:rFonts w:ascii="Times New Roman" w:hAnsi="Times New Roman" w:cs="Times New Roman"/>
          <w:sz w:val="24"/>
          <w:szCs w:val="24"/>
        </w:rPr>
        <w:footnoteReference w:id="37"/>
      </w:r>
      <w:r w:rsidRPr="002B630E">
        <w:rPr>
          <w:rFonts w:ascii="Times New Roman" w:hAnsi="Times New Roman" w:cs="Times New Roman"/>
          <w:sz w:val="24"/>
          <w:szCs w:val="24"/>
        </w:rPr>
        <w:t xml:space="preserve"> Tinctoris’s text outlines the permissible scenarios for repeating patterns within a contrapuntal context, stating that they are permissible everywhere when imitating the sound of bells and trumpets. Although Tinctoris’s text specifies the type</w:t>
      </w:r>
      <w:r w:rsidR="00AD0FE4" w:rsidRPr="002B630E">
        <w:rPr>
          <w:rFonts w:ascii="Times New Roman" w:hAnsi="Times New Roman" w:cs="Times New Roman"/>
          <w:sz w:val="24"/>
          <w:szCs w:val="24"/>
        </w:rPr>
        <w:t>s</w:t>
      </w:r>
      <w:r w:rsidRPr="002B630E">
        <w:rPr>
          <w:rFonts w:ascii="Times New Roman" w:hAnsi="Times New Roman" w:cs="Times New Roman"/>
          <w:sz w:val="24"/>
          <w:szCs w:val="24"/>
        </w:rPr>
        <w:t xml:space="preserve"> of material</w:t>
      </w:r>
      <w:r w:rsidR="00AD0FE4" w:rsidRPr="002B630E">
        <w:rPr>
          <w:rFonts w:ascii="Times New Roman" w:hAnsi="Times New Roman" w:cs="Times New Roman"/>
          <w:sz w:val="24"/>
          <w:szCs w:val="24"/>
        </w:rPr>
        <w:t xml:space="preserve"> he deems acceptable </w:t>
      </w:r>
      <w:r w:rsidRPr="002B630E">
        <w:rPr>
          <w:rFonts w:ascii="Times New Roman" w:hAnsi="Times New Roman" w:cs="Times New Roman"/>
          <w:sz w:val="24"/>
          <w:szCs w:val="24"/>
        </w:rPr>
        <w:t>to repeat in a polyphonic context, he does not provide any further details regarding the musical shape or rhythm of such figures</w:t>
      </w:r>
      <w:r w:rsidR="00AD0FE4" w:rsidRPr="002B630E">
        <w:rPr>
          <w:rFonts w:ascii="Times New Roman" w:hAnsi="Times New Roman" w:cs="Times New Roman"/>
          <w:sz w:val="24"/>
          <w:szCs w:val="24"/>
        </w:rPr>
        <w:t xml:space="preserve">. He simply states </w:t>
      </w:r>
      <w:r w:rsidRPr="002B630E">
        <w:rPr>
          <w:rFonts w:ascii="Times New Roman" w:hAnsi="Times New Roman" w:cs="Times New Roman"/>
          <w:sz w:val="24"/>
          <w:szCs w:val="24"/>
        </w:rPr>
        <w:t xml:space="preserve">their sonic effects: perhaps we are to assume that these were such commonplaces for his readers that their construction required no further explication. </w:t>
      </w:r>
    </w:p>
    <w:p w14:paraId="04476C98" w14:textId="2B354B4F" w:rsidR="000949DE" w:rsidRPr="002C60EF" w:rsidRDefault="002C60EF" w:rsidP="00B95FCD">
      <w:pPr>
        <w:keepNext/>
        <w:spacing w:line="480" w:lineRule="auto"/>
        <w:jc w:val="center"/>
        <w:rPr>
          <w:rFonts w:ascii="Times New Roman" w:hAnsi="Times New Roman" w:cs="Times New Roman"/>
          <w:sz w:val="24"/>
          <w:szCs w:val="24"/>
        </w:rPr>
      </w:pPr>
      <w:r w:rsidRPr="002C60EF">
        <w:rPr>
          <w:rFonts w:ascii="Times New Roman" w:hAnsi="Times New Roman" w:cs="Times New Roman"/>
          <w:noProof/>
          <w:sz w:val="24"/>
          <w:szCs w:val="24"/>
          <w:lang w:eastAsia="en-GB"/>
        </w:rPr>
        <w:t>[FIG 5 HERE]</w:t>
      </w:r>
    </w:p>
    <w:p w14:paraId="431DB7D2" w14:textId="60B07A6D" w:rsidR="000949DE" w:rsidRPr="002B630E" w:rsidRDefault="000949DE" w:rsidP="00EF611D">
      <w:pPr>
        <w:pStyle w:val="Caption2"/>
        <w:spacing w:line="480" w:lineRule="auto"/>
        <w:jc w:val="left"/>
        <w:rPr>
          <w:szCs w:val="24"/>
        </w:rPr>
      </w:pPr>
      <w:bookmarkStart w:id="13" w:name="_Ref301615933"/>
      <w:bookmarkStart w:id="14" w:name="_Toc433639898"/>
      <w:bookmarkStart w:id="15" w:name="_Toc433894653"/>
      <w:bookmarkStart w:id="16" w:name="_Toc307846380"/>
      <w:bookmarkStart w:id="17" w:name="_Toc308721453"/>
      <w:bookmarkStart w:id="18" w:name="_Toc308721763"/>
      <w:bookmarkStart w:id="19" w:name="_Toc309827219"/>
      <w:r w:rsidRPr="002B630E">
        <w:rPr>
          <w:szCs w:val="24"/>
        </w:rPr>
        <w:t xml:space="preserve">Figure </w:t>
      </w:r>
      <w:r w:rsidRPr="002B630E">
        <w:rPr>
          <w:noProof/>
          <w:szCs w:val="24"/>
        </w:rPr>
        <w:t>5</w:t>
      </w:r>
      <w:bookmarkEnd w:id="13"/>
      <w:r w:rsidRPr="002B630E">
        <w:rPr>
          <w:szCs w:val="24"/>
        </w:rPr>
        <w:t xml:space="preserve">. </w:t>
      </w:r>
      <w:bookmarkStart w:id="20" w:name="_Toc308722550"/>
      <w:bookmarkStart w:id="21" w:name="_Toc309827294"/>
      <w:bookmarkStart w:id="22" w:name="_Toc309932650"/>
      <w:bookmarkStart w:id="23" w:name="_Toc309935466"/>
      <w:r w:rsidRPr="002B630E">
        <w:rPr>
          <w:szCs w:val="24"/>
        </w:rPr>
        <w:t xml:space="preserve">Tinctoris, </w:t>
      </w:r>
      <w:r w:rsidRPr="002B630E">
        <w:rPr>
          <w:i/>
          <w:szCs w:val="24"/>
        </w:rPr>
        <w:t>De contr.</w:t>
      </w:r>
      <w:r w:rsidRPr="002B630E">
        <w:rPr>
          <w:szCs w:val="24"/>
        </w:rPr>
        <w:t>, III.vi. Example showing the use of repeated figures to sound as ‘bells and trumpets’</w:t>
      </w:r>
      <w:r w:rsidR="00791910" w:rsidRPr="002B630E">
        <w:rPr>
          <w:szCs w:val="24"/>
        </w:rPr>
        <w:t>,</w:t>
      </w:r>
      <w:r w:rsidRPr="002B630E">
        <w:rPr>
          <w:szCs w:val="24"/>
        </w:rPr>
        <w:t xml:space="preserve"> </w:t>
      </w:r>
      <w:r w:rsidR="00791910" w:rsidRPr="002B630E">
        <w:rPr>
          <w:szCs w:val="24"/>
        </w:rPr>
        <w:t>Valencia, Universitat de València, Biblioteca Històrica, MS 835</w:t>
      </w:r>
      <w:r w:rsidRPr="002B630E">
        <w:rPr>
          <w:szCs w:val="24"/>
        </w:rPr>
        <w:t xml:space="preserve">, fols. </w:t>
      </w:r>
      <w:r w:rsidRPr="002B630E">
        <w:rPr>
          <w:szCs w:val="24"/>
        </w:rPr>
        <w:lastRenderedPageBreak/>
        <w:t>142</w:t>
      </w:r>
      <w:r w:rsidRPr="002B630E">
        <w:rPr>
          <w:szCs w:val="24"/>
          <w:vertAlign w:val="superscript"/>
        </w:rPr>
        <w:t>v</w:t>
      </w:r>
      <w:r w:rsidRPr="002B630E">
        <w:rPr>
          <w:szCs w:val="24"/>
        </w:rPr>
        <w:t>-143</w:t>
      </w:r>
      <w:r w:rsidR="00791910" w:rsidRPr="002B630E">
        <w:rPr>
          <w:szCs w:val="24"/>
          <w:vertAlign w:val="superscript"/>
        </w:rPr>
        <w:t>r</w:t>
      </w:r>
      <w:r w:rsidRPr="002B630E">
        <w:rPr>
          <w:szCs w:val="24"/>
        </w:rPr>
        <w:t>).</w:t>
      </w:r>
      <w:bookmarkEnd w:id="14"/>
      <w:bookmarkEnd w:id="15"/>
      <w:bookmarkEnd w:id="16"/>
      <w:bookmarkEnd w:id="17"/>
      <w:bookmarkEnd w:id="18"/>
      <w:bookmarkEnd w:id="19"/>
      <w:bookmarkEnd w:id="20"/>
      <w:bookmarkEnd w:id="21"/>
      <w:bookmarkEnd w:id="22"/>
      <w:bookmarkEnd w:id="23"/>
      <w:r w:rsidR="00854F3E">
        <w:rPr>
          <w:szCs w:val="24"/>
        </w:rPr>
        <w:t xml:space="preserve"> Reproduced with kind permission of the </w:t>
      </w:r>
      <w:r w:rsidR="00CE7A4C">
        <w:rPr>
          <w:szCs w:val="24"/>
        </w:rPr>
        <w:t xml:space="preserve">Universitat de València, </w:t>
      </w:r>
      <w:r w:rsidR="00854F3E">
        <w:rPr>
          <w:szCs w:val="24"/>
        </w:rPr>
        <w:t>Biblioteca Històrica</w:t>
      </w:r>
      <w:r w:rsidR="00CE7A4C">
        <w:rPr>
          <w:szCs w:val="24"/>
        </w:rPr>
        <w:t>.</w:t>
      </w:r>
    </w:p>
    <w:p w14:paraId="6621BA65" w14:textId="77777777" w:rsidR="000949DE" w:rsidRPr="002B630E" w:rsidRDefault="000949DE" w:rsidP="00B95FCD">
      <w:pPr>
        <w:spacing w:line="480" w:lineRule="auto"/>
        <w:jc w:val="both"/>
        <w:rPr>
          <w:rFonts w:ascii="Times New Roman" w:hAnsi="Times New Roman" w:cs="Times New Roman"/>
          <w:sz w:val="24"/>
          <w:szCs w:val="24"/>
        </w:rPr>
      </w:pPr>
    </w:p>
    <w:p w14:paraId="36F89CFE" w14:textId="304D2DCD" w:rsidR="000949DE" w:rsidRPr="002B630E" w:rsidRDefault="000949DE"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The example itself is a three-voice polyphonic miniature</w:t>
      </w:r>
      <w:r w:rsidR="00AD0FE4" w:rsidRPr="002B630E">
        <w:rPr>
          <w:rFonts w:ascii="Times New Roman" w:hAnsi="Times New Roman" w:cs="Times New Roman"/>
          <w:sz w:val="24"/>
          <w:szCs w:val="24"/>
        </w:rPr>
        <w:t>, texted as ‘Qui regnas in celestibus…’,</w:t>
      </w:r>
      <w:r w:rsidRPr="002B630E">
        <w:rPr>
          <w:rFonts w:ascii="Times New Roman" w:hAnsi="Times New Roman" w:cs="Times New Roman"/>
          <w:sz w:val="24"/>
          <w:szCs w:val="24"/>
        </w:rPr>
        <w:t xml:space="preserve"> (transcribed as Figure </w:t>
      </w:r>
      <w:r w:rsidR="004A0C6A" w:rsidRPr="002B630E">
        <w:rPr>
          <w:rFonts w:ascii="Times New Roman" w:hAnsi="Times New Roman" w:cs="Times New Roman"/>
          <w:sz w:val="24"/>
          <w:szCs w:val="24"/>
        </w:rPr>
        <w:t>6</w:t>
      </w:r>
      <w:r w:rsidRPr="002B630E">
        <w:rPr>
          <w:rFonts w:ascii="Times New Roman" w:hAnsi="Times New Roman" w:cs="Times New Roman"/>
          <w:sz w:val="24"/>
          <w:szCs w:val="24"/>
        </w:rPr>
        <w:t xml:space="preserve">), </w:t>
      </w:r>
      <w:r w:rsidR="00A55E8A" w:rsidRPr="002B630E">
        <w:rPr>
          <w:rFonts w:ascii="Times New Roman" w:hAnsi="Times New Roman" w:cs="Times New Roman"/>
          <w:sz w:val="24"/>
          <w:szCs w:val="24"/>
        </w:rPr>
        <w:t>with</w:t>
      </w:r>
      <w:r w:rsidRPr="002B630E">
        <w:rPr>
          <w:rFonts w:ascii="Times New Roman" w:hAnsi="Times New Roman" w:cs="Times New Roman"/>
          <w:sz w:val="24"/>
          <w:szCs w:val="24"/>
        </w:rPr>
        <w:t xml:space="preserve"> </w:t>
      </w:r>
      <w:r w:rsidR="00C971C0">
        <w:rPr>
          <w:rFonts w:ascii="Times New Roman" w:hAnsi="Times New Roman" w:cs="Times New Roman"/>
          <w:sz w:val="24"/>
          <w:szCs w:val="24"/>
        </w:rPr>
        <w:t>five</w:t>
      </w:r>
      <w:r w:rsidRPr="002B630E">
        <w:rPr>
          <w:rFonts w:ascii="Times New Roman" w:hAnsi="Times New Roman" w:cs="Times New Roman"/>
          <w:sz w:val="24"/>
          <w:szCs w:val="24"/>
        </w:rPr>
        <w:t xml:space="preserve"> instances of motivic </w:t>
      </w:r>
      <w:r w:rsidR="00AD0FE4" w:rsidRPr="002B630E">
        <w:rPr>
          <w:rFonts w:ascii="Times New Roman" w:hAnsi="Times New Roman" w:cs="Times New Roman"/>
          <w:sz w:val="24"/>
          <w:szCs w:val="24"/>
        </w:rPr>
        <w:t>repetition</w:t>
      </w:r>
      <w:r w:rsidR="00A55E8A" w:rsidRPr="002B630E">
        <w:rPr>
          <w:rFonts w:ascii="Times New Roman" w:hAnsi="Times New Roman" w:cs="Times New Roman"/>
          <w:sz w:val="24"/>
          <w:szCs w:val="24"/>
        </w:rPr>
        <w:t>. The restatements</w:t>
      </w:r>
      <w:r w:rsidRPr="002B630E">
        <w:rPr>
          <w:rFonts w:ascii="Times New Roman" w:hAnsi="Times New Roman" w:cs="Times New Roman"/>
          <w:sz w:val="24"/>
          <w:szCs w:val="24"/>
        </w:rPr>
        <w:t xml:space="preserve"> are </w:t>
      </w:r>
      <w:r w:rsidR="00A55E8A" w:rsidRPr="002B630E">
        <w:rPr>
          <w:rFonts w:ascii="Times New Roman" w:hAnsi="Times New Roman" w:cs="Times New Roman"/>
          <w:sz w:val="24"/>
          <w:szCs w:val="24"/>
        </w:rPr>
        <w:t xml:space="preserve">distributed throughout </w:t>
      </w:r>
      <w:r w:rsidR="006B019C">
        <w:rPr>
          <w:rFonts w:ascii="Times New Roman" w:hAnsi="Times New Roman" w:cs="Times New Roman"/>
          <w:sz w:val="24"/>
          <w:szCs w:val="24"/>
        </w:rPr>
        <w:t xml:space="preserve">the </w:t>
      </w:r>
      <w:r w:rsidR="00A55E8A" w:rsidRPr="002B630E">
        <w:rPr>
          <w:rFonts w:ascii="Times New Roman" w:hAnsi="Times New Roman" w:cs="Times New Roman"/>
          <w:sz w:val="24"/>
          <w:szCs w:val="24"/>
        </w:rPr>
        <w:t xml:space="preserve">polyphonic miniature, </w:t>
      </w:r>
      <w:r w:rsidRPr="002B630E">
        <w:rPr>
          <w:rFonts w:ascii="Times New Roman" w:hAnsi="Times New Roman" w:cs="Times New Roman"/>
          <w:sz w:val="24"/>
          <w:szCs w:val="24"/>
        </w:rPr>
        <w:t xml:space="preserve">with each instance indicated with </w:t>
      </w:r>
      <w:r w:rsidRPr="002B630E">
        <w:rPr>
          <w:rFonts w:ascii="Times New Roman" w:hAnsi="Times New Roman" w:cs="Times New Roman"/>
          <w:i/>
          <w:sz w:val="24"/>
          <w:szCs w:val="24"/>
        </w:rPr>
        <w:t xml:space="preserve">signa congruentiae </w:t>
      </w:r>
      <w:r w:rsidRPr="002B630E">
        <w:rPr>
          <w:rFonts w:ascii="Times New Roman" w:hAnsi="Times New Roman" w:cs="Times New Roman"/>
          <w:sz w:val="24"/>
          <w:szCs w:val="24"/>
        </w:rPr>
        <w:t>in the relevant voice parts</w:t>
      </w:r>
      <w:r w:rsidR="006949A5">
        <w:rPr>
          <w:rFonts w:ascii="Times New Roman" w:hAnsi="Times New Roman" w:cs="Times New Roman"/>
          <w:sz w:val="24"/>
          <w:szCs w:val="24"/>
        </w:rPr>
        <w:t xml:space="preserve"> in </w:t>
      </w:r>
      <w:r w:rsidR="006949A5">
        <w:rPr>
          <w:rFonts w:ascii="Times New Roman" w:hAnsi="Times New Roman" w:cs="Times New Roman"/>
          <w:b/>
          <w:sz w:val="24"/>
          <w:szCs w:val="24"/>
        </w:rPr>
        <w:t xml:space="preserve">V </w:t>
      </w:r>
      <w:r w:rsidR="006949A5">
        <w:rPr>
          <w:rFonts w:ascii="Times New Roman" w:hAnsi="Times New Roman" w:cs="Times New Roman"/>
          <w:sz w:val="24"/>
          <w:szCs w:val="24"/>
        </w:rPr>
        <w:t xml:space="preserve">and </w:t>
      </w:r>
      <w:r w:rsidR="006949A5">
        <w:rPr>
          <w:rFonts w:ascii="Times New Roman" w:hAnsi="Times New Roman" w:cs="Times New Roman"/>
          <w:b/>
          <w:sz w:val="24"/>
          <w:szCs w:val="24"/>
        </w:rPr>
        <w:t>BU</w:t>
      </w:r>
      <w:r w:rsidRPr="002B630E">
        <w:rPr>
          <w:rFonts w:ascii="Times New Roman" w:hAnsi="Times New Roman" w:cs="Times New Roman"/>
          <w:sz w:val="24"/>
          <w:szCs w:val="24"/>
        </w:rPr>
        <w:t>.</w:t>
      </w:r>
      <w:r w:rsidR="00D737EC">
        <w:rPr>
          <w:rStyle w:val="FootnoteReference"/>
          <w:rFonts w:ascii="Times New Roman" w:hAnsi="Times New Roman" w:cs="Times New Roman"/>
          <w:sz w:val="24"/>
          <w:szCs w:val="24"/>
        </w:rPr>
        <w:footnoteReference w:id="38"/>
      </w:r>
      <w:r w:rsidRPr="002B630E">
        <w:rPr>
          <w:rFonts w:ascii="Times New Roman" w:hAnsi="Times New Roman" w:cs="Times New Roman"/>
          <w:sz w:val="24"/>
          <w:szCs w:val="24"/>
        </w:rPr>
        <w:t xml:space="preserve"> Three of these </w:t>
      </w:r>
      <w:r w:rsidR="002D2F41">
        <w:rPr>
          <w:rFonts w:ascii="Times New Roman" w:hAnsi="Times New Roman" w:cs="Times New Roman"/>
          <w:sz w:val="24"/>
          <w:szCs w:val="24"/>
        </w:rPr>
        <w:t>five</w:t>
      </w:r>
      <w:r w:rsidR="002D2F41" w:rsidRPr="002B630E">
        <w:rPr>
          <w:rFonts w:ascii="Times New Roman" w:hAnsi="Times New Roman" w:cs="Times New Roman"/>
          <w:sz w:val="24"/>
          <w:szCs w:val="24"/>
        </w:rPr>
        <w:t xml:space="preserve"> </w:t>
      </w:r>
      <w:r w:rsidRPr="002B630E">
        <w:rPr>
          <w:rFonts w:ascii="Times New Roman" w:hAnsi="Times New Roman" w:cs="Times New Roman"/>
          <w:sz w:val="24"/>
          <w:szCs w:val="24"/>
        </w:rPr>
        <w:t>instances are found in the Tenor</w:t>
      </w:r>
      <w:r w:rsidR="00A55E8A" w:rsidRPr="002B630E">
        <w:rPr>
          <w:rFonts w:ascii="Times New Roman" w:hAnsi="Times New Roman" w:cs="Times New Roman"/>
          <w:sz w:val="24"/>
          <w:szCs w:val="24"/>
        </w:rPr>
        <w:t xml:space="preserve"> alone</w:t>
      </w:r>
      <w:r w:rsidR="007B36FB">
        <w:rPr>
          <w:rFonts w:ascii="Times New Roman" w:hAnsi="Times New Roman" w:cs="Times New Roman"/>
          <w:sz w:val="24"/>
          <w:szCs w:val="24"/>
        </w:rPr>
        <w:t>, and are not presented in imitaton in any of the other voice parts</w:t>
      </w:r>
      <w:r w:rsidR="00A55E8A" w:rsidRPr="002B630E">
        <w:rPr>
          <w:rFonts w:ascii="Times New Roman" w:hAnsi="Times New Roman" w:cs="Times New Roman"/>
          <w:sz w:val="24"/>
          <w:szCs w:val="24"/>
        </w:rPr>
        <w:t xml:space="preserve">. </w:t>
      </w:r>
      <w:r w:rsidRPr="002B630E">
        <w:rPr>
          <w:rFonts w:ascii="Times New Roman" w:hAnsi="Times New Roman" w:cs="Times New Roman"/>
          <w:sz w:val="24"/>
          <w:szCs w:val="24"/>
        </w:rPr>
        <w:t xml:space="preserve">The final </w:t>
      </w:r>
      <w:r w:rsidR="00AD0FE4" w:rsidRPr="002B630E">
        <w:rPr>
          <w:rFonts w:ascii="Times New Roman" w:hAnsi="Times New Roman" w:cs="Times New Roman"/>
          <w:sz w:val="24"/>
          <w:szCs w:val="24"/>
        </w:rPr>
        <w:t xml:space="preserve">case </w:t>
      </w:r>
      <w:r w:rsidRPr="002B630E">
        <w:rPr>
          <w:rFonts w:ascii="Times New Roman" w:hAnsi="Times New Roman" w:cs="Times New Roman"/>
          <w:sz w:val="24"/>
          <w:szCs w:val="24"/>
        </w:rPr>
        <w:t xml:space="preserve">is spread across all three voices, </w:t>
      </w:r>
      <w:r w:rsidR="00A55E8A" w:rsidRPr="002B630E">
        <w:rPr>
          <w:rFonts w:ascii="Times New Roman" w:hAnsi="Times New Roman" w:cs="Times New Roman"/>
          <w:sz w:val="24"/>
          <w:szCs w:val="24"/>
        </w:rPr>
        <w:t xml:space="preserve">with each restatement indicated by a signum at the relevant point in each voice. </w:t>
      </w:r>
    </w:p>
    <w:p w14:paraId="585A4F2F" w14:textId="4BEDCC85" w:rsidR="004A0C6A" w:rsidRPr="002B630E" w:rsidRDefault="002C60EF" w:rsidP="004A0C6A">
      <w:pPr>
        <w:keepNext/>
        <w:tabs>
          <w:tab w:val="left" w:pos="567"/>
        </w:tabs>
        <w:spacing w:line="480" w:lineRule="auto"/>
        <w:ind w:right="-64"/>
        <w:jc w:val="center"/>
        <w:rPr>
          <w:rFonts w:ascii="Times New Roman" w:hAnsi="Times New Roman" w:cs="Times New Roman"/>
          <w:sz w:val="24"/>
          <w:szCs w:val="24"/>
        </w:rPr>
      </w:pPr>
      <w:r>
        <w:rPr>
          <w:rFonts w:ascii="Times New Roman" w:hAnsi="Times New Roman" w:cs="Times New Roman"/>
          <w:noProof/>
          <w:sz w:val="24"/>
          <w:szCs w:val="24"/>
          <w:lang w:eastAsia="en-GB"/>
        </w:rPr>
        <w:t>[FIG 6 HERE]</w:t>
      </w:r>
    </w:p>
    <w:p w14:paraId="1B9CAC72" w14:textId="519B01B2" w:rsidR="004A0C6A" w:rsidRPr="002B630E" w:rsidRDefault="004A0C6A" w:rsidP="00EF611D">
      <w:pPr>
        <w:spacing w:line="480" w:lineRule="auto"/>
        <w:rPr>
          <w:rFonts w:ascii="Times New Roman" w:hAnsi="Times New Roman" w:cs="Times New Roman"/>
          <w:i/>
          <w:sz w:val="24"/>
          <w:szCs w:val="24"/>
        </w:rPr>
      </w:pPr>
      <w:r w:rsidRPr="002B630E">
        <w:rPr>
          <w:rFonts w:ascii="Times New Roman" w:hAnsi="Times New Roman" w:cs="Times New Roman"/>
          <w:sz w:val="24"/>
          <w:szCs w:val="24"/>
        </w:rPr>
        <w:t xml:space="preserve">Figure 6. Polyphonic example ‘Qui regnas in celestibus’ from Tinctoris, </w:t>
      </w:r>
      <w:r w:rsidRPr="002B630E">
        <w:rPr>
          <w:rFonts w:ascii="Times New Roman" w:hAnsi="Times New Roman" w:cs="Times New Roman"/>
          <w:i/>
          <w:sz w:val="24"/>
          <w:szCs w:val="24"/>
        </w:rPr>
        <w:t>De contr.</w:t>
      </w:r>
      <w:r w:rsidRPr="002B630E">
        <w:rPr>
          <w:rFonts w:ascii="Times New Roman" w:hAnsi="Times New Roman" w:cs="Times New Roman"/>
          <w:sz w:val="24"/>
          <w:szCs w:val="24"/>
        </w:rPr>
        <w:t>, III.vi,</w:t>
      </w:r>
      <w:r w:rsidRPr="002B630E">
        <w:rPr>
          <w:rFonts w:ascii="Times New Roman" w:hAnsi="Times New Roman" w:cs="Times New Roman"/>
          <w:i/>
          <w:sz w:val="24"/>
          <w:szCs w:val="24"/>
        </w:rPr>
        <w:t xml:space="preserve"> </w:t>
      </w:r>
      <w:r w:rsidRPr="002B630E">
        <w:rPr>
          <w:rFonts w:ascii="Times New Roman" w:hAnsi="Times New Roman" w:cs="Times New Roman"/>
          <w:sz w:val="24"/>
          <w:szCs w:val="24"/>
        </w:rPr>
        <w:t xml:space="preserve">with repeated figures indicated using </w:t>
      </w:r>
      <w:r w:rsidRPr="002B630E">
        <w:rPr>
          <w:rFonts w:ascii="Times New Roman" w:hAnsi="Times New Roman" w:cs="Times New Roman"/>
          <w:i/>
          <w:sz w:val="24"/>
          <w:szCs w:val="24"/>
        </w:rPr>
        <w:t>signa congruentiae</w:t>
      </w:r>
      <w:r w:rsidRPr="002B630E">
        <w:rPr>
          <w:rFonts w:ascii="Times New Roman" w:hAnsi="Times New Roman" w:cs="Times New Roman"/>
          <w:sz w:val="24"/>
          <w:szCs w:val="24"/>
        </w:rPr>
        <w:t>.</w:t>
      </w:r>
    </w:p>
    <w:p w14:paraId="7AAB901D" w14:textId="4C7CA33E" w:rsidR="000949DE" w:rsidRPr="002B630E" w:rsidRDefault="000949DE"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t>The first instance of motivic restatement is found on the sixth note of the Tenor on a two-semibreve ligature figure which is restated exactly twice more</w:t>
      </w:r>
      <w:r w:rsidR="00A55E8A" w:rsidRPr="002B630E">
        <w:rPr>
          <w:rFonts w:ascii="Times New Roman" w:hAnsi="Times New Roman" w:cs="Times New Roman"/>
          <w:sz w:val="24"/>
          <w:szCs w:val="24"/>
        </w:rPr>
        <w:t xml:space="preserve"> (Figure </w:t>
      </w:r>
      <w:r w:rsidR="004A0C6A" w:rsidRPr="002B630E">
        <w:rPr>
          <w:rFonts w:ascii="Times New Roman" w:hAnsi="Times New Roman" w:cs="Times New Roman"/>
          <w:sz w:val="24"/>
          <w:szCs w:val="24"/>
        </w:rPr>
        <w:t>6</w:t>
      </w:r>
      <w:r w:rsidR="00A55E8A" w:rsidRPr="002B630E">
        <w:rPr>
          <w:rFonts w:ascii="Times New Roman" w:hAnsi="Times New Roman" w:cs="Times New Roman"/>
          <w:sz w:val="24"/>
          <w:szCs w:val="24"/>
        </w:rPr>
        <w:t xml:space="preserve">, </w:t>
      </w:r>
      <w:r w:rsidR="00AD0FE4" w:rsidRPr="002B630E">
        <w:rPr>
          <w:rFonts w:ascii="Times New Roman" w:hAnsi="Times New Roman" w:cs="Times New Roman"/>
          <w:sz w:val="24"/>
          <w:szCs w:val="24"/>
        </w:rPr>
        <w:t>bb</w:t>
      </w:r>
      <w:r w:rsidR="00A55E8A" w:rsidRPr="002B630E">
        <w:rPr>
          <w:rFonts w:ascii="Times New Roman" w:hAnsi="Times New Roman" w:cs="Times New Roman"/>
          <w:sz w:val="24"/>
          <w:szCs w:val="24"/>
        </w:rPr>
        <w:t>. 3–5)</w:t>
      </w:r>
      <w:r w:rsidRPr="002B630E">
        <w:rPr>
          <w:rFonts w:ascii="Times New Roman" w:hAnsi="Times New Roman" w:cs="Times New Roman"/>
          <w:sz w:val="24"/>
          <w:szCs w:val="24"/>
        </w:rPr>
        <w:t>, and a further two times in a slightly altered form. This instance</w:t>
      </w:r>
      <w:r w:rsidR="00C971C0">
        <w:rPr>
          <w:rFonts w:ascii="Times New Roman" w:hAnsi="Times New Roman" w:cs="Times New Roman"/>
          <w:sz w:val="24"/>
          <w:szCs w:val="24"/>
        </w:rPr>
        <w:t xml:space="preserve"> probably</w:t>
      </w:r>
      <w:r w:rsidRPr="002B630E">
        <w:rPr>
          <w:rFonts w:ascii="Times New Roman" w:hAnsi="Times New Roman" w:cs="Times New Roman"/>
          <w:sz w:val="24"/>
          <w:szCs w:val="24"/>
        </w:rPr>
        <w:t xml:space="preserve"> address</w:t>
      </w:r>
      <w:r w:rsidR="00A55E8A" w:rsidRPr="002B630E">
        <w:rPr>
          <w:rFonts w:ascii="Times New Roman" w:hAnsi="Times New Roman" w:cs="Times New Roman"/>
          <w:sz w:val="24"/>
          <w:szCs w:val="24"/>
        </w:rPr>
        <w:t>es</w:t>
      </w:r>
      <w:r w:rsidRPr="002B630E">
        <w:rPr>
          <w:rFonts w:ascii="Times New Roman" w:hAnsi="Times New Roman" w:cs="Times New Roman"/>
          <w:sz w:val="24"/>
          <w:szCs w:val="24"/>
        </w:rPr>
        <w:t xml:space="preserve"> the sonic effect of ‘bells’ described in the main text, given the alternation between two notes. As is common in Tinctoris’s treatises, this matches the order in which the sonic effects are listed in the theoretical text, </w:t>
      </w:r>
      <w:r w:rsidR="00A55E8A" w:rsidRPr="002B630E">
        <w:rPr>
          <w:rFonts w:ascii="Times New Roman" w:hAnsi="Times New Roman" w:cs="Times New Roman"/>
          <w:sz w:val="24"/>
          <w:szCs w:val="24"/>
        </w:rPr>
        <w:t xml:space="preserve">perhaps suggesting the simultaneous conception of musical example and text as an </w:t>
      </w:r>
      <w:r w:rsidR="00A55E8A" w:rsidRPr="002B630E">
        <w:rPr>
          <w:rFonts w:ascii="Times New Roman" w:hAnsi="Times New Roman" w:cs="Times New Roman"/>
          <w:sz w:val="24"/>
          <w:szCs w:val="24"/>
        </w:rPr>
        <w:lastRenderedPageBreak/>
        <w:t xml:space="preserve">underpinning pedagogical logic. </w:t>
      </w:r>
      <w:r w:rsidR="00E16A47">
        <w:rPr>
          <w:rFonts w:ascii="Times New Roman" w:hAnsi="Times New Roman" w:cs="Times New Roman"/>
          <w:sz w:val="24"/>
          <w:szCs w:val="24"/>
        </w:rPr>
        <w:t>If nothing else, it certainly demonstrates that they are intended to function together as a pedagogical unit</w:t>
      </w:r>
      <w:r w:rsidR="00493221">
        <w:rPr>
          <w:rFonts w:ascii="Times New Roman" w:hAnsi="Times New Roman" w:cs="Times New Roman"/>
          <w:sz w:val="24"/>
          <w:szCs w:val="24"/>
        </w:rPr>
        <w:t>, and that Tinctoris did not simply shoehorn readily available examples into his discussions</w:t>
      </w:r>
      <w:r w:rsidR="00E16A47">
        <w:rPr>
          <w:rFonts w:ascii="Times New Roman" w:hAnsi="Times New Roman" w:cs="Times New Roman"/>
          <w:sz w:val="24"/>
          <w:szCs w:val="24"/>
        </w:rPr>
        <w:t xml:space="preserve">. </w:t>
      </w:r>
    </w:p>
    <w:p w14:paraId="22C4B28E" w14:textId="64430D46" w:rsidR="000949DE" w:rsidRPr="00665173" w:rsidRDefault="000949DE" w:rsidP="00B95FCD">
      <w:pPr>
        <w:spacing w:line="480" w:lineRule="auto"/>
        <w:ind w:firstLine="720"/>
        <w:jc w:val="both"/>
        <w:rPr>
          <w:rFonts w:ascii="Times New Roman" w:hAnsi="Times New Roman" w:cs="Times New Roman"/>
          <w:sz w:val="24"/>
          <w:szCs w:val="24"/>
        </w:rPr>
      </w:pPr>
      <w:r w:rsidRPr="002B630E">
        <w:rPr>
          <w:rFonts w:ascii="Times New Roman" w:hAnsi="Times New Roman" w:cs="Times New Roman"/>
          <w:sz w:val="24"/>
          <w:szCs w:val="24"/>
        </w:rPr>
        <w:t>The second and third instances</w:t>
      </w:r>
      <w:r w:rsidR="00713915" w:rsidRPr="002B630E">
        <w:rPr>
          <w:rFonts w:ascii="Times New Roman" w:hAnsi="Times New Roman" w:cs="Times New Roman"/>
          <w:sz w:val="24"/>
          <w:szCs w:val="24"/>
        </w:rPr>
        <w:t>, both of which are characterised by two minims on the same note followed by a descent to a semibreve a fourth lower,</w:t>
      </w:r>
      <w:r w:rsidRPr="002B630E">
        <w:rPr>
          <w:rFonts w:ascii="Times New Roman" w:hAnsi="Times New Roman" w:cs="Times New Roman"/>
          <w:sz w:val="24"/>
          <w:szCs w:val="24"/>
        </w:rPr>
        <w:t xml:space="preserve"> occur later in the Tenor. The third instance appears as a falling triad motif, with the middle note repeated, thus closely resembling the rhythmic characteristics of the second instance.</w:t>
      </w:r>
      <w:r w:rsidRPr="002B630E">
        <w:rPr>
          <w:rStyle w:val="FootnoteReference"/>
          <w:rFonts w:ascii="Times New Roman" w:hAnsi="Times New Roman" w:cs="Times New Roman"/>
          <w:sz w:val="24"/>
          <w:szCs w:val="24"/>
        </w:rPr>
        <w:footnoteReference w:id="39"/>
      </w:r>
      <w:r w:rsidRPr="002B630E">
        <w:rPr>
          <w:rFonts w:ascii="Times New Roman" w:hAnsi="Times New Roman" w:cs="Times New Roman"/>
          <w:sz w:val="24"/>
          <w:szCs w:val="24"/>
        </w:rPr>
        <w:t xml:space="preserve"> This figure is also present in the Contratenor, adding a layer of imitative counterpoint </w:t>
      </w:r>
      <w:r w:rsidR="00CE5310" w:rsidRPr="002B630E">
        <w:rPr>
          <w:rFonts w:ascii="Times New Roman" w:hAnsi="Times New Roman" w:cs="Times New Roman"/>
          <w:sz w:val="24"/>
          <w:szCs w:val="24"/>
        </w:rPr>
        <w:t>not seen with the first instance</w:t>
      </w:r>
      <w:r w:rsidRPr="002B630E">
        <w:rPr>
          <w:rFonts w:ascii="Times New Roman" w:hAnsi="Times New Roman" w:cs="Times New Roman"/>
          <w:sz w:val="24"/>
          <w:szCs w:val="24"/>
        </w:rPr>
        <w:t xml:space="preserve">. The </w:t>
      </w:r>
      <w:r w:rsidRPr="002B630E">
        <w:rPr>
          <w:rFonts w:ascii="Times New Roman" w:hAnsi="Times New Roman" w:cs="Times New Roman"/>
          <w:i/>
          <w:sz w:val="24"/>
          <w:szCs w:val="24"/>
        </w:rPr>
        <w:t>signum congruentiae</w:t>
      </w:r>
      <w:r w:rsidRPr="002B630E">
        <w:rPr>
          <w:rFonts w:ascii="Times New Roman" w:hAnsi="Times New Roman" w:cs="Times New Roman"/>
          <w:sz w:val="24"/>
          <w:szCs w:val="24"/>
        </w:rPr>
        <w:t xml:space="preserve"> that highlights this motivic restatement is placed above the second statement of the figure, </w:t>
      </w:r>
      <w:r w:rsidR="00CE5310" w:rsidRPr="002B630E">
        <w:rPr>
          <w:rFonts w:ascii="Times New Roman" w:hAnsi="Times New Roman" w:cs="Times New Roman"/>
          <w:sz w:val="24"/>
          <w:szCs w:val="24"/>
        </w:rPr>
        <w:t xml:space="preserve">continuing the </w:t>
      </w:r>
      <w:r w:rsidRPr="002B630E">
        <w:rPr>
          <w:rFonts w:ascii="Times New Roman" w:hAnsi="Times New Roman" w:cs="Times New Roman"/>
          <w:sz w:val="24"/>
          <w:szCs w:val="24"/>
        </w:rPr>
        <w:t xml:space="preserve">practice that Tinctoris applies in all cases in this example. As before, Tinctoris deploys a single </w:t>
      </w:r>
      <w:r w:rsidRPr="002B630E">
        <w:rPr>
          <w:rFonts w:ascii="Times New Roman" w:hAnsi="Times New Roman" w:cs="Times New Roman"/>
          <w:i/>
          <w:sz w:val="24"/>
          <w:szCs w:val="24"/>
        </w:rPr>
        <w:t>signum</w:t>
      </w:r>
      <w:r w:rsidRPr="002B630E">
        <w:rPr>
          <w:rFonts w:ascii="Times New Roman" w:hAnsi="Times New Roman" w:cs="Times New Roman"/>
          <w:sz w:val="24"/>
          <w:szCs w:val="24"/>
        </w:rPr>
        <w:t xml:space="preserve"> to indicate </w:t>
      </w:r>
      <w:r w:rsidR="00CE5310" w:rsidRPr="002B630E">
        <w:rPr>
          <w:rFonts w:ascii="Times New Roman" w:hAnsi="Times New Roman" w:cs="Times New Roman"/>
          <w:sz w:val="24"/>
          <w:szCs w:val="24"/>
        </w:rPr>
        <w:t xml:space="preserve">these restated instances, requiring the </w:t>
      </w:r>
      <w:r w:rsidRPr="002B630E">
        <w:rPr>
          <w:rFonts w:ascii="Times New Roman" w:hAnsi="Times New Roman" w:cs="Times New Roman"/>
          <w:sz w:val="24"/>
          <w:szCs w:val="24"/>
        </w:rPr>
        <w:t>reader to engage closely with the notation to identify the number of repeats and</w:t>
      </w:r>
      <w:r w:rsidR="00CE5310" w:rsidRPr="002B630E">
        <w:rPr>
          <w:rFonts w:ascii="Times New Roman" w:hAnsi="Times New Roman" w:cs="Times New Roman"/>
          <w:sz w:val="24"/>
          <w:szCs w:val="24"/>
        </w:rPr>
        <w:t>, importantly here,</w:t>
      </w:r>
      <w:r w:rsidRPr="002B630E">
        <w:rPr>
          <w:rFonts w:ascii="Times New Roman" w:hAnsi="Times New Roman" w:cs="Times New Roman"/>
          <w:sz w:val="24"/>
          <w:szCs w:val="24"/>
        </w:rPr>
        <w:t xml:space="preserve"> </w:t>
      </w:r>
      <w:r w:rsidR="00CE5310" w:rsidRPr="002B630E">
        <w:rPr>
          <w:rFonts w:ascii="Times New Roman" w:hAnsi="Times New Roman" w:cs="Times New Roman"/>
          <w:sz w:val="24"/>
          <w:szCs w:val="24"/>
        </w:rPr>
        <w:t xml:space="preserve">the interaction between these restated figures and the </w:t>
      </w:r>
      <w:r w:rsidRPr="002B630E">
        <w:rPr>
          <w:rFonts w:ascii="Times New Roman" w:hAnsi="Times New Roman" w:cs="Times New Roman"/>
          <w:sz w:val="24"/>
          <w:szCs w:val="24"/>
        </w:rPr>
        <w:t xml:space="preserve">rest of the polyphonic texture. The identification of these restatements would have been much easier after the initial figure had been highlighted with asterisk-like markings, but may still have posed a problem for some readers. </w:t>
      </w:r>
      <w:r w:rsidR="00665173">
        <w:rPr>
          <w:rFonts w:ascii="Times New Roman" w:hAnsi="Times New Roman" w:cs="Times New Roman"/>
          <w:sz w:val="24"/>
          <w:szCs w:val="24"/>
        </w:rPr>
        <w:t xml:space="preserve">Placing this symbol on the first restatement of each figure also helps to emphasise the difference between imitative counterpoint across the voices, and motivic restatement within a voice part, with the latter forming the basis of </w:t>
      </w:r>
      <w:r w:rsidR="00665173">
        <w:rPr>
          <w:rFonts w:ascii="Times New Roman" w:hAnsi="Times New Roman" w:cs="Times New Roman"/>
          <w:i/>
          <w:sz w:val="24"/>
          <w:szCs w:val="24"/>
        </w:rPr>
        <w:t>r</w:t>
      </w:r>
      <w:r w:rsidR="00273EBC">
        <w:rPr>
          <w:rFonts w:ascii="Times New Roman" w:hAnsi="Times New Roman" w:cs="Times New Roman"/>
          <w:i/>
          <w:sz w:val="24"/>
          <w:szCs w:val="24"/>
        </w:rPr>
        <w:t>edict</w:t>
      </w:r>
      <w:r w:rsidR="00665173">
        <w:rPr>
          <w:rFonts w:ascii="Times New Roman" w:hAnsi="Times New Roman" w:cs="Times New Roman"/>
          <w:i/>
          <w:sz w:val="24"/>
          <w:szCs w:val="24"/>
        </w:rPr>
        <w:t>e</w:t>
      </w:r>
      <w:r w:rsidR="00665173">
        <w:rPr>
          <w:rFonts w:ascii="Times New Roman" w:hAnsi="Times New Roman" w:cs="Times New Roman"/>
          <w:sz w:val="24"/>
          <w:szCs w:val="24"/>
        </w:rPr>
        <w:t>.</w:t>
      </w:r>
    </w:p>
    <w:p w14:paraId="03D325B4" w14:textId="332E69A5" w:rsidR="000949DE" w:rsidRPr="002B630E" w:rsidRDefault="000949DE" w:rsidP="004A0C6A">
      <w:pPr>
        <w:keepNext/>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r>
      <w:r w:rsidR="00CE5310" w:rsidRPr="002B630E">
        <w:rPr>
          <w:rFonts w:ascii="Times New Roman" w:hAnsi="Times New Roman" w:cs="Times New Roman"/>
          <w:sz w:val="24"/>
          <w:szCs w:val="24"/>
        </w:rPr>
        <w:t xml:space="preserve">The use of </w:t>
      </w:r>
      <w:r w:rsidR="00CE5310" w:rsidRPr="002B630E">
        <w:rPr>
          <w:rFonts w:ascii="Times New Roman" w:hAnsi="Times New Roman" w:cs="Times New Roman"/>
          <w:i/>
          <w:sz w:val="24"/>
          <w:szCs w:val="24"/>
        </w:rPr>
        <w:t xml:space="preserve">signa </w:t>
      </w:r>
      <w:r w:rsidR="00CE5310" w:rsidRPr="002B630E">
        <w:rPr>
          <w:rFonts w:ascii="Times New Roman" w:hAnsi="Times New Roman" w:cs="Times New Roman"/>
          <w:sz w:val="24"/>
          <w:szCs w:val="24"/>
        </w:rPr>
        <w:t xml:space="preserve">for the </w:t>
      </w:r>
      <w:r w:rsidR="00C971C0">
        <w:rPr>
          <w:rFonts w:ascii="Times New Roman" w:hAnsi="Times New Roman" w:cs="Times New Roman"/>
          <w:sz w:val="24"/>
          <w:szCs w:val="24"/>
        </w:rPr>
        <w:t>fourth and fifth</w:t>
      </w:r>
      <w:r w:rsidR="00CE5310" w:rsidRPr="002B630E">
        <w:rPr>
          <w:rFonts w:ascii="Times New Roman" w:hAnsi="Times New Roman" w:cs="Times New Roman"/>
          <w:sz w:val="24"/>
          <w:szCs w:val="24"/>
        </w:rPr>
        <w:t xml:space="preserve"> instance</w:t>
      </w:r>
      <w:r w:rsidR="00C971C0">
        <w:rPr>
          <w:rFonts w:ascii="Times New Roman" w:hAnsi="Times New Roman" w:cs="Times New Roman"/>
          <w:sz w:val="24"/>
          <w:szCs w:val="24"/>
        </w:rPr>
        <w:t>s</w:t>
      </w:r>
      <w:r w:rsidR="00CE5310" w:rsidRPr="002B630E">
        <w:rPr>
          <w:rFonts w:ascii="Times New Roman" w:hAnsi="Times New Roman" w:cs="Times New Roman"/>
          <w:sz w:val="24"/>
          <w:szCs w:val="24"/>
        </w:rPr>
        <w:t>, applied to overlapping restatements in close rhythmic proximity across all three voices, is particularly important to this discussion. These overlaid restatements create something approaching</w:t>
      </w:r>
      <w:r w:rsidRPr="002B630E">
        <w:rPr>
          <w:rFonts w:ascii="Times New Roman" w:hAnsi="Times New Roman" w:cs="Times New Roman"/>
          <w:sz w:val="24"/>
          <w:szCs w:val="24"/>
        </w:rPr>
        <w:t xml:space="preserve"> a ‘hocket’ effect at points, adding a layer of imitative counterpoint to this example</w:t>
      </w:r>
      <w:r w:rsidR="00CE5310" w:rsidRPr="002B630E">
        <w:rPr>
          <w:rFonts w:ascii="Times New Roman" w:hAnsi="Times New Roman" w:cs="Times New Roman"/>
          <w:sz w:val="24"/>
          <w:szCs w:val="24"/>
        </w:rPr>
        <w:t xml:space="preserve"> that contrasts </w:t>
      </w:r>
      <w:r w:rsidR="00B66505">
        <w:rPr>
          <w:rFonts w:ascii="Times New Roman" w:hAnsi="Times New Roman" w:cs="Times New Roman"/>
          <w:sz w:val="24"/>
          <w:szCs w:val="24"/>
        </w:rPr>
        <w:t>with the</w:t>
      </w:r>
      <w:r w:rsidR="00B66505" w:rsidRPr="002B630E">
        <w:rPr>
          <w:rFonts w:ascii="Times New Roman" w:hAnsi="Times New Roman" w:cs="Times New Roman"/>
          <w:sz w:val="24"/>
          <w:szCs w:val="24"/>
        </w:rPr>
        <w:t xml:space="preserve"> </w:t>
      </w:r>
      <w:r w:rsidR="00CE5310" w:rsidRPr="002B630E">
        <w:rPr>
          <w:rFonts w:ascii="Times New Roman" w:hAnsi="Times New Roman" w:cs="Times New Roman"/>
          <w:sz w:val="24"/>
          <w:szCs w:val="24"/>
        </w:rPr>
        <w:t>rest of the example</w:t>
      </w:r>
      <w:r w:rsidRPr="002B630E">
        <w:rPr>
          <w:rFonts w:ascii="Times New Roman" w:hAnsi="Times New Roman" w:cs="Times New Roman"/>
          <w:sz w:val="24"/>
          <w:szCs w:val="24"/>
        </w:rPr>
        <w:t xml:space="preserve">. </w:t>
      </w:r>
      <w:r w:rsidR="00C971C0" w:rsidRPr="002B630E">
        <w:rPr>
          <w:rFonts w:ascii="Times New Roman" w:hAnsi="Times New Roman" w:cs="Times New Roman"/>
          <w:sz w:val="24"/>
          <w:szCs w:val="24"/>
        </w:rPr>
        <w:t xml:space="preserve">The </w:t>
      </w:r>
      <w:r w:rsidR="00C971C0">
        <w:rPr>
          <w:rFonts w:ascii="Times New Roman" w:hAnsi="Times New Roman" w:cs="Times New Roman"/>
          <w:sz w:val="24"/>
          <w:szCs w:val="24"/>
        </w:rPr>
        <w:lastRenderedPageBreak/>
        <w:t>fourth figure</w:t>
      </w:r>
      <w:r w:rsidR="00C971C0" w:rsidRPr="002B630E">
        <w:rPr>
          <w:rFonts w:ascii="Times New Roman" w:hAnsi="Times New Roman" w:cs="Times New Roman"/>
          <w:sz w:val="24"/>
          <w:szCs w:val="24"/>
        </w:rPr>
        <w:t xml:space="preserve"> is </w:t>
      </w:r>
      <w:r w:rsidR="00C971C0">
        <w:rPr>
          <w:rFonts w:ascii="Times New Roman" w:hAnsi="Times New Roman" w:cs="Times New Roman"/>
          <w:sz w:val="24"/>
          <w:szCs w:val="24"/>
        </w:rPr>
        <w:t>marked by a repeated ‘C’ in the Tenor and Contratenor</w:t>
      </w:r>
      <w:r w:rsidR="00C971C0" w:rsidRPr="002B630E">
        <w:rPr>
          <w:rFonts w:ascii="Times New Roman" w:hAnsi="Times New Roman" w:cs="Times New Roman"/>
          <w:sz w:val="24"/>
          <w:szCs w:val="24"/>
        </w:rPr>
        <w:t xml:space="preserve"> parts, temporarily bringing the otherwise moderately florid counterpoint to a relatively static point, clearing the texture to emphasise the </w:t>
      </w:r>
      <w:r w:rsidR="00C971C0">
        <w:rPr>
          <w:rFonts w:ascii="Times New Roman" w:hAnsi="Times New Roman" w:cs="Times New Roman"/>
          <w:sz w:val="24"/>
          <w:szCs w:val="24"/>
        </w:rPr>
        <w:t>tolling bell-like effect</w:t>
      </w:r>
      <w:r w:rsidR="00C971C0" w:rsidRPr="002B630E">
        <w:rPr>
          <w:rFonts w:ascii="Times New Roman" w:hAnsi="Times New Roman" w:cs="Times New Roman"/>
          <w:sz w:val="24"/>
          <w:szCs w:val="24"/>
        </w:rPr>
        <w:t xml:space="preserve"> of this figure.</w:t>
      </w:r>
      <w:r w:rsidR="00C971C0" w:rsidRPr="002B630E">
        <w:rPr>
          <w:rStyle w:val="FootnoteReference"/>
          <w:rFonts w:ascii="Times New Roman" w:hAnsi="Times New Roman" w:cs="Times New Roman"/>
          <w:sz w:val="24"/>
          <w:szCs w:val="24"/>
        </w:rPr>
        <w:footnoteReference w:id="40"/>
      </w:r>
      <w:r w:rsidR="00C971C0">
        <w:rPr>
          <w:rFonts w:ascii="Times New Roman" w:hAnsi="Times New Roman" w:cs="Times New Roman"/>
          <w:sz w:val="24"/>
          <w:szCs w:val="24"/>
        </w:rPr>
        <w:t xml:space="preserve"> </w:t>
      </w:r>
      <w:r w:rsidR="00CE5310" w:rsidRPr="002B630E">
        <w:rPr>
          <w:rFonts w:ascii="Times New Roman" w:hAnsi="Times New Roman" w:cs="Times New Roman"/>
          <w:sz w:val="24"/>
          <w:szCs w:val="24"/>
        </w:rPr>
        <w:t xml:space="preserve">The </w:t>
      </w:r>
      <w:r w:rsidR="00C971C0">
        <w:rPr>
          <w:rFonts w:ascii="Times New Roman" w:hAnsi="Times New Roman" w:cs="Times New Roman"/>
          <w:sz w:val="24"/>
          <w:szCs w:val="24"/>
        </w:rPr>
        <w:t xml:space="preserve">fifth </w:t>
      </w:r>
      <w:r w:rsidR="00CE5310" w:rsidRPr="002B630E">
        <w:rPr>
          <w:rFonts w:ascii="Times New Roman" w:hAnsi="Times New Roman" w:cs="Times New Roman"/>
          <w:sz w:val="24"/>
          <w:szCs w:val="24"/>
        </w:rPr>
        <w:t xml:space="preserve">figure </w:t>
      </w:r>
      <w:r w:rsidRPr="002B630E">
        <w:rPr>
          <w:rFonts w:ascii="Times New Roman" w:hAnsi="Times New Roman" w:cs="Times New Roman"/>
          <w:sz w:val="24"/>
          <w:szCs w:val="24"/>
        </w:rPr>
        <w:t>is characterised by an ascending triadic figure that contains the notes C, E, and G</w:t>
      </w:r>
      <w:r w:rsidR="00CE5310" w:rsidRPr="002B630E">
        <w:rPr>
          <w:rFonts w:ascii="Times New Roman" w:hAnsi="Times New Roman" w:cs="Times New Roman"/>
          <w:sz w:val="24"/>
          <w:szCs w:val="24"/>
        </w:rPr>
        <w:t>, imitating the sound of trumpets and linking this restatement to the final part of Tinctoris’s text</w:t>
      </w:r>
      <w:r w:rsidR="00E8405B" w:rsidRPr="002B630E">
        <w:rPr>
          <w:rFonts w:ascii="Times New Roman" w:hAnsi="Times New Roman" w:cs="Times New Roman"/>
          <w:sz w:val="24"/>
          <w:szCs w:val="24"/>
        </w:rPr>
        <w:t>: the theoretical point has been extrapolated into a musical context</w:t>
      </w:r>
      <w:r w:rsidR="00CE5310" w:rsidRPr="002B630E">
        <w:rPr>
          <w:rFonts w:ascii="Times New Roman" w:hAnsi="Times New Roman" w:cs="Times New Roman"/>
          <w:sz w:val="24"/>
          <w:szCs w:val="24"/>
        </w:rPr>
        <w:t>.</w:t>
      </w:r>
      <w:r w:rsidRPr="002B630E">
        <w:rPr>
          <w:rStyle w:val="FootnoteReference"/>
          <w:rFonts w:ascii="Times New Roman" w:hAnsi="Times New Roman" w:cs="Times New Roman"/>
          <w:sz w:val="24"/>
          <w:szCs w:val="24"/>
        </w:rPr>
        <w:footnoteReference w:id="41"/>
      </w:r>
      <w:r w:rsidRPr="002B630E">
        <w:rPr>
          <w:rFonts w:ascii="Times New Roman" w:hAnsi="Times New Roman" w:cs="Times New Roman"/>
          <w:sz w:val="24"/>
          <w:szCs w:val="24"/>
        </w:rPr>
        <w:t xml:space="preserve"> Tinctoris places </w:t>
      </w:r>
      <w:r w:rsidRPr="002B630E">
        <w:rPr>
          <w:rFonts w:ascii="Times New Roman" w:hAnsi="Times New Roman" w:cs="Times New Roman"/>
          <w:i/>
          <w:sz w:val="24"/>
          <w:szCs w:val="24"/>
        </w:rPr>
        <w:t>signa congruentiae</w:t>
      </w:r>
      <w:r w:rsidRPr="002B630E">
        <w:rPr>
          <w:rFonts w:ascii="Times New Roman" w:hAnsi="Times New Roman" w:cs="Times New Roman"/>
          <w:sz w:val="24"/>
          <w:szCs w:val="24"/>
        </w:rPr>
        <w:t xml:space="preserve"> above the first repeat of this figure</w:t>
      </w:r>
      <w:r w:rsidR="00E4179D">
        <w:rPr>
          <w:rFonts w:ascii="Times New Roman" w:hAnsi="Times New Roman" w:cs="Times New Roman"/>
          <w:sz w:val="24"/>
          <w:szCs w:val="24"/>
        </w:rPr>
        <w:t xml:space="preserve"> in each voice part, marking these two final</w:t>
      </w:r>
      <w:r w:rsidRPr="002B630E">
        <w:rPr>
          <w:rFonts w:ascii="Times New Roman" w:hAnsi="Times New Roman" w:cs="Times New Roman"/>
          <w:sz w:val="24"/>
          <w:szCs w:val="24"/>
        </w:rPr>
        <w:t xml:space="preserve"> instance</w:t>
      </w:r>
      <w:r w:rsidR="00E4179D">
        <w:rPr>
          <w:rFonts w:ascii="Times New Roman" w:hAnsi="Times New Roman" w:cs="Times New Roman"/>
          <w:sz w:val="24"/>
          <w:szCs w:val="24"/>
        </w:rPr>
        <w:t>s</w:t>
      </w:r>
      <w:r w:rsidRPr="002B630E">
        <w:rPr>
          <w:rFonts w:ascii="Times New Roman" w:hAnsi="Times New Roman" w:cs="Times New Roman"/>
          <w:sz w:val="24"/>
          <w:szCs w:val="24"/>
        </w:rPr>
        <w:t xml:space="preserve"> of repetition out from the </w:t>
      </w:r>
      <w:r w:rsidR="00E4179D">
        <w:rPr>
          <w:rFonts w:ascii="Times New Roman" w:hAnsi="Times New Roman" w:cs="Times New Roman"/>
          <w:sz w:val="24"/>
          <w:szCs w:val="24"/>
        </w:rPr>
        <w:t>first three</w:t>
      </w:r>
      <w:r w:rsidRPr="002B630E">
        <w:rPr>
          <w:rFonts w:ascii="Times New Roman" w:hAnsi="Times New Roman" w:cs="Times New Roman"/>
          <w:sz w:val="24"/>
          <w:szCs w:val="24"/>
        </w:rPr>
        <w:t xml:space="preserve"> in this example, which are confined to the Tenor.</w:t>
      </w:r>
    </w:p>
    <w:p w14:paraId="5D047D75" w14:textId="1BE2F129" w:rsidR="000949DE" w:rsidRPr="002B630E" w:rsidRDefault="000949DE"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t xml:space="preserve">Tinctoris’s use of </w:t>
      </w:r>
      <w:r w:rsidR="00E8405B" w:rsidRPr="002B630E">
        <w:rPr>
          <w:rFonts w:ascii="Times New Roman" w:hAnsi="Times New Roman" w:cs="Times New Roman"/>
          <w:i/>
          <w:sz w:val="24"/>
          <w:szCs w:val="24"/>
        </w:rPr>
        <w:t>signa</w:t>
      </w:r>
      <w:r w:rsidRPr="002B630E">
        <w:rPr>
          <w:rFonts w:ascii="Times New Roman" w:hAnsi="Times New Roman" w:cs="Times New Roman"/>
          <w:sz w:val="24"/>
          <w:szCs w:val="24"/>
        </w:rPr>
        <w:t xml:space="preserve"> in all three voice parts is noteworthy. If the apparent primary function of the </w:t>
      </w:r>
      <w:r w:rsidRPr="002B630E">
        <w:rPr>
          <w:rFonts w:ascii="Times New Roman" w:hAnsi="Times New Roman" w:cs="Times New Roman"/>
          <w:i/>
          <w:sz w:val="24"/>
          <w:szCs w:val="24"/>
        </w:rPr>
        <w:t>signum congruentiae</w:t>
      </w:r>
      <w:r w:rsidRPr="002B630E">
        <w:rPr>
          <w:rFonts w:ascii="Times New Roman" w:hAnsi="Times New Roman" w:cs="Times New Roman"/>
          <w:sz w:val="24"/>
          <w:szCs w:val="24"/>
        </w:rPr>
        <w:t xml:space="preserve"> is taken to be at work at these moments, a reader might have been forgiven for vertically aligning all three voices here, particularly given that this would have been a striking point of consonance.</w:t>
      </w:r>
      <w:r w:rsidR="002D2F41">
        <w:rPr>
          <w:rFonts w:ascii="Times New Roman" w:hAnsi="Times New Roman" w:cs="Times New Roman"/>
          <w:sz w:val="24"/>
          <w:szCs w:val="24"/>
        </w:rPr>
        <w:t>T</w:t>
      </w:r>
      <w:r w:rsidRPr="002B630E">
        <w:rPr>
          <w:rFonts w:ascii="Times New Roman" w:hAnsi="Times New Roman" w:cs="Times New Roman"/>
          <w:sz w:val="24"/>
          <w:szCs w:val="24"/>
        </w:rPr>
        <w:t xml:space="preserve">he function of these </w:t>
      </w:r>
      <w:r w:rsidRPr="002B630E">
        <w:rPr>
          <w:rFonts w:ascii="Times New Roman" w:hAnsi="Times New Roman" w:cs="Times New Roman"/>
          <w:i/>
          <w:sz w:val="24"/>
          <w:szCs w:val="24"/>
        </w:rPr>
        <w:t xml:space="preserve">signa </w:t>
      </w:r>
      <w:r w:rsidRPr="002B630E">
        <w:rPr>
          <w:rFonts w:ascii="Times New Roman" w:hAnsi="Times New Roman" w:cs="Times New Roman"/>
          <w:sz w:val="24"/>
          <w:szCs w:val="24"/>
        </w:rPr>
        <w:t>is different from their usage in contemporary practical sources</w:t>
      </w:r>
      <w:r w:rsidR="00E8405B" w:rsidRPr="002B630E">
        <w:rPr>
          <w:rFonts w:ascii="Times New Roman" w:hAnsi="Times New Roman" w:cs="Times New Roman"/>
          <w:sz w:val="24"/>
          <w:szCs w:val="24"/>
        </w:rPr>
        <w:t>, demonstrating another case of rather flexible usage of this sign</w:t>
      </w:r>
      <w:r w:rsidRPr="002B630E">
        <w:rPr>
          <w:rFonts w:ascii="Times New Roman" w:hAnsi="Times New Roman" w:cs="Times New Roman"/>
          <w:sz w:val="24"/>
          <w:szCs w:val="24"/>
        </w:rPr>
        <w:t xml:space="preserve">. It </w:t>
      </w:r>
      <w:r w:rsidR="00E8405B" w:rsidRPr="002B630E">
        <w:rPr>
          <w:rFonts w:ascii="Times New Roman" w:hAnsi="Times New Roman" w:cs="Times New Roman"/>
          <w:sz w:val="24"/>
          <w:szCs w:val="24"/>
        </w:rPr>
        <w:t xml:space="preserve">should also be observed that </w:t>
      </w:r>
      <w:r w:rsidRPr="002B630E">
        <w:rPr>
          <w:rFonts w:ascii="Times New Roman" w:hAnsi="Times New Roman" w:cs="Times New Roman"/>
          <w:i/>
          <w:sz w:val="24"/>
          <w:szCs w:val="24"/>
        </w:rPr>
        <w:t xml:space="preserve">signa </w:t>
      </w:r>
      <w:r w:rsidR="00E8405B" w:rsidRPr="002B630E">
        <w:rPr>
          <w:rFonts w:ascii="Times New Roman" w:hAnsi="Times New Roman" w:cs="Times New Roman"/>
          <w:sz w:val="24"/>
          <w:szCs w:val="24"/>
        </w:rPr>
        <w:t xml:space="preserve">are not deployed </w:t>
      </w:r>
      <w:r w:rsidRPr="002B630E">
        <w:rPr>
          <w:rFonts w:ascii="Times New Roman" w:hAnsi="Times New Roman" w:cs="Times New Roman"/>
          <w:sz w:val="24"/>
          <w:szCs w:val="24"/>
        </w:rPr>
        <w:t xml:space="preserve">on instances of a motif stated only once in a given part, or a motif repeated with other notes in between, even if these are in imitation with another part. Thus, it can be understood that Tinctoris objects to the </w:t>
      </w:r>
      <w:r w:rsidRPr="002B630E">
        <w:rPr>
          <w:rFonts w:ascii="Times New Roman" w:hAnsi="Times New Roman" w:cs="Times New Roman"/>
          <w:sz w:val="24"/>
          <w:szCs w:val="24"/>
        </w:rPr>
        <w:lastRenderedPageBreak/>
        <w:t>immediate repetition of motifs when not justified by imitative sonic effects, and clearly demonstrates he does not object to imitation or discontinuous repetition of motifs.</w:t>
      </w:r>
    </w:p>
    <w:p w14:paraId="104DDADB" w14:textId="6C4A63A5" w:rsidR="000949DE" w:rsidRPr="002B630E" w:rsidRDefault="000949DE" w:rsidP="00B95FCD">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t xml:space="preserve">In raising the visual profile of </w:t>
      </w:r>
      <w:r w:rsidR="00E8405B" w:rsidRPr="002B630E">
        <w:rPr>
          <w:rFonts w:ascii="Times New Roman" w:hAnsi="Times New Roman" w:cs="Times New Roman"/>
          <w:sz w:val="24"/>
          <w:szCs w:val="24"/>
        </w:rPr>
        <w:t xml:space="preserve">this specific </w:t>
      </w:r>
      <w:r w:rsidRPr="002B630E">
        <w:rPr>
          <w:rFonts w:ascii="Times New Roman" w:hAnsi="Times New Roman" w:cs="Times New Roman"/>
          <w:sz w:val="24"/>
          <w:szCs w:val="24"/>
        </w:rPr>
        <w:t xml:space="preserve">point of the example, Tinctoris emphasises its structural significance to his theoretical point. However, a reader familiar with the conventions associated with this symbol might have misinterpreted Tinctoris’s intention here, instead aligning the three voice parts as </w:t>
      </w:r>
      <w:r w:rsidR="00E8405B" w:rsidRPr="002B630E">
        <w:rPr>
          <w:rFonts w:ascii="Times New Roman" w:hAnsi="Times New Roman" w:cs="Times New Roman"/>
          <w:sz w:val="24"/>
          <w:szCs w:val="24"/>
        </w:rPr>
        <w:t xml:space="preserve">though </w:t>
      </w:r>
      <w:r w:rsidRPr="002B630E">
        <w:rPr>
          <w:rFonts w:ascii="Times New Roman" w:hAnsi="Times New Roman" w:cs="Times New Roman"/>
          <w:sz w:val="24"/>
          <w:szCs w:val="24"/>
        </w:rPr>
        <w:t xml:space="preserve">sounding simultaneously in vertical alignment. </w:t>
      </w:r>
      <w:r w:rsidR="00E8405B" w:rsidRPr="002B630E">
        <w:rPr>
          <w:rFonts w:ascii="Times New Roman" w:hAnsi="Times New Roman" w:cs="Times New Roman"/>
          <w:sz w:val="24"/>
          <w:szCs w:val="24"/>
        </w:rPr>
        <w:t>Of course, c</w:t>
      </w:r>
      <w:r w:rsidRPr="002B630E">
        <w:rPr>
          <w:rFonts w:ascii="Times New Roman" w:hAnsi="Times New Roman" w:cs="Times New Roman"/>
          <w:sz w:val="24"/>
          <w:szCs w:val="24"/>
        </w:rPr>
        <w:t xml:space="preserve">areful reading of the polyphonic context, </w:t>
      </w:r>
      <w:r w:rsidR="00E8405B" w:rsidRPr="002B630E">
        <w:rPr>
          <w:rFonts w:ascii="Times New Roman" w:hAnsi="Times New Roman" w:cs="Times New Roman"/>
          <w:sz w:val="24"/>
          <w:szCs w:val="24"/>
        </w:rPr>
        <w:t xml:space="preserve">alongside the theoretical text, </w:t>
      </w:r>
      <w:r w:rsidRPr="002B630E">
        <w:rPr>
          <w:rFonts w:ascii="Times New Roman" w:hAnsi="Times New Roman" w:cs="Times New Roman"/>
          <w:sz w:val="24"/>
          <w:szCs w:val="24"/>
        </w:rPr>
        <w:t xml:space="preserve">would </w:t>
      </w:r>
      <w:r w:rsidR="00E8405B" w:rsidRPr="002B630E">
        <w:rPr>
          <w:rFonts w:ascii="Times New Roman" w:hAnsi="Times New Roman" w:cs="Times New Roman"/>
          <w:sz w:val="24"/>
          <w:szCs w:val="24"/>
        </w:rPr>
        <w:t xml:space="preserve">avoid this, but it is interesting that </w:t>
      </w:r>
      <w:r w:rsidRPr="002B630E">
        <w:rPr>
          <w:rFonts w:ascii="Times New Roman" w:hAnsi="Times New Roman" w:cs="Times New Roman"/>
          <w:sz w:val="24"/>
          <w:szCs w:val="24"/>
        </w:rPr>
        <w:t xml:space="preserve">the use of </w:t>
      </w:r>
      <w:r w:rsidRPr="002B630E">
        <w:rPr>
          <w:rFonts w:ascii="Times New Roman" w:hAnsi="Times New Roman" w:cs="Times New Roman"/>
          <w:i/>
          <w:sz w:val="24"/>
          <w:szCs w:val="24"/>
        </w:rPr>
        <w:t>signa</w:t>
      </w:r>
      <w:r w:rsidRPr="002B630E">
        <w:rPr>
          <w:rFonts w:ascii="Times New Roman" w:hAnsi="Times New Roman" w:cs="Times New Roman"/>
          <w:sz w:val="24"/>
          <w:szCs w:val="24"/>
        </w:rPr>
        <w:t xml:space="preserve"> may have introduced some ambiguity in resolving the notation</w:t>
      </w:r>
      <w:r w:rsidR="00E8405B" w:rsidRPr="002B630E">
        <w:rPr>
          <w:rFonts w:ascii="Times New Roman" w:hAnsi="Times New Roman" w:cs="Times New Roman"/>
          <w:sz w:val="24"/>
          <w:szCs w:val="24"/>
        </w:rPr>
        <w:t>, something Tinctoris would undoubtedly have criticised a near contemporary for</w:t>
      </w:r>
      <w:r w:rsidRPr="002B630E">
        <w:rPr>
          <w:rFonts w:ascii="Times New Roman" w:hAnsi="Times New Roman" w:cs="Times New Roman"/>
          <w:sz w:val="24"/>
          <w:szCs w:val="24"/>
        </w:rPr>
        <w:t xml:space="preserve">. </w:t>
      </w:r>
    </w:p>
    <w:p w14:paraId="00F78CA7" w14:textId="7CDDA228" w:rsidR="000D3DCC" w:rsidRPr="00AE5EA1" w:rsidRDefault="000949DE" w:rsidP="00C90C55">
      <w:pPr>
        <w:spacing w:line="480" w:lineRule="auto"/>
        <w:jc w:val="both"/>
        <w:rPr>
          <w:rFonts w:ascii="Times New Roman" w:hAnsi="Times New Roman" w:cs="Times New Roman"/>
          <w:sz w:val="24"/>
          <w:szCs w:val="24"/>
        </w:rPr>
      </w:pPr>
      <w:r w:rsidRPr="002B630E">
        <w:rPr>
          <w:rFonts w:ascii="Times New Roman" w:hAnsi="Times New Roman" w:cs="Times New Roman"/>
          <w:sz w:val="24"/>
          <w:szCs w:val="24"/>
        </w:rPr>
        <w:tab/>
      </w:r>
      <w:r w:rsidR="00E8405B" w:rsidRPr="002B630E">
        <w:rPr>
          <w:rFonts w:ascii="Times New Roman" w:hAnsi="Times New Roman" w:cs="Times New Roman"/>
          <w:sz w:val="24"/>
          <w:szCs w:val="24"/>
        </w:rPr>
        <w:t xml:space="preserve">Importantly, </w:t>
      </w:r>
      <w:r w:rsidRPr="002B630E">
        <w:rPr>
          <w:rFonts w:ascii="Times New Roman" w:hAnsi="Times New Roman" w:cs="Times New Roman"/>
          <w:sz w:val="24"/>
          <w:szCs w:val="24"/>
        </w:rPr>
        <w:t xml:space="preserve">these </w:t>
      </w:r>
      <w:r w:rsidRPr="002B630E">
        <w:rPr>
          <w:rFonts w:ascii="Times New Roman" w:hAnsi="Times New Roman" w:cs="Times New Roman"/>
          <w:i/>
          <w:sz w:val="24"/>
          <w:szCs w:val="24"/>
        </w:rPr>
        <w:t xml:space="preserve">signa </w:t>
      </w:r>
      <w:r w:rsidRPr="002B630E">
        <w:rPr>
          <w:rFonts w:ascii="Times New Roman" w:hAnsi="Times New Roman" w:cs="Times New Roman"/>
          <w:sz w:val="24"/>
          <w:szCs w:val="24"/>
        </w:rPr>
        <w:t xml:space="preserve">survive in </w:t>
      </w:r>
      <w:r w:rsidRPr="002B630E">
        <w:rPr>
          <w:rFonts w:ascii="Times New Roman" w:hAnsi="Times New Roman" w:cs="Times New Roman"/>
          <w:b/>
          <w:sz w:val="24"/>
          <w:szCs w:val="24"/>
        </w:rPr>
        <w:t xml:space="preserve">V </w:t>
      </w:r>
      <w:r w:rsidRPr="002B630E">
        <w:rPr>
          <w:rFonts w:ascii="Times New Roman" w:hAnsi="Times New Roman" w:cs="Times New Roman"/>
          <w:sz w:val="24"/>
          <w:szCs w:val="24"/>
        </w:rPr>
        <w:t xml:space="preserve">and </w:t>
      </w:r>
      <w:r w:rsidRPr="002B630E">
        <w:rPr>
          <w:rFonts w:ascii="Times New Roman" w:hAnsi="Times New Roman" w:cs="Times New Roman"/>
          <w:b/>
          <w:sz w:val="24"/>
          <w:szCs w:val="24"/>
        </w:rPr>
        <w:t>BU</w:t>
      </w:r>
      <w:r w:rsidR="004A0C6A" w:rsidRPr="002B630E">
        <w:rPr>
          <w:rFonts w:ascii="Times New Roman" w:hAnsi="Times New Roman" w:cs="Times New Roman"/>
          <w:b/>
          <w:sz w:val="24"/>
          <w:szCs w:val="24"/>
        </w:rPr>
        <w:t xml:space="preserve"> </w:t>
      </w:r>
      <w:r w:rsidR="004A0C6A" w:rsidRPr="002B630E">
        <w:rPr>
          <w:rFonts w:ascii="Times New Roman" w:hAnsi="Times New Roman" w:cs="Times New Roman"/>
          <w:sz w:val="24"/>
          <w:szCs w:val="24"/>
        </w:rPr>
        <w:t>only</w:t>
      </w:r>
      <w:r w:rsidR="00E8405B" w:rsidRPr="002B630E">
        <w:rPr>
          <w:rFonts w:ascii="Times New Roman" w:hAnsi="Times New Roman" w:cs="Times New Roman"/>
          <w:sz w:val="24"/>
          <w:szCs w:val="24"/>
        </w:rPr>
        <w:t>.</w:t>
      </w:r>
      <w:r w:rsidRPr="002B630E">
        <w:rPr>
          <w:rFonts w:ascii="Times New Roman" w:hAnsi="Times New Roman" w:cs="Times New Roman"/>
          <w:sz w:val="24"/>
          <w:szCs w:val="24"/>
        </w:rPr>
        <w:t xml:space="preserve"> </w:t>
      </w:r>
      <w:r w:rsidR="00643A4E" w:rsidRPr="002B630E">
        <w:rPr>
          <w:rFonts w:ascii="Times New Roman" w:hAnsi="Times New Roman" w:cs="Times New Roman"/>
          <w:sz w:val="24"/>
          <w:szCs w:val="24"/>
        </w:rPr>
        <w:t>They were almost certainly part of the exemplar</w:t>
      </w:r>
      <w:r w:rsidR="003C61CE">
        <w:rPr>
          <w:rFonts w:ascii="Times New Roman" w:hAnsi="Times New Roman" w:cs="Times New Roman"/>
          <w:sz w:val="24"/>
          <w:szCs w:val="24"/>
        </w:rPr>
        <w:t xml:space="preserve"> for these sources</w:t>
      </w:r>
      <w:r w:rsidR="00643A4E" w:rsidRPr="002B630E">
        <w:rPr>
          <w:rFonts w:ascii="Times New Roman" w:hAnsi="Times New Roman" w:cs="Times New Roman"/>
          <w:sz w:val="24"/>
          <w:szCs w:val="24"/>
        </w:rPr>
        <w:t xml:space="preserve"> and, given that Tinctoris may have had a close involvement in the compilation of these sources, it seems </w:t>
      </w:r>
      <w:r w:rsidR="003C61CE">
        <w:rPr>
          <w:rFonts w:ascii="Times New Roman" w:hAnsi="Times New Roman" w:cs="Times New Roman"/>
          <w:sz w:val="24"/>
          <w:szCs w:val="24"/>
        </w:rPr>
        <w:t xml:space="preserve">likely </w:t>
      </w:r>
      <w:r w:rsidR="00643A4E" w:rsidRPr="002B630E">
        <w:rPr>
          <w:rFonts w:ascii="Times New Roman" w:hAnsi="Times New Roman" w:cs="Times New Roman"/>
          <w:sz w:val="24"/>
          <w:szCs w:val="24"/>
        </w:rPr>
        <w:t xml:space="preserve">that they are witness to authorial intention and not merely scribal emendations. </w:t>
      </w:r>
      <w:r w:rsidRPr="002B630E">
        <w:rPr>
          <w:rFonts w:ascii="Times New Roman" w:hAnsi="Times New Roman" w:cs="Times New Roman"/>
          <w:sz w:val="24"/>
          <w:szCs w:val="24"/>
        </w:rPr>
        <w:t xml:space="preserve">The absence of </w:t>
      </w:r>
      <w:r w:rsidRPr="002B630E">
        <w:rPr>
          <w:rFonts w:ascii="Times New Roman" w:hAnsi="Times New Roman" w:cs="Times New Roman"/>
          <w:i/>
          <w:sz w:val="24"/>
          <w:szCs w:val="24"/>
        </w:rPr>
        <w:t>signa congruentiae</w:t>
      </w:r>
      <w:r w:rsidRPr="002B630E">
        <w:rPr>
          <w:rFonts w:ascii="Times New Roman" w:hAnsi="Times New Roman" w:cs="Times New Roman"/>
          <w:sz w:val="24"/>
          <w:szCs w:val="24"/>
        </w:rPr>
        <w:t xml:space="preserve"> in </w:t>
      </w:r>
      <w:r w:rsidRPr="002B630E">
        <w:rPr>
          <w:rFonts w:ascii="Times New Roman" w:hAnsi="Times New Roman" w:cs="Times New Roman"/>
          <w:b/>
          <w:sz w:val="24"/>
          <w:szCs w:val="24"/>
        </w:rPr>
        <w:t xml:space="preserve">Br1 </w:t>
      </w:r>
      <w:r w:rsidR="00D0117A" w:rsidRPr="002B630E">
        <w:rPr>
          <w:rFonts w:ascii="Times New Roman" w:hAnsi="Times New Roman" w:cs="Times New Roman"/>
          <w:sz w:val="24"/>
          <w:szCs w:val="24"/>
        </w:rPr>
        <w:t>(fol. 99</w:t>
      </w:r>
      <w:r w:rsidR="00D0117A" w:rsidRPr="002B630E">
        <w:rPr>
          <w:rFonts w:ascii="Times New Roman" w:hAnsi="Times New Roman" w:cs="Times New Roman"/>
          <w:sz w:val="24"/>
          <w:szCs w:val="24"/>
          <w:vertAlign w:val="superscript"/>
        </w:rPr>
        <w:t>v</w:t>
      </w:r>
      <w:r w:rsidR="00D0117A" w:rsidRPr="002B630E">
        <w:rPr>
          <w:rFonts w:ascii="Times New Roman" w:hAnsi="Times New Roman" w:cs="Times New Roman"/>
          <w:sz w:val="24"/>
          <w:szCs w:val="24"/>
        </w:rPr>
        <w:t xml:space="preserve">) </w:t>
      </w:r>
      <w:r w:rsidR="00791910" w:rsidRPr="002B630E">
        <w:rPr>
          <w:rFonts w:ascii="Times New Roman" w:hAnsi="Times New Roman" w:cs="Times New Roman"/>
          <w:sz w:val="24"/>
          <w:szCs w:val="24"/>
        </w:rPr>
        <w:t>at this point</w:t>
      </w:r>
      <w:r w:rsidR="004A0C6A" w:rsidRPr="002B630E">
        <w:rPr>
          <w:rFonts w:ascii="Times New Roman" w:hAnsi="Times New Roman" w:cs="Times New Roman"/>
          <w:sz w:val="24"/>
          <w:szCs w:val="24"/>
        </w:rPr>
        <w:t xml:space="preserve">, and for the example of </w:t>
      </w:r>
      <w:r w:rsidR="00D0117A" w:rsidRPr="002B630E">
        <w:rPr>
          <w:rFonts w:ascii="Times New Roman" w:hAnsi="Times New Roman" w:cs="Times New Roman"/>
          <w:sz w:val="24"/>
          <w:szCs w:val="24"/>
        </w:rPr>
        <w:t>chromatically altered concords</w:t>
      </w:r>
      <w:r w:rsidR="00AE5EA1">
        <w:rPr>
          <w:rFonts w:ascii="Times New Roman" w:hAnsi="Times New Roman" w:cs="Times New Roman"/>
          <w:sz w:val="24"/>
          <w:szCs w:val="24"/>
        </w:rPr>
        <w:t xml:space="preserve"> discussed earlier in this article</w:t>
      </w:r>
      <w:r w:rsidR="00D0117A" w:rsidRPr="002B630E">
        <w:rPr>
          <w:rFonts w:ascii="Times New Roman" w:hAnsi="Times New Roman" w:cs="Times New Roman"/>
          <w:sz w:val="24"/>
          <w:szCs w:val="24"/>
        </w:rPr>
        <w:t>,</w:t>
      </w:r>
      <w:r w:rsidR="00401740">
        <w:rPr>
          <w:rFonts w:ascii="Times New Roman" w:hAnsi="Times New Roman" w:cs="Times New Roman"/>
          <w:sz w:val="24"/>
          <w:szCs w:val="24"/>
        </w:rPr>
        <w:t xml:space="preserve"> may be significant.</w:t>
      </w:r>
      <w:r w:rsidR="00791910" w:rsidRPr="002B630E">
        <w:rPr>
          <w:rFonts w:ascii="Times New Roman" w:hAnsi="Times New Roman" w:cs="Times New Roman"/>
          <w:sz w:val="24"/>
          <w:szCs w:val="24"/>
        </w:rPr>
        <w:t xml:space="preserve"> </w:t>
      </w:r>
      <w:r w:rsidRPr="002B630E">
        <w:rPr>
          <w:rFonts w:ascii="Times New Roman" w:hAnsi="Times New Roman" w:cs="Times New Roman"/>
          <w:sz w:val="24"/>
          <w:szCs w:val="24"/>
        </w:rPr>
        <w:t xml:space="preserve">Given </w:t>
      </w:r>
      <w:r w:rsidR="00D1503A" w:rsidRPr="002B630E">
        <w:rPr>
          <w:rFonts w:ascii="Times New Roman" w:hAnsi="Times New Roman" w:cs="Times New Roman"/>
          <w:sz w:val="24"/>
          <w:szCs w:val="24"/>
        </w:rPr>
        <w:t xml:space="preserve">the multiplicity of meanings associated with the </w:t>
      </w:r>
      <w:r w:rsidR="00D1503A" w:rsidRPr="002B630E">
        <w:rPr>
          <w:rFonts w:ascii="Times New Roman" w:hAnsi="Times New Roman" w:cs="Times New Roman"/>
          <w:i/>
          <w:sz w:val="24"/>
          <w:szCs w:val="24"/>
        </w:rPr>
        <w:t>signum</w:t>
      </w:r>
      <w:r w:rsidR="00D1503A" w:rsidRPr="002B630E">
        <w:rPr>
          <w:rFonts w:ascii="Times New Roman" w:hAnsi="Times New Roman" w:cs="Times New Roman"/>
          <w:sz w:val="24"/>
          <w:szCs w:val="24"/>
        </w:rPr>
        <w:t xml:space="preserve"> in practical music sources, </w:t>
      </w:r>
      <w:r w:rsidRPr="002B630E">
        <w:rPr>
          <w:rFonts w:ascii="Times New Roman" w:hAnsi="Times New Roman" w:cs="Times New Roman"/>
          <w:sz w:val="24"/>
          <w:szCs w:val="24"/>
        </w:rPr>
        <w:t xml:space="preserve">it seems entirely plausible that the </w:t>
      </w:r>
      <w:r w:rsidRPr="002B630E">
        <w:rPr>
          <w:rFonts w:ascii="Times New Roman" w:hAnsi="Times New Roman" w:cs="Times New Roman"/>
          <w:b/>
          <w:sz w:val="24"/>
          <w:szCs w:val="24"/>
        </w:rPr>
        <w:t>Br1</w:t>
      </w:r>
      <w:r w:rsidRPr="002B630E">
        <w:rPr>
          <w:rFonts w:ascii="Times New Roman" w:hAnsi="Times New Roman" w:cs="Times New Roman"/>
          <w:sz w:val="24"/>
          <w:szCs w:val="24"/>
        </w:rPr>
        <w:t xml:space="preserve"> scribe chose to omit these symbols, on the basis that the repetitions were obvious in the notation. </w:t>
      </w:r>
      <w:r w:rsidR="00E9293C">
        <w:rPr>
          <w:rFonts w:ascii="Times New Roman" w:hAnsi="Times New Roman" w:cs="Times New Roman"/>
          <w:sz w:val="24"/>
          <w:szCs w:val="24"/>
        </w:rPr>
        <w:t xml:space="preserve">However, the omission </w:t>
      </w:r>
      <w:r w:rsidR="00EE57B9">
        <w:rPr>
          <w:rFonts w:ascii="Times New Roman" w:hAnsi="Times New Roman" w:cs="Times New Roman"/>
          <w:sz w:val="24"/>
          <w:szCs w:val="24"/>
        </w:rPr>
        <w:t xml:space="preserve">of </w:t>
      </w:r>
      <w:r w:rsidR="00EE57B9">
        <w:rPr>
          <w:rFonts w:ascii="Times New Roman" w:hAnsi="Times New Roman" w:cs="Times New Roman"/>
          <w:i/>
          <w:sz w:val="24"/>
          <w:szCs w:val="24"/>
        </w:rPr>
        <w:t xml:space="preserve">signa </w:t>
      </w:r>
      <w:r w:rsidR="00EE57B9">
        <w:rPr>
          <w:rFonts w:ascii="Times New Roman" w:hAnsi="Times New Roman" w:cs="Times New Roman"/>
          <w:sz w:val="24"/>
          <w:szCs w:val="24"/>
        </w:rPr>
        <w:t xml:space="preserve">from the later parts of the </w:t>
      </w:r>
      <w:r w:rsidR="00EE57B9">
        <w:rPr>
          <w:rFonts w:ascii="Times New Roman" w:hAnsi="Times New Roman" w:cs="Times New Roman"/>
          <w:i/>
          <w:sz w:val="24"/>
          <w:szCs w:val="24"/>
        </w:rPr>
        <w:t xml:space="preserve">De arte contrapuncti </w:t>
      </w:r>
      <w:r w:rsidR="00EE57B9">
        <w:rPr>
          <w:rFonts w:ascii="Times New Roman" w:hAnsi="Times New Roman" w:cs="Times New Roman"/>
          <w:sz w:val="24"/>
          <w:szCs w:val="24"/>
        </w:rPr>
        <w:t xml:space="preserve">as it survives in </w:t>
      </w:r>
      <w:r w:rsidR="00EE57B9">
        <w:rPr>
          <w:rFonts w:ascii="Times New Roman" w:hAnsi="Times New Roman" w:cs="Times New Roman"/>
          <w:b/>
          <w:sz w:val="24"/>
          <w:szCs w:val="24"/>
        </w:rPr>
        <w:t xml:space="preserve">Br1 </w:t>
      </w:r>
      <w:r w:rsidR="00EE57B9">
        <w:rPr>
          <w:rFonts w:ascii="Times New Roman" w:hAnsi="Times New Roman" w:cs="Times New Roman"/>
          <w:sz w:val="24"/>
          <w:szCs w:val="24"/>
        </w:rPr>
        <w:t>might also point towards the scribe simply running out of time to enter these additional symbols, which may well have been entered at a later stage</w:t>
      </w:r>
      <w:r w:rsidR="006D002B">
        <w:rPr>
          <w:rFonts w:ascii="Times New Roman" w:hAnsi="Times New Roman" w:cs="Times New Roman"/>
          <w:sz w:val="24"/>
          <w:szCs w:val="24"/>
        </w:rPr>
        <w:t xml:space="preserve"> of the </w:t>
      </w:r>
      <w:r w:rsidR="00E9293C">
        <w:rPr>
          <w:rFonts w:ascii="Times New Roman" w:hAnsi="Times New Roman" w:cs="Times New Roman"/>
          <w:sz w:val="24"/>
          <w:szCs w:val="24"/>
        </w:rPr>
        <w:t xml:space="preserve">production </w:t>
      </w:r>
      <w:r w:rsidR="006D002B">
        <w:rPr>
          <w:rFonts w:ascii="Times New Roman" w:hAnsi="Times New Roman" w:cs="Times New Roman"/>
          <w:sz w:val="24"/>
          <w:szCs w:val="24"/>
        </w:rPr>
        <w:t>process</w:t>
      </w:r>
      <w:r w:rsidR="00EE57B9">
        <w:rPr>
          <w:rFonts w:ascii="Times New Roman" w:hAnsi="Times New Roman" w:cs="Times New Roman"/>
          <w:sz w:val="24"/>
          <w:szCs w:val="24"/>
        </w:rPr>
        <w:t xml:space="preserve">. </w:t>
      </w:r>
      <w:r w:rsidR="00401740">
        <w:rPr>
          <w:rFonts w:ascii="Times New Roman" w:hAnsi="Times New Roman" w:cs="Times New Roman"/>
          <w:sz w:val="24"/>
          <w:szCs w:val="24"/>
        </w:rPr>
        <w:t xml:space="preserve">Nevertheless, it is significant that signs which appear to be so important in the text-example relationship in the most complex examples of </w:t>
      </w:r>
      <w:r w:rsidR="00401740">
        <w:rPr>
          <w:rFonts w:ascii="Times New Roman" w:hAnsi="Times New Roman" w:cs="Times New Roman"/>
          <w:b/>
          <w:sz w:val="24"/>
          <w:szCs w:val="24"/>
        </w:rPr>
        <w:t xml:space="preserve">V </w:t>
      </w:r>
      <w:r w:rsidR="00401740">
        <w:rPr>
          <w:rFonts w:ascii="Times New Roman" w:hAnsi="Times New Roman" w:cs="Times New Roman"/>
          <w:sz w:val="24"/>
          <w:szCs w:val="24"/>
        </w:rPr>
        <w:t xml:space="preserve">and </w:t>
      </w:r>
      <w:r w:rsidR="00401740">
        <w:rPr>
          <w:rFonts w:ascii="Times New Roman" w:hAnsi="Times New Roman" w:cs="Times New Roman"/>
          <w:b/>
          <w:sz w:val="24"/>
          <w:szCs w:val="24"/>
        </w:rPr>
        <w:t>BU</w:t>
      </w:r>
      <w:r w:rsidR="00401740">
        <w:rPr>
          <w:rFonts w:ascii="Times New Roman" w:hAnsi="Times New Roman" w:cs="Times New Roman"/>
          <w:sz w:val="24"/>
          <w:szCs w:val="24"/>
        </w:rPr>
        <w:t xml:space="preserve">, are mostly absent from </w:t>
      </w:r>
      <w:r w:rsidR="00E9293C">
        <w:rPr>
          <w:rFonts w:ascii="Times New Roman" w:hAnsi="Times New Roman" w:cs="Times New Roman"/>
          <w:sz w:val="24"/>
          <w:szCs w:val="24"/>
        </w:rPr>
        <w:t xml:space="preserve">the equivalent examples in </w:t>
      </w:r>
      <w:r w:rsidR="00401740">
        <w:rPr>
          <w:rFonts w:ascii="Times New Roman" w:hAnsi="Times New Roman" w:cs="Times New Roman"/>
          <w:b/>
          <w:sz w:val="24"/>
          <w:szCs w:val="24"/>
        </w:rPr>
        <w:t>Br1</w:t>
      </w:r>
      <w:r w:rsidR="00401740">
        <w:rPr>
          <w:rFonts w:ascii="Times New Roman" w:hAnsi="Times New Roman" w:cs="Times New Roman"/>
          <w:sz w:val="24"/>
          <w:szCs w:val="24"/>
        </w:rPr>
        <w:t>.</w:t>
      </w:r>
      <w:r w:rsidR="00AE5EA1">
        <w:rPr>
          <w:rFonts w:ascii="Times New Roman" w:hAnsi="Times New Roman" w:cs="Times New Roman"/>
          <w:sz w:val="24"/>
          <w:szCs w:val="24"/>
        </w:rPr>
        <w:t xml:space="preserve"> In these different manuscript contexts, readers might have engaged with the notation in a slightly different manner, and thus the </w:t>
      </w:r>
      <w:r w:rsidR="00AE5EA1">
        <w:rPr>
          <w:rFonts w:ascii="Times New Roman" w:hAnsi="Times New Roman" w:cs="Times New Roman"/>
          <w:i/>
          <w:sz w:val="24"/>
          <w:szCs w:val="24"/>
        </w:rPr>
        <w:t xml:space="preserve">signa </w:t>
      </w:r>
      <w:r w:rsidR="00AE5EA1">
        <w:rPr>
          <w:rFonts w:ascii="Times New Roman" w:hAnsi="Times New Roman" w:cs="Times New Roman"/>
          <w:sz w:val="24"/>
          <w:szCs w:val="24"/>
        </w:rPr>
        <w:t xml:space="preserve">provide an additional layer to the exemplification strategy played out here. </w:t>
      </w:r>
    </w:p>
    <w:p w14:paraId="2E2C939B" w14:textId="77777777" w:rsidR="00F34955" w:rsidRPr="002B630E" w:rsidRDefault="00F34955" w:rsidP="00B95FCD">
      <w:pPr>
        <w:tabs>
          <w:tab w:val="left" w:pos="567"/>
        </w:tabs>
        <w:spacing w:line="480" w:lineRule="auto"/>
        <w:ind w:right="-64"/>
        <w:jc w:val="both"/>
        <w:rPr>
          <w:rFonts w:ascii="Times New Roman" w:hAnsi="Times New Roman" w:cs="Times New Roman"/>
          <w:b/>
          <w:sz w:val="24"/>
          <w:szCs w:val="24"/>
        </w:rPr>
      </w:pPr>
    </w:p>
    <w:p w14:paraId="510FD2A7" w14:textId="562383A5" w:rsidR="00F20750" w:rsidRPr="002B630E" w:rsidRDefault="00F34955"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b/>
          <w:sz w:val="24"/>
          <w:szCs w:val="24"/>
        </w:rPr>
        <w:t xml:space="preserve">Genre, function, and spheres of readership(s)? </w:t>
      </w:r>
    </w:p>
    <w:p w14:paraId="67112D6D" w14:textId="1B01C4B4" w:rsidR="000B752B" w:rsidRPr="002B630E" w:rsidRDefault="00F20750"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 xml:space="preserve">With the different uses of </w:t>
      </w:r>
      <w:r w:rsidRPr="002B630E">
        <w:rPr>
          <w:rFonts w:ascii="Times New Roman" w:hAnsi="Times New Roman" w:cs="Times New Roman"/>
          <w:i/>
          <w:sz w:val="24"/>
          <w:szCs w:val="24"/>
        </w:rPr>
        <w:t>signa</w:t>
      </w:r>
      <w:r w:rsidRPr="002B630E">
        <w:rPr>
          <w:rFonts w:ascii="Times New Roman" w:hAnsi="Times New Roman" w:cs="Times New Roman"/>
          <w:sz w:val="24"/>
          <w:szCs w:val="24"/>
        </w:rPr>
        <w:t xml:space="preserve"> in the examples of </w:t>
      </w:r>
      <w:r w:rsidRPr="002B630E">
        <w:rPr>
          <w:rFonts w:ascii="Times New Roman" w:hAnsi="Times New Roman" w:cs="Times New Roman"/>
          <w:i/>
          <w:sz w:val="24"/>
          <w:szCs w:val="24"/>
        </w:rPr>
        <w:t>De arte contrapuncti</w:t>
      </w:r>
      <w:r w:rsidRPr="002B630E">
        <w:rPr>
          <w:rFonts w:ascii="Times New Roman" w:hAnsi="Times New Roman" w:cs="Times New Roman"/>
          <w:sz w:val="24"/>
          <w:szCs w:val="24"/>
        </w:rPr>
        <w:t xml:space="preserve"> now outlined, it is possible to draw together </w:t>
      </w:r>
      <w:r w:rsidR="005149C3" w:rsidRPr="002B630E">
        <w:rPr>
          <w:rFonts w:ascii="Times New Roman" w:hAnsi="Times New Roman" w:cs="Times New Roman"/>
          <w:sz w:val="24"/>
          <w:szCs w:val="24"/>
        </w:rPr>
        <w:t>the evidence laid out above</w:t>
      </w:r>
      <w:r w:rsidRPr="002B630E">
        <w:rPr>
          <w:rFonts w:ascii="Times New Roman" w:hAnsi="Times New Roman" w:cs="Times New Roman"/>
          <w:sz w:val="24"/>
          <w:szCs w:val="24"/>
        </w:rPr>
        <w:t xml:space="preserve">, and </w:t>
      </w:r>
      <w:r w:rsidR="00D1503A" w:rsidRPr="002B630E">
        <w:rPr>
          <w:rFonts w:ascii="Times New Roman" w:hAnsi="Times New Roman" w:cs="Times New Roman"/>
          <w:sz w:val="24"/>
          <w:szCs w:val="24"/>
        </w:rPr>
        <w:t xml:space="preserve">make some tentative remarks about the </w:t>
      </w:r>
      <w:r w:rsidR="00F34955" w:rsidRPr="002B630E">
        <w:rPr>
          <w:rFonts w:ascii="Times New Roman" w:hAnsi="Times New Roman" w:cs="Times New Roman"/>
          <w:sz w:val="24"/>
          <w:szCs w:val="24"/>
        </w:rPr>
        <w:t xml:space="preserve">possible implications for </w:t>
      </w:r>
      <w:r w:rsidR="00D1503A" w:rsidRPr="002B630E">
        <w:rPr>
          <w:rFonts w:ascii="Times New Roman" w:hAnsi="Times New Roman" w:cs="Times New Roman"/>
          <w:sz w:val="24"/>
          <w:szCs w:val="24"/>
        </w:rPr>
        <w:t xml:space="preserve">readerships and modes of reading for musical notation </w:t>
      </w:r>
      <w:r w:rsidR="00730EA5" w:rsidRPr="002B630E">
        <w:rPr>
          <w:rFonts w:ascii="Times New Roman" w:hAnsi="Times New Roman" w:cs="Times New Roman"/>
          <w:sz w:val="24"/>
          <w:szCs w:val="24"/>
        </w:rPr>
        <w:t>in Tinctoris’s treatise</w:t>
      </w:r>
      <w:r w:rsidR="005E0927" w:rsidRPr="002B630E">
        <w:rPr>
          <w:rFonts w:ascii="Times New Roman" w:hAnsi="Times New Roman" w:cs="Times New Roman"/>
          <w:sz w:val="24"/>
          <w:szCs w:val="24"/>
        </w:rPr>
        <w:t xml:space="preserve"> that th</w:t>
      </w:r>
      <w:r w:rsidR="00F34955" w:rsidRPr="002B630E">
        <w:rPr>
          <w:rFonts w:ascii="Times New Roman" w:hAnsi="Times New Roman" w:cs="Times New Roman"/>
          <w:sz w:val="24"/>
          <w:szCs w:val="24"/>
        </w:rPr>
        <w:t>e</w:t>
      </w:r>
      <w:r w:rsidR="005E0927" w:rsidRPr="002B630E">
        <w:rPr>
          <w:rFonts w:ascii="Times New Roman" w:hAnsi="Times New Roman" w:cs="Times New Roman"/>
          <w:sz w:val="24"/>
          <w:szCs w:val="24"/>
        </w:rPr>
        <w:t xml:space="preserve"> presence of these</w:t>
      </w:r>
      <w:r w:rsidR="00F34955" w:rsidRPr="002B630E">
        <w:rPr>
          <w:rFonts w:ascii="Times New Roman" w:hAnsi="Times New Roman" w:cs="Times New Roman"/>
          <w:sz w:val="24"/>
          <w:szCs w:val="24"/>
        </w:rPr>
        <w:t xml:space="preserve"> symbols might have</w:t>
      </w:r>
      <w:r w:rsidRPr="002B630E">
        <w:rPr>
          <w:rFonts w:ascii="Times New Roman" w:hAnsi="Times New Roman" w:cs="Times New Roman"/>
          <w:sz w:val="24"/>
          <w:szCs w:val="24"/>
        </w:rPr>
        <w:t>. In</w:t>
      </w:r>
      <w:r w:rsidR="000B752B" w:rsidRPr="002B630E">
        <w:rPr>
          <w:rFonts w:ascii="Times New Roman" w:hAnsi="Times New Roman" w:cs="Times New Roman"/>
          <w:sz w:val="24"/>
          <w:szCs w:val="24"/>
        </w:rPr>
        <w:t xml:space="preserve"> the two presentation sources of </w:t>
      </w:r>
      <w:r w:rsidR="00C83CD1" w:rsidRPr="002B630E">
        <w:rPr>
          <w:rFonts w:ascii="Times New Roman" w:hAnsi="Times New Roman" w:cs="Times New Roman"/>
          <w:sz w:val="24"/>
          <w:szCs w:val="24"/>
        </w:rPr>
        <w:t>Tinctoris’s</w:t>
      </w:r>
      <w:r w:rsidR="000B752B" w:rsidRPr="002B630E">
        <w:rPr>
          <w:rFonts w:ascii="Times New Roman" w:hAnsi="Times New Roman" w:cs="Times New Roman"/>
          <w:sz w:val="24"/>
          <w:szCs w:val="24"/>
        </w:rPr>
        <w:t xml:space="preserve"> works</w:t>
      </w:r>
      <w:r w:rsidR="00791910" w:rsidRPr="002B630E">
        <w:rPr>
          <w:rFonts w:ascii="Times New Roman" w:hAnsi="Times New Roman" w:cs="Times New Roman"/>
          <w:sz w:val="24"/>
          <w:szCs w:val="24"/>
        </w:rPr>
        <w:t xml:space="preserve">, </w:t>
      </w:r>
      <w:r w:rsidR="005E0927" w:rsidRPr="002B630E">
        <w:rPr>
          <w:rFonts w:ascii="Times New Roman" w:hAnsi="Times New Roman" w:cs="Times New Roman"/>
          <w:b/>
          <w:sz w:val="24"/>
          <w:szCs w:val="24"/>
        </w:rPr>
        <w:t xml:space="preserve">V </w:t>
      </w:r>
      <w:r w:rsidR="005E0927" w:rsidRPr="002B630E">
        <w:rPr>
          <w:rFonts w:ascii="Times New Roman" w:hAnsi="Times New Roman" w:cs="Times New Roman"/>
          <w:sz w:val="24"/>
          <w:szCs w:val="24"/>
        </w:rPr>
        <w:t xml:space="preserve">and </w:t>
      </w:r>
      <w:r w:rsidR="005E0927" w:rsidRPr="002B630E">
        <w:rPr>
          <w:rFonts w:ascii="Times New Roman" w:hAnsi="Times New Roman" w:cs="Times New Roman"/>
          <w:b/>
          <w:sz w:val="24"/>
          <w:szCs w:val="24"/>
        </w:rPr>
        <w:t>BU</w:t>
      </w:r>
      <w:r w:rsidR="00791910" w:rsidRPr="002B630E">
        <w:rPr>
          <w:rFonts w:ascii="Times New Roman" w:hAnsi="Times New Roman" w:cs="Times New Roman"/>
          <w:sz w:val="24"/>
          <w:szCs w:val="24"/>
        </w:rPr>
        <w:t>,</w:t>
      </w:r>
      <w:r w:rsidR="00C20426" w:rsidRPr="002B630E">
        <w:rPr>
          <w:rFonts w:ascii="Times New Roman" w:hAnsi="Times New Roman" w:cs="Times New Roman"/>
          <w:sz w:val="24"/>
          <w:szCs w:val="24"/>
        </w:rPr>
        <w:t xml:space="preserve"> </w:t>
      </w:r>
      <w:r w:rsidRPr="002B630E">
        <w:rPr>
          <w:rFonts w:ascii="Times New Roman" w:hAnsi="Times New Roman" w:cs="Times New Roman"/>
          <w:sz w:val="24"/>
          <w:szCs w:val="24"/>
        </w:rPr>
        <w:t xml:space="preserve">all </w:t>
      </w:r>
      <w:r w:rsidR="00730EA5" w:rsidRPr="002B630E">
        <w:rPr>
          <w:rFonts w:ascii="Times New Roman" w:hAnsi="Times New Roman" w:cs="Times New Roman"/>
          <w:sz w:val="24"/>
          <w:szCs w:val="24"/>
        </w:rPr>
        <w:t>but the first case</w:t>
      </w:r>
      <w:r w:rsidRPr="002B630E">
        <w:rPr>
          <w:rFonts w:ascii="Times New Roman" w:hAnsi="Times New Roman" w:cs="Times New Roman"/>
          <w:sz w:val="24"/>
          <w:szCs w:val="24"/>
        </w:rPr>
        <w:t xml:space="preserve"> outlined in this article</w:t>
      </w:r>
      <w:r w:rsidR="000B752B" w:rsidRPr="002B630E">
        <w:rPr>
          <w:rFonts w:ascii="Times New Roman" w:hAnsi="Times New Roman" w:cs="Times New Roman"/>
          <w:sz w:val="24"/>
          <w:szCs w:val="24"/>
        </w:rPr>
        <w:t xml:space="preserve"> visually distinguish</w:t>
      </w:r>
      <w:r w:rsidRPr="002B630E">
        <w:rPr>
          <w:rFonts w:ascii="Times New Roman" w:hAnsi="Times New Roman" w:cs="Times New Roman"/>
          <w:sz w:val="24"/>
          <w:szCs w:val="24"/>
        </w:rPr>
        <w:t xml:space="preserve"> the </w:t>
      </w:r>
      <w:r w:rsidRPr="002B630E">
        <w:rPr>
          <w:rFonts w:ascii="Times New Roman" w:hAnsi="Times New Roman" w:cs="Times New Roman"/>
          <w:i/>
          <w:sz w:val="24"/>
          <w:szCs w:val="24"/>
        </w:rPr>
        <w:t>signa</w:t>
      </w:r>
      <w:r w:rsidRPr="002B630E">
        <w:rPr>
          <w:rFonts w:ascii="Times New Roman" w:hAnsi="Times New Roman" w:cs="Times New Roman"/>
          <w:sz w:val="24"/>
          <w:szCs w:val="24"/>
        </w:rPr>
        <w:t xml:space="preserve"> from the musical notation</w:t>
      </w:r>
      <w:r w:rsidR="000B752B" w:rsidRPr="002B630E">
        <w:rPr>
          <w:rFonts w:ascii="Times New Roman" w:hAnsi="Times New Roman" w:cs="Times New Roman"/>
          <w:sz w:val="24"/>
          <w:szCs w:val="24"/>
        </w:rPr>
        <w:t xml:space="preserve"> through the use of red ink. Whilst this may not seem overly significant</w:t>
      </w:r>
      <w:r w:rsidR="005E0927" w:rsidRPr="002B630E">
        <w:rPr>
          <w:rFonts w:ascii="Times New Roman" w:hAnsi="Times New Roman" w:cs="Times New Roman"/>
          <w:sz w:val="24"/>
          <w:szCs w:val="24"/>
        </w:rPr>
        <w:t xml:space="preserve"> at first glance</w:t>
      </w:r>
      <w:r w:rsidR="000B752B" w:rsidRPr="002B630E">
        <w:rPr>
          <w:rFonts w:ascii="Times New Roman" w:hAnsi="Times New Roman" w:cs="Times New Roman"/>
          <w:sz w:val="24"/>
          <w:szCs w:val="24"/>
        </w:rPr>
        <w:t xml:space="preserve">, it cannot be ignored that the use of this colour ink places the </w:t>
      </w:r>
      <w:r w:rsidR="000B752B" w:rsidRPr="002B630E">
        <w:rPr>
          <w:rFonts w:ascii="Times New Roman" w:hAnsi="Times New Roman" w:cs="Times New Roman"/>
          <w:i/>
          <w:sz w:val="24"/>
          <w:szCs w:val="24"/>
        </w:rPr>
        <w:t>signa</w:t>
      </w:r>
      <w:r w:rsidR="000B752B" w:rsidRPr="002B630E">
        <w:rPr>
          <w:rFonts w:ascii="Times New Roman" w:hAnsi="Times New Roman" w:cs="Times New Roman"/>
          <w:sz w:val="24"/>
          <w:szCs w:val="24"/>
        </w:rPr>
        <w:t xml:space="preserve"> on the same visual plane as a chapter heading</w:t>
      </w:r>
      <w:r w:rsidR="0052341E">
        <w:rPr>
          <w:rFonts w:ascii="Times New Roman" w:hAnsi="Times New Roman" w:cs="Times New Roman"/>
          <w:sz w:val="24"/>
          <w:szCs w:val="24"/>
        </w:rPr>
        <w:t>,</w:t>
      </w:r>
      <w:r w:rsidR="000B752B" w:rsidRPr="002B630E">
        <w:rPr>
          <w:rFonts w:ascii="Times New Roman" w:hAnsi="Times New Roman" w:cs="Times New Roman"/>
          <w:sz w:val="24"/>
          <w:szCs w:val="24"/>
        </w:rPr>
        <w:t xml:space="preserve"> rubric</w:t>
      </w:r>
      <w:r w:rsidR="0052341E">
        <w:rPr>
          <w:rFonts w:ascii="Times New Roman" w:hAnsi="Times New Roman" w:cs="Times New Roman"/>
          <w:sz w:val="24"/>
          <w:szCs w:val="24"/>
        </w:rPr>
        <w:t>, or other visual aid</w:t>
      </w:r>
      <w:r w:rsidR="00A56F32">
        <w:rPr>
          <w:rFonts w:ascii="Times New Roman" w:hAnsi="Times New Roman" w:cs="Times New Roman"/>
          <w:sz w:val="24"/>
          <w:szCs w:val="24"/>
        </w:rPr>
        <w:t>s</w:t>
      </w:r>
      <w:r w:rsidR="0052341E">
        <w:rPr>
          <w:rFonts w:ascii="Times New Roman" w:hAnsi="Times New Roman" w:cs="Times New Roman"/>
          <w:sz w:val="24"/>
          <w:szCs w:val="24"/>
        </w:rPr>
        <w:t xml:space="preserve"> such as solmisation annotations in the </w:t>
      </w:r>
      <w:r w:rsidR="0052341E">
        <w:rPr>
          <w:rFonts w:ascii="Times New Roman" w:hAnsi="Times New Roman" w:cs="Times New Roman"/>
          <w:i/>
          <w:sz w:val="24"/>
          <w:szCs w:val="24"/>
        </w:rPr>
        <w:t>Expositio manus</w:t>
      </w:r>
      <w:r w:rsidR="000B752B" w:rsidRPr="002B630E">
        <w:rPr>
          <w:rFonts w:ascii="Times New Roman" w:hAnsi="Times New Roman" w:cs="Times New Roman"/>
          <w:sz w:val="24"/>
          <w:szCs w:val="24"/>
        </w:rPr>
        <w:t>.</w:t>
      </w:r>
      <w:r w:rsidR="00A56F32">
        <w:rPr>
          <w:rStyle w:val="FootnoteReference"/>
          <w:rFonts w:ascii="Times New Roman" w:hAnsi="Times New Roman" w:cs="Times New Roman"/>
          <w:sz w:val="24"/>
          <w:szCs w:val="24"/>
        </w:rPr>
        <w:footnoteReference w:id="42"/>
      </w:r>
      <w:r w:rsidR="000B752B" w:rsidRPr="002B630E">
        <w:rPr>
          <w:rFonts w:ascii="Times New Roman" w:hAnsi="Times New Roman" w:cs="Times New Roman"/>
          <w:sz w:val="24"/>
          <w:szCs w:val="24"/>
        </w:rPr>
        <w:t xml:space="preserve"> </w:t>
      </w:r>
    </w:p>
    <w:p w14:paraId="7E3A74B7" w14:textId="13A51898" w:rsidR="00050424" w:rsidRPr="002B630E" w:rsidRDefault="000B752B"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t>Rubrication was</w:t>
      </w:r>
      <w:r w:rsidR="00874BE6" w:rsidRPr="002B630E">
        <w:rPr>
          <w:rFonts w:ascii="Times New Roman" w:hAnsi="Times New Roman" w:cs="Times New Roman"/>
          <w:sz w:val="24"/>
          <w:szCs w:val="24"/>
        </w:rPr>
        <w:t xml:space="preserve"> originally</w:t>
      </w:r>
      <w:r w:rsidRPr="002B630E">
        <w:rPr>
          <w:rFonts w:ascii="Times New Roman" w:hAnsi="Times New Roman" w:cs="Times New Roman"/>
          <w:sz w:val="24"/>
          <w:szCs w:val="24"/>
        </w:rPr>
        <w:t xml:space="preserve"> a process by which markings</w:t>
      </w:r>
      <w:r w:rsidR="00874BE6" w:rsidRPr="002B630E">
        <w:rPr>
          <w:rFonts w:ascii="Times New Roman" w:hAnsi="Times New Roman" w:cs="Times New Roman"/>
          <w:sz w:val="24"/>
          <w:szCs w:val="24"/>
        </w:rPr>
        <w:t>, usually in red ink,</w:t>
      </w:r>
      <w:r w:rsidRPr="002B630E">
        <w:rPr>
          <w:rFonts w:ascii="Times New Roman" w:hAnsi="Times New Roman" w:cs="Times New Roman"/>
          <w:sz w:val="24"/>
          <w:szCs w:val="24"/>
        </w:rPr>
        <w:t xml:space="preserve"> were added to</w:t>
      </w:r>
      <w:r w:rsidR="00874BE6" w:rsidRPr="002B630E">
        <w:rPr>
          <w:rFonts w:ascii="Times New Roman" w:hAnsi="Times New Roman" w:cs="Times New Roman"/>
          <w:sz w:val="24"/>
          <w:szCs w:val="24"/>
        </w:rPr>
        <w:t xml:space="preserve"> a manuscript after the main text had been copied to</w:t>
      </w:r>
      <w:r w:rsidRPr="002B630E">
        <w:rPr>
          <w:rFonts w:ascii="Times New Roman" w:hAnsi="Times New Roman" w:cs="Times New Roman"/>
          <w:sz w:val="24"/>
          <w:szCs w:val="24"/>
        </w:rPr>
        <w:t xml:space="preserve"> help the reader navigate a text</w:t>
      </w:r>
      <w:r w:rsidR="00874BE6" w:rsidRPr="002B630E">
        <w:rPr>
          <w:rFonts w:ascii="Times New Roman" w:hAnsi="Times New Roman" w:cs="Times New Roman"/>
          <w:sz w:val="24"/>
          <w:szCs w:val="24"/>
        </w:rPr>
        <w:t xml:space="preserve">, placing </w:t>
      </w:r>
      <w:r w:rsidRPr="002B630E">
        <w:rPr>
          <w:rFonts w:ascii="Times New Roman" w:hAnsi="Times New Roman" w:cs="Times New Roman"/>
          <w:sz w:val="24"/>
          <w:szCs w:val="24"/>
        </w:rPr>
        <w:t xml:space="preserve">particular emphasis on key points. </w:t>
      </w:r>
      <w:r w:rsidR="005E0927" w:rsidRPr="002B630E">
        <w:rPr>
          <w:rFonts w:ascii="Times New Roman" w:hAnsi="Times New Roman" w:cs="Times New Roman"/>
          <w:sz w:val="24"/>
          <w:szCs w:val="24"/>
        </w:rPr>
        <w:t>The presence of such markings and conceptions</w:t>
      </w:r>
      <w:r w:rsidRPr="002B630E">
        <w:rPr>
          <w:rFonts w:ascii="Times New Roman" w:hAnsi="Times New Roman" w:cs="Times New Roman"/>
          <w:sz w:val="24"/>
          <w:szCs w:val="24"/>
        </w:rPr>
        <w:t xml:space="preserve"> can be seen in numerous manuscripts from </w:t>
      </w:r>
      <w:r w:rsidR="005E0927" w:rsidRPr="002B630E">
        <w:rPr>
          <w:rFonts w:ascii="Times New Roman" w:hAnsi="Times New Roman" w:cs="Times New Roman"/>
          <w:sz w:val="24"/>
          <w:szCs w:val="24"/>
        </w:rPr>
        <w:t>across the Middle Ages</w:t>
      </w:r>
      <w:r w:rsidRPr="002B630E">
        <w:rPr>
          <w:rFonts w:ascii="Times New Roman" w:hAnsi="Times New Roman" w:cs="Times New Roman"/>
          <w:sz w:val="24"/>
          <w:szCs w:val="24"/>
        </w:rPr>
        <w:t xml:space="preserve">, and </w:t>
      </w:r>
      <w:r w:rsidR="00DF43EA" w:rsidRPr="002B630E">
        <w:rPr>
          <w:rFonts w:ascii="Times New Roman" w:hAnsi="Times New Roman" w:cs="Times New Roman"/>
          <w:sz w:val="24"/>
          <w:szCs w:val="24"/>
        </w:rPr>
        <w:t xml:space="preserve">it </w:t>
      </w:r>
      <w:r w:rsidRPr="002B630E">
        <w:rPr>
          <w:rFonts w:ascii="Times New Roman" w:hAnsi="Times New Roman" w:cs="Times New Roman"/>
          <w:sz w:val="24"/>
          <w:szCs w:val="24"/>
        </w:rPr>
        <w:t>continued to appear in printed publications</w:t>
      </w:r>
      <w:r w:rsidR="00874BE6" w:rsidRPr="002B630E">
        <w:rPr>
          <w:rFonts w:ascii="Times New Roman" w:hAnsi="Times New Roman" w:cs="Times New Roman"/>
          <w:sz w:val="24"/>
          <w:szCs w:val="24"/>
        </w:rPr>
        <w:t xml:space="preserve"> well into the sixteenth century and beyond</w:t>
      </w:r>
      <w:r w:rsidRPr="002B630E">
        <w:rPr>
          <w:rFonts w:ascii="Times New Roman" w:hAnsi="Times New Roman" w:cs="Times New Roman"/>
          <w:sz w:val="24"/>
          <w:szCs w:val="24"/>
        </w:rPr>
        <w:t xml:space="preserve">. </w:t>
      </w:r>
      <w:r w:rsidR="006A1F12" w:rsidRPr="002B630E">
        <w:rPr>
          <w:rFonts w:ascii="Times New Roman" w:hAnsi="Times New Roman" w:cs="Times New Roman"/>
          <w:sz w:val="24"/>
          <w:szCs w:val="24"/>
        </w:rPr>
        <w:t>In liturgical books, rubrics were added to indicate specific directions to help a religious service be carried out correctly</w:t>
      </w:r>
      <w:r w:rsidR="00874BE6" w:rsidRPr="002B630E">
        <w:rPr>
          <w:rFonts w:ascii="Times New Roman" w:hAnsi="Times New Roman" w:cs="Times New Roman"/>
          <w:sz w:val="24"/>
          <w:szCs w:val="24"/>
        </w:rPr>
        <w:t>, adding an additional layer of explanation to the core text</w:t>
      </w:r>
      <w:r w:rsidR="00F10B08">
        <w:rPr>
          <w:rFonts w:ascii="Times New Roman" w:hAnsi="Times New Roman" w:cs="Times New Roman"/>
          <w:sz w:val="24"/>
          <w:szCs w:val="24"/>
        </w:rPr>
        <w:t>, and retaining features of manuscript traditions of these texts</w:t>
      </w:r>
      <w:r w:rsidR="006A1F12" w:rsidRPr="002B630E">
        <w:rPr>
          <w:rFonts w:ascii="Times New Roman" w:hAnsi="Times New Roman" w:cs="Times New Roman"/>
          <w:sz w:val="24"/>
          <w:szCs w:val="24"/>
        </w:rPr>
        <w:t>.</w:t>
      </w:r>
      <w:r w:rsidR="006A1F12" w:rsidRPr="002B630E">
        <w:rPr>
          <w:rStyle w:val="FootnoteReference"/>
          <w:rFonts w:ascii="Times New Roman" w:hAnsi="Times New Roman" w:cs="Times New Roman"/>
          <w:sz w:val="24"/>
          <w:szCs w:val="24"/>
        </w:rPr>
        <w:footnoteReference w:id="43"/>
      </w:r>
      <w:r w:rsidR="006A1F12" w:rsidRPr="002B630E">
        <w:rPr>
          <w:rFonts w:ascii="Times New Roman" w:hAnsi="Times New Roman" w:cs="Times New Roman"/>
          <w:sz w:val="24"/>
          <w:szCs w:val="24"/>
        </w:rPr>
        <w:t xml:space="preserve"> </w:t>
      </w:r>
      <w:r w:rsidR="00650717" w:rsidRPr="002B630E">
        <w:rPr>
          <w:rFonts w:ascii="Times New Roman" w:hAnsi="Times New Roman" w:cs="Times New Roman"/>
          <w:sz w:val="24"/>
          <w:szCs w:val="24"/>
        </w:rPr>
        <w:t xml:space="preserve">Rubrication was also used in lyric manuscripts from the thirteenth and </w:t>
      </w:r>
      <w:r w:rsidR="00650717" w:rsidRPr="002B630E">
        <w:rPr>
          <w:rFonts w:ascii="Times New Roman" w:hAnsi="Times New Roman" w:cs="Times New Roman"/>
          <w:sz w:val="24"/>
          <w:szCs w:val="24"/>
        </w:rPr>
        <w:lastRenderedPageBreak/>
        <w:t>fourteenth centuries, often functioning as part of the narrative direction and authorial voice of the text in addition to its primary role of marking out the structure of a text.</w:t>
      </w:r>
      <w:r w:rsidR="00650717" w:rsidRPr="002B630E">
        <w:rPr>
          <w:rStyle w:val="FootnoteReference"/>
          <w:rFonts w:ascii="Times New Roman" w:hAnsi="Times New Roman" w:cs="Times New Roman"/>
          <w:sz w:val="24"/>
          <w:szCs w:val="24"/>
        </w:rPr>
        <w:footnoteReference w:id="44"/>
      </w:r>
      <w:r w:rsidR="00650717" w:rsidRPr="002B630E">
        <w:rPr>
          <w:rFonts w:ascii="Times New Roman" w:hAnsi="Times New Roman" w:cs="Times New Roman"/>
          <w:sz w:val="24"/>
          <w:szCs w:val="24"/>
        </w:rPr>
        <w:t xml:space="preserve"> </w:t>
      </w:r>
      <w:r w:rsidR="00143D9D" w:rsidRPr="002B630E">
        <w:rPr>
          <w:rFonts w:ascii="Times New Roman" w:hAnsi="Times New Roman" w:cs="Times New Roman"/>
          <w:sz w:val="24"/>
          <w:szCs w:val="24"/>
        </w:rPr>
        <w:t>The rubrication models used in such manuscripts often emulated those use in manuscripts containing the works of Boethius, Aristotle and Plato</w:t>
      </w:r>
      <w:r w:rsidR="005E0927" w:rsidRPr="002B630E">
        <w:rPr>
          <w:rFonts w:ascii="Times New Roman" w:hAnsi="Times New Roman" w:cs="Times New Roman"/>
          <w:sz w:val="24"/>
          <w:szCs w:val="24"/>
        </w:rPr>
        <w:t>, and facilitated the kind of intertextuality for which manuscripts are now famed</w:t>
      </w:r>
      <w:r w:rsidR="00143D9D" w:rsidRPr="002B630E">
        <w:rPr>
          <w:rFonts w:ascii="Times New Roman" w:hAnsi="Times New Roman" w:cs="Times New Roman"/>
          <w:sz w:val="24"/>
          <w:szCs w:val="24"/>
        </w:rPr>
        <w:t>.</w:t>
      </w:r>
      <w:r w:rsidR="00143D9D" w:rsidRPr="002B630E">
        <w:rPr>
          <w:rStyle w:val="FootnoteReference"/>
          <w:rFonts w:ascii="Times New Roman" w:hAnsi="Times New Roman" w:cs="Times New Roman"/>
          <w:sz w:val="24"/>
          <w:szCs w:val="24"/>
        </w:rPr>
        <w:footnoteReference w:id="45"/>
      </w:r>
      <w:r w:rsidR="00143D9D" w:rsidRPr="002B630E">
        <w:rPr>
          <w:rFonts w:ascii="Times New Roman" w:hAnsi="Times New Roman" w:cs="Times New Roman"/>
          <w:sz w:val="24"/>
          <w:szCs w:val="24"/>
        </w:rPr>
        <w:t xml:space="preserve"> </w:t>
      </w:r>
    </w:p>
    <w:p w14:paraId="1908A9DB" w14:textId="5F8DD996" w:rsidR="000B752B" w:rsidRPr="002B630E" w:rsidRDefault="00050424"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r>
      <w:r w:rsidR="00A56F32">
        <w:rPr>
          <w:rFonts w:ascii="Times New Roman" w:hAnsi="Times New Roman" w:cs="Times New Roman"/>
          <w:sz w:val="24"/>
          <w:szCs w:val="24"/>
        </w:rPr>
        <w:t>R</w:t>
      </w:r>
      <w:r w:rsidR="00C51AA3" w:rsidRPr="002B630E">
        <w:rPr>
          <w:rFonts w:ascii="Times New Roman" w:hAnsi="Times New Roman" w:cs="Times New Roman"/>
          <w:sz w:val="24"/>
          <w:szCs w:val="24"/>
        </w:rPr>
        <w:t xml:space="preserve">eaders familiar with texts from other disciplines would have been entirely </w:t>
      </w:r>
      <w:r w:rsidR="00BF6091">
        <w:rPr>
          <w:rFonts w:ascii="Times New Roman" w:hAnsi="Times New Roman" w:cs="Times New Roman"/>
          <w:sz w:val="24"/>
          <w:szCs w:val="24"/>
        </w:rPr>
        <w:t>comfortable</w:t>
      </w:r>
      <w:r w:rsidR="00BF6091" w:rsidRPr="002B630E">
        <w:rPr>
          <w:rFonts w:ascii="Times New Roman" w:hAnsi="Times New Roman" w:cs="Times New Roman"/>
          <w:sz w:val="24"/>
          <w:szCs w:val="24"/>
        </w:rPr>
        <w:t xml:space="preserve"> </w:t>
      </w:r>
      <w:r w:rsidR="00A56F32">
        <w:rPr>
          <w:rFonts w:ascii="Times New Roman" w:hAnsi="Times New Roman" w:cs="Times New Roman"/>
          <w:sz w:val="24"/>
          <w:szCs w:val="24"/>
        </w:rPr>
        <w:t>with</w:t>
      </w:r>
      <w:r w:rsidR="00A56F32" w:rsidRPr="002B630E">
        <w:rPr>
          <w:rFonts w:ascii="Times New Roman" w:hAnsi="Times New Roman" w:cs="Times New Roman"/>
          <w:sz w:val="24"/>
          <w:szCs w:val="24"/>
        </w:rPr>
        <w:t xml:space="preserve"> </w:t>
      </w:r>
      <w:r w:rsidR="00C51AA3" w:rsidRPr="002B630E">
        <w:rPr>
          <w:rFonts w:ascii="Times New Roman" w:hAnsi="Times New Roman" w:cs="Times New Roman"/>
          <w:sz w:val="24"/>
          <w:szCs w:val="24"/>
        </w:rPr>
        <w:t xml:space="preserve">using rubrics as a way of navigating the text, given that such indications were commonplace in intellectual texts of the Renaissance period. As </w:t>
      </w:r>
      <w:r w:rsidR="00C83CD1" w:rsidRPr="002B630E">
        <w:rPr>
          <w:rFonts w:ascii="Times New Roman" w:hAnsi="Times New Roman" w:cs="Times New Roman"/>
          <w:sz w:val="24"/>
          <w:szCs w:val="24"/>
        </w:rPr>
        <w:t>Tinctoris’s</w:t>
      </w:r>
      <w:r w:rsidR="00C51AA3" w:rsidRPr="002B630E">
        <w:rPr>
          <w:rFonts w:ascii="Times New Roman" w:hAnsi="Times New Roman" w:cs="Times New Roman"/>
          <w:sz w:val="24"/>
          <w:szCs w:val="24"/>
        </w:rPr>
        <w:t xml:space="preserve"> </w:t>
      </w:r>
      <w:r w:rsidR="00C51AA3" w:rsidRPr="002B630E">
        <w:rPr>
          <w:rFonts w:ascii="Times New Roman" w:hAnsi="Times New Roman" w:cs="Times New Roman"/>
          <w:i/>
          <w:sz w:val="24"/>
          <w:szCs w:val="24"/>
        </w:rPr>
        <w:t xml:space="preserve">signa </w:t>
      </w:r>
      <w:r w:rsidR="00C51AA3" w:rsidRPr="002B630E">
        <w:rPr>
          <w:rFonts w:ascii="Times New Roman" w:hAnsi="Times New Roman" w:cs="Times New Roman"/>
          <w:sz w:val="24"/>
          <w:szCs w:val="24"/>
        </w:rPr>
        <w:t xml:space="preserve">do not always function in the way that they might if found in a practical musical source, is it possible that he intended these </w:t>
      </w:r>
      <w:r w:rsidR="00C51AA3" w:rsidRPr="002B630E">
        <w:rPr>
          <w:rFonts w:ascii="Times New Roman" w:hAnsi="Times New Roman" w:cs="Times New Roman"/>
          <w:i/>
          <w:sz w:val="24"/>
          <w:szCs w:val="24"/>
        </w:rPr>
        <w:t xml:space="preserve">signa </w:t>
      </w:r>
      <w:r w:rsidR="00C51AA3" w:rsidRPr="002B630E">
        <w:rPr>
          <w:rFonts w:ascii="Times New Roman" w:hAnsi="Times New Roman" w:cs="Times New Roman"/>
          <w:sz w:val="24"/>
          <w:szCs w:val="24"/>
        </w:rPr>
        <w:t>to function as a kind of rubric</w:t>
      </w:r>
      <w:r w:rsidRPr="002B630E">
        <w:rPr>
          <w:rFonts w:ascii="Times New Roman" w:hAnsi="Times New Roman" w:cs="Times New Roman"/>
          <w:sz w:val="24"/>
          <w:szCs w:val="24"/>
        </w:rPr>
        <w:t xml:space="preserve"> rather than as a musical symbol</w:t>
      </w:r>
      <w:r w:rsidR="00C51AA3" w:rsidRPr="002B630E">
        <w:rPr>
          <w:rFonts w:ascii="Times New Roman" w:hAnsi="Times New Roman" w:cs="Times New Roman"/>
          <w:sz w:val="24"/>
          <w:szCs w:val="24"/>
        </w:rPr>
        <w:t xml:space="preserve">? Such a question can be </w:t>
      </w:r>
      <w:r w:rsidR="005E0927" w:rsidRPr="002B630E">
        <w:rPr>
          <w:rFonts w:ascii="Times New Roman" w:hAnsi="Times New Roman" w:cs="Times New Roman"/>
          <w:sz w:val="24"/>
          <w:szCs w:val="24"/>
        </w:rPr>
        <w:t xml:space="preserve">addressed, though not answered wholly, </w:t>
      </w:r>
      <w:r w:rsidR="00C51AA3" w:rsidRPr="002B630E">
        <w:rPr>
          <w:rFonts w:ascii="Times New Roman" w:hAnsi="Times New Roman" w:cs="Times New Roman"/>
          <w:sz w:val="24"/>
          <w:szCs w:val="24"/>
        </w:rPr>
        <w:t>by considering the context surrounding the production</w:t>
      </w:r>
      <w:r w:rsidR="00505C5D" w:rsidRPr="002B630E">
        <w:rPr>
          <w:rFonts w:ascii="Times New Roman" w:hAnsi="Times New Roman" w:cs="Times New Roman"/>
          <w:sz w:val="24"/>
          <w:szCs w:val="24"/>
        </w:rPr>
        <w:t xml:space="preserve"> and likely readership</w:t>
      </w:r>
      <w:r w:rsidR="00C51AA3" w:rsidRPr="002B630E">
        <w:rPr>
          <w:rFonts w:ascii="Times New Roman" w:hAnsi="Times New Roman" w:cs="Times New Roman"/>
          <w:sz w:val="24"/>
          <w:szCs w:val="24"/>
        </w:rPr>
        <w:t xml:space="preserve"> of the two presentation sources of </w:t>
      </w:r>
      <w:r w:rsidR="00C83CD1" w:rsidRPr="002B630E">
        <w:rPr>
          <w:rFonts w:ascii="Times New Roman" w:hAnsi="Times New Roman" w:cs="Times New Roman"/>
          <w:sz w:val="24"/>
          <w:szCs w:val="24"/>
        </w:rPr>
        <w:t>Tinctoris’s</w:t>
      </w:r>
      <w:r w:rsidR="00C51AA3" w:rsidRPr="002B630E">
        <w:rPr>
          <w:rFonts w:ascii="Times New Roman" w:hAnsi="Times New Roman" w:cs="Times New Roman"/>
          <w:sz w:val="24"/>
          <w:szCs w:val="24"/>
        </w:rPr>
        <w:t xml:space="preserve"> treatise</w:t>
      </w:r>
      <w:r w:rsidR="00C20426" w:rsidRPr="002B630E">
        <w:rPr>
          <w:rFonts w:ascii="Times New Roman" w:hAnsi="Times New Roman" w:cs="Times New Roman"/>
          <w:sz w:val="24"/>
          <w:szCs w:val="24"/>
        </w:rPr>
        <w:t>.</w:t>
      </w:r>
      <w:r w:rsidR="00EE1D99" w:rsidRPr="002B630E">
        <w:rPr>
          <w:rFonts w:ascii="Times New Roman" w:hAnsi="Times New Roman" w:cs="Times New Roman"/>
          <w:sz w:val="24"/>
          <w:szCs w:val="24"/>
        </w:rPr>
        <w:t xml:space="preserve"> </w:t>
      </w:r>
    </w:p>
    <w:p w14:paraId="647ED80C" w14:textId="5557A49A" w:rsidR="0091182D" w:rsidRPr="002B630E" w:rsidRDefault="00C51AA3"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r>
      <w:r w:rsidR="00EE1D99" w:rsidRPr="002B630E">
        <w:rPr>
          <w:rFonts w:ascii="Times New Roman" w:hAnsi="Times New Roman" w:cs="Times New Roman"/>
          <w:sz w:val="24"/>
          <w:szCs w:val="24"/>
        </w:rPr>
        <w:t xml:space="preserve">Both </w:t>
      </w:r>
      <w:r w:rsidRPr="002B630E">
        <w:rPr>
          <w:rFonts w:ascii="Times New Roman" w:hAnsi="Times New Roman" w:cs="Times New Roman"/>
          <w:b/>
          <w:sz w:val="24"/>
          <w:szCs w:val="24"/>
        </w:rPr>
        <w:t xml:space="preserve">V </w:t>
      </w:r>
      <w:r w:rsidRPr="002B630E">
        <w:rPr>
          <w:rFonts w:ascii="Times New Roman" w:hAnsi="Times New Roman" w:cs="Times New Roman"/>
          <w:sz w:val="24"/>
          <w:szCs w:val="24"/>
        </w:rPr>
        <w:t xml:space="preserve">and </w:t>
      </w:r>
      <w:r w:rsidRPr="002B630E">
        <w:rPr>
          <w:rFonts w:ascii="Times New Roman" w:hAnsi="Times New Roman" w:cs="Times New Roman"/>
          <w:b/>
          <w:sz w:val="24"/>
          <w:szCs w:val="24"/>
        </w:rPr>
        <w:t>BU</w:t>
      </w:r>
      <w:r w:rsidRPr="002B630E">
        <w:rPr>
          <w:rFonts w:ascii="Times New Roman" w:hAnsi="Times New Roman" w:cs="Times New Roman"/>
          <w:sz w:val="24"/>
          <w:szCs w:val="24"/>
        </w:rPr>
        <w:t xml:space="preserve"> </w:t>
      </w:r>
      <w:r w:rsidR="0075224B" w:rsidRPr="002B630E">
        <w:rPr>
          <w:rFonts w:ascii="Times New Roman" w:hAnsi="Times New Roman" w:cs="Times New Roman"/>
          <w:sz w:val="24"/>
          <w:szCs w:val="24"/>
        </w:rPr>
        <w:t xml:space="preserve">were copied by the same scribe in the last quarter of the fifteenth century. Although the dating of these manuscripts is highly contentious, </w:t>
      </w:r>
      <w:r w:rsidR="0075224B" w:rsidRPr="002B630E">
        <w:rPr>
          <w:rFonts w:ascii="Times New Roman" w:hAnsi="Times New Roman" w:cs="Times New Roman"/>
          <w:b/>
          <w:sz w:val="24"/>
          <w:szCs w:val="24"/>
        </w:rPr>
        <w:t xml:space="preserve">V </w:t>
      </w:r>
      <w:r w:rsidR="0075224B" w:rsidRPr="002B630E">
        <w:rPr>
          <w:rFonts w:ascii="Times New Roman" w:hAnsi="Times New Roman" w:cs="Times New Roman"/>
          <w:sz w:val="24"/>
          <w:szCs w:val="24"/>
        </w:rPr>
        <w:t xml:space="preserve">is probably from sometime in the 1480s with </w:t>
      </w:r>
      <w:r w:rsidR="0075224B" w:rsidRPr="002B630E">
        <w:rPr>
          <w:rFonts w:ascii="Times New Roman" w:hAnsi="Times New Roman" w:cs="Times New Roman"/>
          <w:b/>
          <w:sz w:val="24"/>
          <w:szCs w:val="24"/>
        </w:rPr>
        <w:t xml:space="preserve">BU </w:t>
      </w:r>
      <w:r w:rsidR="0075224B" w:rsidRPr="002B630E">
        <w:rPr>
          <w:rFonts w:ascii="Times New Roman" w:hAnsi="Times New Roman" w:cs="Times New Roman"/>
          <w:sz w:val="24"/>
          <w:szCs w:val="24"/>
        </w:rPr>
        <w:t>being completed a few years later.</w:t>
      </w:r>
      <w:r w:rsidR="000C510C" w:rsidRPr="002B630E">
        <w:rPr>
          <w:rStyle w:val="FootnoteReference"/>
          <w:rFonts w:ascii="Times New Roman" w:hAnsi="Times New Roman" w:cs="Times New Roman"/>
          <w:sz w:val="24"/>
          <w:szCs w:val="24"/>
        </w:rPr>
        <w:footnoteReference w:id="46"/>
      </w:r>
      <w:r w:rsidR="000E622F" w:rsidRPr="002B630E">
        <w:rPr>
          <w:rFonts w:ascii="Times New Roman" w:hAnsi="Times New Roman" w:cs="Times New Roman"/>
          <w:sz w:val="24"/>
          <w:szCs w:val="24"/>
        </w:rPr>
        <w:t xml:space="preserve"> </w:t>
      </w:r>
      <w:r w:rsidR="0091182D" w:rsidRPr="002B630E">
        <w:rPr>
          <w:rFonts w:ascii="Times New Roman" w:hAnsi="Times New Roman" w:cs="Times New Roman"/>
          <w:sz w:val="24"/>
          <w:szCs w:val="24"/>
        </w:rPr>
        <w:t xml:space="preserve">These volumes were held in the Aragonese Royal Library in Naples for a time and were probably completed </w:t>
      </w:r>
      <w:r w:rsidR="00DF43EA" w:rsidRPr="002B630E">
        <w:rPr>
          <w:rFonts w:ascii="Times New Roman" w:hAnsi="Times New Roman" w:cs="Times New Roman"/>
          <w:sz w:val="24"/>
          <w:szCs w:val="24"/>
        </w:rPr>
        <w:t>through</w:t>
      </w:r>
      <w:r w:rsidR="0091182D" w:rsidRPr="002B630E">
        <w:rPr>
          <w:rFonts w:ascii="Times New Roman" w:hAnsi="Times New Roman" w:cs="Times New Roman"/>
          <w:sz w:val="24"/>
          <w:szCs w:val="24"/>
        </w:rPr>
        <w:t xml:space="preserve"> royal </w:t>
      </w:r>
      <w:r w:rsidR="0091182D" w:rsidRPr="002B630E">
        <w:rPr>
          <w:rFonts w:ascii="Times New Roman" w:hAnsi="Times New Roman" w:cs="Times New Roman"/>
          <w:sz w:val="24"/>
          <w:szCs w:val="24"/>
        </w:rPr>
        <w:lastRenderedPageBreak/>
        <w:t xml:space="preserve">patronage of some sort, </w:t>
      </w:r>
      <w:r w:rsidR="00C20426" w:rsidRPr="002B630E">
        <w:rPr>
          <w:rFonts w:ascii="Times New Roman" w:hAnsi="Times New Roman" w:cs="Times New Roman"/>
          <w:sz w:val="24"/>
          <w:szCs w:val="24"/>
        </w:rPr>
        <w:t>most likely</w:t>
      </w:r>
      <w:r w:rsidR="0091182D" w:rsidRPr="002B630E">
        <w:rPr>
          <w:rFonts w:ascii="Times New Roman" w:hAnsi="Times New Roman" w:cs="Times New Roman"/>
          <w:sz w:val="24"/>
          <w:szCs w:val="24"/>
        </w:rPr>
        <w:t xml:space="preserve"> from Ferrante himself or one of his children</w:t>
      </w:r>
      <w:r w:rsidR="00EE1D99" w:rsidRPr="002B630E">
        <w:rPr>
          <w:rFonts w:ascii="Times New Roman" w:hAnsi="Times New Roman" w:cs="Times New Roman"/>
          <w:sz w:val="24"/>
          <w:szCs w:val="24"/>
        </w:rPr>
        <w:t>, owing to the luxuriousness of the manuscript</w:t>
      </w:r>
      <w:r w:rsidR="005E0927" w:rsidRPr="002B630E">
        <w:rPr>
          <w:rFonts w:ascii="Times New Roman" w:hAnsi="Times New Roman" w:cs="Times New Roman"/>
          <w:sz w:val="24"/>
          <w:szCs w:val="24"/>
        </w:rPr>
        <w:t xml:space="preserve"> and its similarities with other manuscripts produced for the royal library at this time</w:t>
      </w:r>
      <w:r w:rsidR="0091182D" w:rsidRPr="002B630E">
        <w:rPr>
          <w:rFonts w:ascii="Times New Roman" w:hAnsi="Times New Roman" w:cs="Times New Roman"/>
          <w:sz w:val="24"/>
          <w:szCs w:val="24"/>
        </w:rPr>
        <w:t xml:space="preserve">. Both of these volumes were copied by the </w:t>
      </w:r>
      <w:r w:rsidR="000D3DCC" w:rsidRPr="002B630E">
        <w:rPr>
          <w:rFonts w:ascii="Times New Roman" w:hAnsi="Times New Roman" w:cs="Times New Roman"/>
          <w:sz w:val="24"/>
          <w:szCs w:val="24"/>
        </w:rPr>
        <w:t>highly accomplished</w:t>
      </w:r>
      <w:r w:rsidR="0091182D" w:rsidRPr="002B630E">
        <w:rPr>
          <w:rFonts w:ascii="Times New Roman" w:hAnsi="Times New Roman" w:cs="Times New Roman"/>
          <w:sz w:val="24"/>
          <w:szCs w:val="24"/>
        </w:rPr>
        <w:t xml:space="preserve"> Neapolitan court scribe, Wenceslaus Crispus</w:t>
      </w:r>
      <w:r w:rsidR="005C510C" w:rsidRPr="002B630E">
        <w:rPr>
          <w:rFonts w:ascii="Times New Roman" w:hAnsi="Times New Roman" w:cs="Times New Roman"/>
          <w:sz w:val="24"/>
          <w:szCs w:val="24"/>
        </w:rPr>
        <w:t>,</w:t>
      </w:r>
      <w:r w:rsidR="00EE1D99" w:rsidRPr="002B630E">
        <w:rPr>
          <w:rFonts w:ascii="Times New Roman" w:hAnsi="Times New Roman" w:cs="Times New Roman"/>
          <w:sz w:val="24"/>
          <w:szCs w:val="24"/>
        </w:rPr>
        <w:t xml:space="preserve"> who</w:t>
      </w:r>
      <w:r w:rsidR="0091182D" w:rsidRPr="002B630E">
        <w:rPr>
          <w:rFonts w:ascii="Times New Roman" w:hAnsi="Times New Roman" w:cs="Times New Roman"/>
          <w:sz w:val="24"/>
          <w:szCs w:val="24"/>
        </w:rPr>
        <w:t xml:space="preserve"> was also responsible for a number of Thomas Aquinas manuscripts (also held in Naples) from the 1480s</w:t>
      </w:r>
      <w:r w:rsidR="009D43B4" w:rsidRPr="002B630E">
        <w:rPr>
          <w:rFonts w:ascii="Times New Roman" w:hAnsi="Times New Roman" w:cs="Times New Roman"/>
          <w:sz w:val="24"/>
          <w:szCs w:val="24"/>
        </w:rPr>
        <w:t xml:space="preserve"> and was </w:t>
      </w:r>
      <w:r w:rsidR="00C20426" w:rsidRPr="002B630E">
        <w:rPr>
          <w:rFonts w:ascii="Times New Roman" w:hAnsi="Times New Roman" w:cs="Times New Roman"/>
          <w:sz w:val="24"/>
          <w:szCs w:val="24"/>
        </w:rPr>
        <w:t xml:space="preserve">probably </w:t>
      </w:r>
      <w:r w:rsidR="009D43B4" w:rsidRPr="002B630E">
        <w:rPr>
          <w:rFonts w:ascii="Times New Roman" w:hAnsi="Times New Roman" w:cs="Times New Roman"/>
          <w:sz w:val="24"/>
          <w:szCs w:val="24"/>
        </w:rPr>
        <w:t>involved in the production process of the Mellon Chansonnier</w:t>
      </w:r>
      <w:r w:rsidR="0091182D" w:rsidRPr="002B630E">
        <w:rPr>
          <w:rFonts w:ascii="Times New Roman" w:hAnsi="Times New Roman" w:cs="Times New Roman"/>
          <w:sz w:val="24"/>
          <w:szCs w:val="24"/>
        </w:rPr>
        <w:t>.</w:t>
      </w:r>
      <w:r w:rsidR="009D43B4" w:rsidRPr="002B630E">
        <w:rPr>
          <w:rStyle w:val="FootnoteReference"/>
          <w:rFonts w:ascii="Times New Roman" w:hAnsi="Times New Roman" w:cs="Times New Roman"/>
          <w:sz w:val="24"/>
          <w:szCs w:val="24"/>
        </w:rPr>
        <w:footnoteReference w:id="47"/>
      </w:r>
    </w:p>
    <w:p w14:paraId="7133204B" w14:textId="4DE471CD" w:rsidR="0091182D" w:rsidRPr="002B630E" w:rsidRDefault="0091182D"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t>The respective layouts</w:t>
      </w:r>
      <w:r w:rsidR="00215475" w:rsidRPr="002B630E">
        <w:rPr>
          <w:rFonts w:ascii="Times New Roman" w:hAnsi="Times New Roman" w:cs="Times New Roman"/>
          <w:sz w:val="24"/>
          <w:szCs w:val="24"/>
        </w:rPr>
        <w:t>, text, and musical examples</w:t>
      </w:r>
      <w:r w:rsidRPr="002B630E">
        <w:rPr>
          <w:rFonts w:ascii="Times New Roman" w:hAnsi="Times New Roman" w:cs="Times New Roman"/>
          <w:sz w:val="24"/>
          <w:szCs w:val="24"/>
        </w:rPr>
        <w:t xml:space="preserve"> of </w:t>
      </w:r>
      <w:r w:rsidRPr="002B630E">
        <w:rPr>
          <w:rFonts w:ascii="Times New Roman" w:hAnsi="Times New Roman" w:cs="Times New Roman"/>
          <w:b/>
          <w:sz w:val="24"/>
          <w:szCs w:val="24"/>
        </w:rPr>
        <w:t xml:space="preserve">V </w:t>
      </w:r>
      <w:r w:rsidRPr="002B630E">
        <w:rPr>
          <w:rFonts w:ascii="Times New Roman" w:hAnsi="Times New Roman" w:cs="Times New Roman"/>
          <w:sz w:val="24"/>
          <w:szCs w:val="24"/>
        </w:rPr>
        <w:t xml:space="preserve">and </w:t>
      </w:r>
      <w:r w:rsidRPr="002B630E">
        <w:rPr>
          <w:rFonts w:ascii="Times New Roman" w:hAnsi="Times New Roman" w:cs="Times New Roman"/>
          <w:b/>
          <w:sz w:val="24"/>
          <w:szCs w:val="24"/>
        </w:rPr>
        <w:t>BU</w:t>
      </w:r>
      <w:r w:rsidR="00215475" w:rsidRPr="002B630E">
        <w:rPr>
          <w:rFonts w:ascii="Times New Roman" w:hAnsi="Times New Roman" w:cs="Times New Roman"/>
          <w:sz w:val="24"/>
          <w:szCs w:val="24"/>
        </w:rPr>
        <w:t xml:space="preserve"> all</w:t>
      </w:r>
      <w:r w:rsidRPr="002B630E">
        <w:rPr>
          <w:rFonts w:ascii="Times New Roman" w:hAnsi="Times New Roman" w:cs="Times New Roman"/>
          <w:b/>
          <w:sz w:val="24"/>
          <w:szCs w:val="24"/>
        </w:rPr>
        <w:t xml:space="preserve"> </w:t>
      </w:r>
      <w:r w:rsidRPr="002B630E">
        <w:rPr>
          <w:rFonts w:ascii="Times New Roman" w:hAnsi="Times New Roman" w:cs="Times New Roman"/>
          <w:sz w:val="24"/>
          <w:szCs w:val="24"/>
        </w:rPr>
        <w:t>show a degree of similarity</w:t>
      </w:r>
      <w:r w:rsidR="00215475" w:rsidRPr="002B630E">
        <w:rPr>
          <w:rFonts w:ascii="Times New Roman" w:hAnsi="Times New Roman" w:cs="Times New Roman"/>
          <w:sz w:val="24"/>
          <w:szCs w:val="24"/>
        </w:rPr>
        <w:t xml:space="preserve">, suggesting that they might have been copied from the same exemplar, or possibly, under the supervision of the same editor, probably Tinctoris himself. </w:t>
      </w:r>
      <w:r w:rsidR="005E0927" w:rsidRPr="002B630E">
        <w:rPr>
          <w:rFonts w:ascii="Times New Roman" w:hAnsi="Times New Roman" w:cs="Times New Roman"/>
          <w:sz w:val="24"/>
          <w:szCs w:val="24"/>
        </w:rPr>
        <w:t xml:space="preserve">They are at least cousins, if not direct siblings. </w:t>
      </w:r>
      <w:r w:rsidR="003A0B28" w:rsidRPr="002B630E">
        <w:rPr>
          <w:rFonts w:ascii="Times New Roman" w:hAnsi="Times New Roman" w:cs="Times New Roman"/>
          <w:sz w:val="24"/>
          <w:szCs w:val="24"/>
        </w:rPr>
        <w:t>Indeed, t</w:t>
      </w:r>
      <w:r w:rsidR="00C20426" w:rsidRPr="002B630E">
        <w:rPr>
          <w:rFonts w:ascii="Times New Roman" w:hAnsi="Times New Roman" w:cs="Times New Roman"/>
          <w:sz w:val="24"/>
          <w:szCs w:val="24"/>
        </w:rPr>
        <w:t xml:space="preserve">here is </w:t>
      </w:r>
      <w:r w:rsidR="003A0B28" w:rsidRPr="002B630E">
        <w:rPr>
          <w:rFonts w:ascii="Times New Roman" w:hAnsi="Times New Roman" w:cs="Times New Roman"/>
          <w:sz w:val="24"/>
          <w:szCs w:val="24"/>
        </w:rPr>
        <w:t xml:space="preserve">some </w:t>
      </w:r>
      <w:r w:rsidR="00C20426" w:rsidRPr="002B630E">
        <w:rPr>
          <w:rFonts w:ascii="Times New Roman" w:hAnsi="Times New Roman" w:cs="Times New Roman"/>
          <w:sz w:val="24"/>
          <w:szCs w:val="24"/>
        </w:rPr>
        <w:t xml:space="preserve">evidence that </w:t>
      </w:r>
      <w:r w:rsidR="003A0B28" w:rsidRPr="002B630E">
        <w:rPr>
          <w:rFonts w:ascii="Times New Roman" w:hAnsi="Times New Roman" w:cs="Times New Roman"/>
          <w:sz w:val="24"/>
          <w:szCs w:val="24"/>
        </w:rPr>
        <w:t xml:space="preserve">an </w:t>
      </w:r>
      <w:r w:rsidR="00C20426" w:rsidRPr="002B630E">
        <w:rPr>
          <w:rFonts w:ascii="Times New Roman" w:hAnsi="Times New Roman" w:cs="Times New Roman"/>
          <w:sz w:val="24"/>
          <w:szCs w:val="24"/>
        </w:rPr>
        <w:t xml:space="preserve">editor </w:t>
      </w:r>
      <w:r w:rsidR="003A0B28" w:rsidRPr="002B630E">
        <w:rPr>
          <w:rFonts w:ascii="Times New Roman" w:hAnsi="Times New Roman" w:cs="Times New Roman"/>
          <w:sz w:val="24"/>
          <w:szCs w:val="24"/>
        </w:rPr>
        <w:t>went through both</w:t>
      </w:r>
      <w:r w:rsidR="00C20426" w:rsidRPr="002B630E">
        <w:rPr>
          <w:rFonts w:ascii="Times New Roman" w:hAnsi="Times New Roman" w:cs="Times New Roman"/>
          <w:sz w:val="24"/>
          <w:szCs w:val="24"/>
        </w:rPr>
        <w:t xml:space="preserve"> manuscripts after the text had been copied to make very small changes to the text, often </w:t>
      </w:r>
      <w:r w:rsidR="005C510C" w:rsidRPr="002B630E">
        <w:rPr>
          <w:rFonts w:ascii="Times New Roman" w:hAnsi="Times New Roman" w:cs="Times New Roman"/>
          <w:sz w:val="24"/>
          <w:szCs w:val="24"/>
        </w:rPr>
        <w:t>going as far as dividing</w:t>
      </w:r>
      <w:r w:rsidR="00C20426" w:rsidRPr="002B630E">
        <w:rPr>
          <w:rFonts w:ascii="Times New Roman" w:hAnsi="Times New Roman" w:cs="Times New Roman"/>
          <w:sz w:val="24"/>
          <w:szCs w:val="24"/>
        </w:rPr>
        <w:t xml:space="preserve"> words that had been inadvertently joined in the copying process with a thin vertical stroke.</w:t>
      </w:r>
      <w:r w:rsidR="00C20426" w:rsidRPr="002B630E">
        <w:rPr>
          <w:rStyle w:val="FootnoteReference"/>
          <w:rFonts w:ascii="Times New Roman" w:hAnsi="Times New Roman" w:cs="Times New Roman"/>
          <w:sz w:val="24"/>
          <w:szCs w:val="24"/>
        </w:rPr>
        <w:footnoteReference w:id="48"/>
      </w:r>
      <w:r w:rsidR="00C20426" w:rsidRPr="002B630E">
        <w:rPr>
          <w:rFonts w:ascii="Times New Roman" w:hAnsi="Times New Roman" w:cs="Times New Roman"/>
          <w:sz w:val="24"/>
          <w:szCs w:val="24"/>
        </w:rPr>
        <w:t xml:space="preserve"> </w:t>
      </w:r>
      <w:r w:rsidR="003A0B28" w:rsidRPr="002B630E">
        <w:rPr>
          <w:rFonts w:ascii="Times New Roman" w:hAnsi="Times New Roman" w:cs="Times New Roman"/>
          <w:sz w:val="24"/>
          <w:szCs w:val="24"/>
        </w:rPr>
        <w:t>Interestingly, there do not seem to be any</w:t>
      </w:r>
      <w:r w:rsidR="003056FD">
        <w:rPr>
          <w:rFonts w:ascii="Times New Roman" w:hAnsi="Times New Roman" w:cs="Times New Roman"/>
          <w:sz w:val="24"/>
          <w:szCs w:val="24"/>
        </w:rPr>
        <w:t xml:space="preserve"> significant</w:t>
      </w:r>
      <w:r w:rsidR="003A0B28" w:rsidRPr="002B630E">
        <w:rPr>
          <w:rFonts w:ascii="Times New Roman" w:hAnsi="Times New Roman" w:cs="Times New Roman"/>
          <w:sz w:val="24"/>
          <w:szCs w:val="24"/>
        </w:rPr>
        <w:t xml:space="preserve"> emendations to the </w:t>
      </w:r>
      <w:r w:rsidR="003056FD">
        <w:rPr>
          <w:rFonts w:ascii="Times New Roman" w:hAnsi="Times New Roman" w:cs="Times New Roman"/>
          <w:sz w:val="24"/>
          <w:szCs w:val="24"/>
        </w:rPr>
        <w:t xml:space="preserve">content of the </w:t>
      </w:r>
      <w:r w:rsidR="003A0B28" w:rsidRPr="002B630E">
        <w:rPr>
          <w:rFonts w:ascii="Times New Roman" w:hAnsi="Times New Roman" w:cs="Times New Roman"/>
          <w:sz w:val="24"/>
          <w:szCs w:val="24"/>
        </w:rPr>
        <w:t>musical examples</w:t>
      </w:r>
      <w:r w:rsidR="003056FD">
        <w:rPr>
          <w:rFonts w:ascii="Times New Roman" w:hAnsi="Times New Roman" w:cs="Times New Roman"/>
          <w:sz w:val="24"/>
          <w:szCs w:val="24"/>
        </w:rPr>
        <w:t>. This makes it</w:t>
      </w:r>
      <w:r w:rsidR="003A0B28" w:rsidRPr="002B630E">
        <w:rPr>
          <w:rFonts w:ascii="Times New Roman" w:hAnsi="Times New Roman" w:cs="Times New Roman"/>
          <w:sz w:val="24"/>
          <w:szCs w:val="24"/>
        </w:rPr>
        <w:t xml:space="preserve"> difficult to tell </w:t>
      </w:r>
      <w:r w:rsidR="00F10B08">
        <w:rPr>
          <w:rFonts w:ascii="Times New Roman" w:hAnsi="Times New Roman" w:cs="Times New Roman"/>
          <w:sz w:val="24"/>
          <w:szCs w:val="24"/>
        </w:rPr>
        <w:t>whether the editorial work was completed before musical examples were entered into the manuscript</w:t>
      </w:r>
      <w:r w:rsidR="00C00264">
        <w:rPr>
          <w:rFonts w:ascii="Times New Roman" w:hAnsi="Times New Roman" w:cs="Times New Roman"/>
          <w:sz w:val="24"/>
          <w:szCs w:val="24"/>
        </w:rPr>
        <w:t>, or that the editor was less concerned with this content</w:t>
      </w:r>
      <w:r w:rsidR="00F10B08">
        <w:rPr>
          <w:rFonts w:ascii="Times New Roman" w:hAnsi="Times New Roman" w:cs="Times New Roman"/>
          <w:sz w:val="24"/>
          <w:szCs w:val="24"/>
        </w:rPr>
        <w:t xml:space="preserve">. </w:t>
      </w:r>
      <w:r w:rsidR="00215475" w:rsidRPr="002B630E">
        <w:rPr>
          <w:rFonts w:ascii="Times New Roman" w:hAnsi="Times New Roman" w:cs="Times New Roman"/>
          <w:sz w:val="24"/>
          <w:szCs w:val="24"/>
        </w:rPr>
        <w:t xml:space="preserve">These volumes were clearly conceived as </w:t>
      </w:r>
      <w:r w:rsidR="005149C3" w:rsidRPr="002B630E">
        <w:rPr>
          <w:rFonts w:ascii="Times New Roman" w:hAnsi="Times New Roman" w:cs="Times New Roman"/>
          <w:sz w:val="24"/>
          <w:szCs w:val="24"/>
        </w:rPr>
        <w:t>anthology collections</w:t>
      </w:r>
      <w:r w:rsidR="00215475" w:rsidRPr="002B630E">
        <w:rPr>
          <w:rFonts w:ascii="Times New Roman" w:hAnsi="Times New Roman" w:cs="Times New Roman"/>
          <w:sz w:val="24"/>
          <w:szCs w:val="24"/>
        </w:rPr>
        <w:t xml:space="preserve"> to </w:t>
      </w:r>
      <w:r w:rsidR="000C618C" w:rsidRPr="002B630E">
        <w:rPr>
          <w:rFonts w:ascii="Times New Roman" w:hAnsi="Times New Roman" w:cs="Times New Roman"/>
          <w:sz w:val="24"/>
          <w:szCs w:val="24"/>
        </w:rPr>
        <w:t>sit</w:t>
      </w:r>
      <w:r w:rsidR="00215475" w:rsidRPr="002B630E">
        <w:rPr>
          <w:rFonts w:ascii="Times New Roman" w:hAnsi="Times New Roman" w:cs="Times New Roman"/>
          <w:sz w:val="24"/>
          <w:szCs w:val="24"/>
        </w:rPr>
        <w:t xml:space="preserve"> alongside the works of other esteemed humanists in the royal library</w:t>
      </w:r>
      <w:r w:rsidR="000C618C" w:rsidRPr="002B630E">
        <w:rPr>
          <w:rFonts w:ascii="Times New Roman" w:hAnsi="Times New Roman" w:cs="Times New Roman"/>
          <w:sz w:val="24"/>
          <w:szCs w:val="24"/>
        </w:rPr>
        <w:t xml:space="preserve"> on an equal status</w:t>
      </w:r>
      <w:r w:rsidR="00215475" w:rsidRPr="002B630E">
        <w:rPr>
          <w:rFonts w:ascii="Times New Roman" w:hAnsi="Times New Roman" w:cs="Times New Roman"/>
          <w:sz w:val="24"/>
          <w:szCs w:val="24"/>
        </w:rPr>
        <w:t xml:space="preserve">, and </w:t>
      </w:r>
      <w:r w:rsidR="003056FD">
        <w:rPr>
          <w:rFonts w:ascii="Times New Roman" w:hAnsi="Times New Roman" w:cs="Times New Roman"/>
          <w:sz w:val="24"/>
          <w:szCs w:val="24"/>
        </w:rPr>
        <w:lastRenderedPageBreak/>
        <w:t xml:space="preserve">perhaps </w:t>
      </w:r>
      <w:r w:rsidR="00215475" w:rsidRPr="002B630E">
        <w:rPr>
          <w:rFonts w:ascii="Times New Roman" w:hAnsi="Times New Roman" w:cs="Times New Roman"/>
          <w:sz w:val="24"/>
          <w:szCs w:val="24"/>
        </w:rPr>
        <w:t>by implication, to be read by the same readers</w:t>
      </w:r>
      <w:r w:rsidR="000C618C" w:rsidRPr="002B630E">
        <w:rPr>
          <w:rFonts w:ascii="Times New Roman" w:hAnsi="Times New Roman" w:cs="Times New Roman"/>
          <w:sz w:val="24"/>
          <w:szCs w:val="24"/>
        </w:rPr>
        <w:t xml:space="preserve"> </w:t>
      </w:r>
      <w:r w:rsidR="00CA087B" w:rsidRPr="002B630E">
        <w:rPr>
          <w:rFonts w:ascii="Times New Roman" w:hAnsi="Times New Roman" w:cs="Times New Roman"/>
          <w:sz w:val="24"/>
          <w:szCs w:val="24"/>
        </w:rPr>
        <w:t xml:space="preserve">who </w:t>
      </w:r>
      <w:r w:rsidR="000C618C" w:rsidRPr="002B630E">
        <w:rPr>
          <w:rFonts w:ascii="Times New Roman" w:hAnsi="Times New Roman" w:cs="Times New Roman"/>
          <w:sz w:val="24"/>
          <w:szCs w:val="24"/>
        </w:rPr>
        <w:t>would engage with the other humanistic texts held in the library</w:t>
      </w:r>
      <w:r w:rsidR="00215475" w:rsidRPr="002B630E">
        <w:rPr>
          <w:rFonts w:ascii="Times New Roman" w:hAnsi="Times New Roman" w:cs="Times New Roman"/>
          <w:sz w:val="24"/>
          <w:szCs w:val="24"/>
        </w:rPr>
        <w:t xml:space="preserve">. </w:t>
      </w:r>
    </w:p>
    <w:p w14:paraId="516AD894" w14:textId="3E4CAA9A" w:rsidR="00215475" w:rsidRPr="002B630E" w:rsidRDefault="00215475"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t xml:space="preserve">Readers familiar with the works </w:t>
      </w:r>
      <w:r w:rsidR="005149C3" w:rsidRPr="002B630E">
        <w:rPr>
          <w:rFonts w:ascii="Times New Roman" w:hAnsi="Times New Roman" w:cs="Times New Roman"/>
          <w:sz w:val="24"/>
          <w:szCs w:val="24"/>
        </w:rPr>
        <w:t xml:space="preserve">of Tinctoris’s </w:t>
      </w:r>
      <w:r w:rsidR="009D58D2" w:rsidRPr="002B630E">
        <w:rPr>
          <w:rFonts w:ascii="Times New Roman" w:hAnsi="Times New Roman" w:cs="Times New Roman"/>
          <w:sz w:val="24"/>
          <w:szCs w:val="24"/>
        </w:rPr>
        <w:t xml:space="preserve">Neapolitan </w:t>
      </w:r>
      <w:r w:rsidR="005149C3" w:rsidRPr="002B630E">
        <w:rPr>
          <w:rFonts w:ascii="Times New Roman" w:hAnsi="Times New Roman" w:cs="Times New Roman"/>
          <w:sz w:val="24"/>
          <w:szCs w:val="24"/>
        </w:rPr>
        <w:t>humanist contemporaries</w:t>
      </w:r>
      <w:r w:rsidRPr="002B630E">
        <w:rPr>
          <w:rFonts w:ascii="Times New Roman" w:hAnsi="Times New Roman" w:cs="Times New Roman"/>
          <w:sz w:val="24"/>
          <w:szCs w:val="24"/>
        </w:rPr>
        <w:t>, such as Giovanni Pontano</w:t>
      </w:r>
      <w:r w:rsidR="009D58D2" w:rsidRPr="002B630E">
        <w:rPr>
          <w:rFonts w:ascii="Times New Roman" w:hAnsi="Times New Roman" w:cs="Times New Roman"/>
          <w:sz w:val="24"/>
          <w:szCs w:val="24"/>
        </w:rPr>
        <w:t xml:space="preserve"> (1426–1503)</w:t>
      </w:r>
      <w:r w:rsidRPr="002B630E">
        <w:rPr>
          <w:rFonts w:ascii="Times New Roman" w:hAnsi="Times New Roman" w:cs="Times New Roman"/>
          <w:sz w:val="24"/>
          <w:szCs w:val="24"/>
        </w:rPr>
        <w:t xml:space="preserve">, </w:t>
      </w:r>
      <w:r w:rsidR="003A0B28" w:rsidRPr="002B630E">
        <w:rPr>
          <w:rFonts w:ascii="Times New Roman" w:hAnsi="Times New Roman" w:cs="Times New Roman"/>
          <w:sz w:val="24"/>
          <w:szCs w:val="24"/>
        </w:rPr>
        <w:t xml:space="preserve">and those of an earlier generation, including Lorenzo Valla, </w:t>
      </w:r>
      <w:r w:rsidRPr="002B630E">
        <w:rPr>
          <w:rFonts w:ascii="Times New Roman" w:hAnsi="Times New Roman" w:cs="Times New Roman"/>
          <w:sz w:val="24"/>
          <w:szCs w:val="24"/>
        </w:rPr>
        <w:t xml:space="preserve">would have been entirely comfortable with using rubrics as a way of navigating the text, and would </w:t>
      </w:r>
      <w:r w:rsidR="003A0B28" w:rsidRPr="002B630E">
        <w:rPr>
          <w:rFonts w:ascii="Times New Roman" w:hAnsi="Times New Roman" w:cs="Times New Roman"/>
          <w:sz w:val="24"/>
          <w:szCs w:val="24"/>
        </w:rPr>
        <w:t>have good levels of Latin proficiency</w:t>
      </w:r>
      <w:r w:rsidR="00FC462D" w:rsidRPr="002B630E">
        <w:rPr>
          <w:rFonts w:ascii="Times New Roman" w:hAnsi="Times New Roman" w:cs="Times New Roman"/>
          <w:sz w:val="24"/>
          <w:szCs w:val="24"/>
        </w:rPr>
        <w:t xml:space="preserve">. Despite </w:t>
      </w:r>
      <w:r w:rsidR="00C83CD1" w:rsidRPr="002B630E">
        <w:rPr>
          <w:rFonts w:ascii="Times New Roman" w:hAnsi="Times New Roman" w:cs="Times New Roman"/>
          <w:sz w:val="24"/>
          <w:szCs w:val="24"/>
        </w:rPr>
        <w:t>Tinctoris’s</w:t>
      </w:r>
      <w:r w:rsidR="00FC462D" w:rsidRPr="002B630E">
        <w:rPr>
          <w:rFonts w:ascii="Times New Roman" w:hAnsi="Times New Roman" w:cs="Times New Roman"/>
          <w:sz w:val="24"/>
          <w:szCs w:val="24"/>
        </w:rPr>
        <w:t xml:space="preserve"> meticulous descriptions of musical notation in his more ‘elementary’ treatises</w:t>
      </w:r>
      <w:r w:rsidR="00902030" w:rsidRPr="002B630E">
        <w:rPr>
          <w:rFonts w:ascii="Times New Roman" w:hAnsi="Times New Roman" w:cs="Times New Roman"/>
          <w:sz w:val="24"/>
          <w:szCs w:val="24"/>
        </w:rPr>
        <w:t xml:space="preserve"> and Book I of the counterpoint treatise, </w:t>
      </w:r>
      <w:r w:rsidR="005A37E5">
        <w:rPr>
          <w:rFonts w:ascii="Times New Roman" w:hAnsi="Times New Roman" w:cs="Times New Roman"/>
          <w:sz w:val="24"/>
          <w:szCs w:val="24"/>
        </w:rPr>
        <w:t>additional visual aids may have been required. I</w:t>
      </w:r>
      <w:r w:rsidR="00FC462D" w:rsidRPr="002B630E">
        <w:rPr>
          <w:rFonts w:ascii="Times New Roman" w:hAnsi="Times New Roman" w:cs="Times New Roman"/>
          <w:sz w:val="24"/>
          <w:szCs w:val="24"/>
        </w:rPr>
        <w:t xml:space="preserve">t seems unlikely that </w:t>
      </w:r>
      <w:r w:rsidR="005A37E5">
        <w:rPr>
          <w:rFonts w:ascii="Times New Roman" w:hAnsi="Times New Roman" w:cs="Times New Roman"/>
          <w:sz w:val="24"/>
          <w:szCs w:val="24"/>
        </w:rPr>
        <w:t>a novice</w:t>
      </w:r>
      <w:r w:rsidR="00FC462D" w:rsidRPr="002B630E">
        <w:rPr>
          <w:rFonts w:ascii="Times New Roman" w:hAnsi="Times New Roman" w:cs="Times New Roman"/>
          <w:sz w:val="24"/>
          <w:szCs w:val="24"/>
        </w:rPr>
        <w:t xml:space="preserve"> </w:t>
      </w:r>
      <w:r w:rsidR="005A37E5">
        <w:rPr>
          <w:rFonts w:ascii="Times New Roman" w:hAnsi="Times New Roman" w:cs="Times New Roman"/>
          <w:sz w:val="24"/>
          <w:szCs w:val="24"/>
        </w:rPr>
        <w:t xml:space="preserve">(or perhaps even more advanced students) </w:t>
      </w:r>
      <w:r w:rsidR="00FC462D" w:rsidRPr="002B630E">
        <w:rPr>
          <w:rFonts w:ascii="Times New Roman" w:hAnsi="Times New Roman" w:cs="Times New Roman"/>
          <w:sz w:val="24"/>
          <w:szCs w:val="24"/>
        </w:rPr>
        <w:t>would have had an equivalent understanding of the complexities of mensural notation</w:t>
      </w:r>
      <w:r w:rsidR="005A37E5">
        <w:rPr>
          <w:rFonts w:ascii="Times New Roman" w:hAnsi="Times New Roman" w:cs="Times New Roman"/>
          <w:sz w:val="24"/>
          <w:szCs w:val="24"/>
        </w:rPr>
        <w:t xml:space="preserve"> without any support. </w:t>
      </w:r>
      <w:r w:rsidR="003A0B28" w:rsidRPr="002B630E">
        <w:rPr>
          <w:rFonts w:ascii="Times New Roman" w:hAnsi="Times New Roman" w:cs="Times New Roman"/>
          <w:sz w:val="24"/>
          <w:szCs w:val="24"/>
        </w:rPr>
        <w:t>Perhaps t</w:t>
      </w:r>
      <w:r w:rsidR="00FC462D" w:rsidRPr="002B630E">
        <w:rPr>
          <w:rFonts w:ascii="Times New Roman" w:hAnsi="Times New Roman" w:cs="Times New Roman"/>
          <w:sz w:val="24"/>
          <w:szCs w:val="24"/>
        </w:rPr>
        <w:t xml:space="preserve">his help came in the form of symbols resembling </w:t>
      </w:r>
      <w:r w:rsidR="00FC462D" w:rsidRPr="002B630E">
        <w:rPr>
          <w:rFonts w:ascii="Times New Roman" w:hAnsi="Times New Roman" w:cs="Times New Roman"/>
          <w:i/>
          <w:sz w:val="24"/>
          <w:szCs w:val="24"/>
        </w:rPr>
        <w:t xml:space="preserve">signa congruentiae </w:t>
      </w:r>
      <w:r w:rsidR="00FC462D" w:rsidRPr="002B630E">
        <w:rPr>
          <w:rFonts w:ascii="Times New Roman" w:hAnsi="Times New Roman" w:cs="Times New Roman"/>
          <w:sz w:val="24"/>
          <w:szCs w:val="24"/>
        </w:rPr>
        <w:t>acti</w:t>
      </w:r>
      <w:r w:rsidR="005A37E5">
        <w:rPr>
          <w:rFonts w:ascii="Times New Roman" w:hAnsi="Times New Roman" w:cs="Times New Roman"/>
          <w:sz w:val="24"/>
          <w:szCs w:val="24"/>
        </w:rPr>
        <w:t>ng as indicators of rubrication?</w:t>
      </w:r>
    </w:p>
    <w:p w14:paraId="0B037F02" w14:textId="4FEEA156" w:rsidR="00FC462D" w:rsidRPr="002B630E" w:rsidRDefault="00FC462D"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r>
      <w:r w:rsidR="00803A04" w:rsidRPr="002B630E">
        <w:rPr>
          <w:rFonts w:ascii="Times New Roman" w:hAnsi="Times New Roman" w:cs="Times New Roman"/>
          <w:sz w:val="24"/>
          <w:szCs w:val="24"/>
        </w:rPr>
        <w:t xml:space="preserve">Although </w:t>
      </w:r>
      <w:r w:rsidR="001A165A" w:rsidRPr="002B630E">
        <w:rPr>
          <w:rFonts w:ascii="Times New Roman" w:hAnsi="Times New Roman" w:cs="Times New Roman"/>
          <w:sz w:val="24"/>
          <w:szCs w:val="24"/>
        </w:rPr>
        <w:t xml:space="preserve">the </w:t>
      </w:r>
      <w:r w:rsidR="003056FD">
        <w:rPr>
          <w:rFonts w:ascii="Times New Roman" w:hAnsi="Times New Roman" w:cs="Times New Roman"/>
          <w:sz w:val="24"/>
          <w:szCs w:val="24"/>
        </w:rPr>
        <w:t>contexts</w:t>
      </w:r>
      <w:r w:rsidR="003056FD" w:rsidRPr="002B630E">
        <w:rPr>
          <w:rFonts w:ascii="Times New Roman" w:hAnsi="Times New Roman" w:cs="Times New Roman"/>
          <w:sz w:val="24"/>
          <w:szCs w:val="24"/>
        </w:rPr>
        <w:t xml:space="preserve"> </w:t>
      </w:r>
      <w:r w:rsidR="001A165A" w:rsidRPr="002B630E">
        <w:rPr>
          <w:rFonts w:ascii="Times New Roman" w:hAnsi="Times New Roman" w:cs="Times New Roman"/>
          <w:sz w:val="24"/>
          <w:szCs w:val="24"/>
        </w:rPr>
        <w:t xml:space="preserve">in which </w:t>
      </w:r>
      <w:r w:rsidR="00803A04" w:rsidRPr="002B630E">
        <w:rPr>
          <w:rFonts w:ascii="Times New Roman" w:hAnsi="Times New Roman" w:cs="Times New Roman"/>
          <w:sz w:val="24"/>
          <w:szCs w:val="24"/>
        </w:rPr>
        <w:t xml:space="preserve">symbols resembling </w:t>
      </w:r>
      <w:r w:rsidR="00803A04" w:rsidRPr="002B630E">
        <w:rPr>
          <w:rFonts w:ascii="Times New Roman" w:hAnsi="Times New Roman" w:cs="Times New Roman"/>
          <w:i/>
          <w:sz w:val="24"/>
          <w:szCs w:val="24"/>
        </w:rPr>
        <w:t>signa congruentiae</w:t>
      </w:r>
      <w:r w:rsidR="00803A04" w:rsidRPr="002B630E">
        <w:rPr>
          <w:rFonts w:ascii="Times New Roman" w:hAnsi="Times New Roman" w:cs="Times New Roman"/>
          <w:sz w:val="24"/>
          <w:szCs w:val="24"/>
        </w:rPr>
        <w:t xml:space="preserve"> </w:t>
      </w:r>
      <w:r w:rsidR="001A165A" w:rsidRPr="002B630E">
        <w:rPr>
          <w:rFonts w:ascii="Times New Roman" w:hAnsi="Times New Roman" w:cs="Times New Roman"/>
          <w:sz w:val="24"/>
          <w:szCs w:val="24"/>
        </w:rPr>
        <w:t xml:space="preserve">were used </w:t>
      </w:r>
      <w:r w:rsidR="00C20426" w:rsidRPr="002B630E">
        <w:rPr>
          <w:rFonts w:ascii="Times New Roman" w:hAnsi="Times New Roman" w:cs="Times New Roman"/>
          <w:sz w:val="24"/>
          <w:szCs w:val="24"/>
        </w:rPr>
        <w:t>might have introduced confusion for</w:t>
      </w:r>
      <w:r w:rsidR="00803A04" w:rsidRPr="002B630E">
        <w:rPr>
          <w:rFonts w:ascii="Times New Roman" w:hAnsi="Times New Roman" w:cs="Times New Roman"/>
          <w:sz w:val="24"/>
          <w:szCs w:val="24"/>
        </w:rPr>
        <w:t xml:space="preserve"> musically trained readers and singers, a readership more familiar with texts that made extensive use of rubrication might not have been so concerned with</w:t>
      </w:r>
      <w:r w:rsidR="003A0B28" w:rsidRPr="002B630E">
        <w:rPr>
          <w:rFonts w:ascii="Times New Roman" w:hAnsi="Times New Roman" w:cs="Times New Roman"/>
          <w:sz w:val="24"/>
          <w:szCs w:val="24"/>
        </w:rPr>
        <w:t>, or aware of,</w:t>
      </w:r>
      <w:r w:rsidR="00803A04" w:rsidRPr="002B630E">
        <w:rPr>
          <w:rFonts w:ascii="Times New Roman" w:hAnsi="Times New Roman" w:cs="Times New Roman"/>
          <w:sz w:val="24"/>
          <w:szCs w:val="24"/>
        </w:rPr>
        <w:t xml:space="preserve"> the primary function of these </w:t>
      </w:r>
      <w:r w:rsidR="00803A04" w:rsidRPr="002B630E">
        <w:rPr>
          <w:rFonts w:ascii="Times New Roman" w:hAnsi="Times New Roman" w:cs="Times New Roman"/>
          <w:i/>
          <w:sz w:val="24"/>
          <w:szCs w:val="24"/>
        </w:rPr>
        <w:t>signa</w:t>
      </w:r>
      <w:r w:rsidR="00803A04" w:rsidRPr="002B630E">
        <w:rPr>
          <w:rFonts w:ascii="Times New Roman" w:hAnsi="Times New Roman" w:cs="Times New Roman"/>
          <w:sz w:val="24"/>
          <w:szCs w:val="24"/>
        </w:rPr>
        <w:t xml:space="preserve"> as presented in practical sources. Indeed, a comparison between the presentation of the final two examples discussed in </w:t>
      </w:r>
      <w:r w:rsidR="00803A04" w:rsidRPr="002B630E">
        <w:rPr>
          <w:rFonts w:ascii="Times New Roman" w:hAnsi="Times New Roman" w:cs="Times New Roman"/>
          <w:b/>
          <w:sz w:val="24"/>
          <w:szCs w:val="24"/>
        </w:rPr>
        <w:t xml:space="preserve">V </w:t>
      </w:r>
      <w:r w:rsidR="00803A04" w:rsidRPr="002B630E">
        <w:rPr>
          <w:rFonts w:ascii="Times New Roman" w:hAnsi="Times New Roman" w:cs="Times New Roman"/>
          <w:sz w:val="24"/>
          <w:szCs w:val="24"/>
        </w:rPr>
        <w:t xml:space="preserve">and </w:t>
      </w:r>
      <w:r w:rsidR="00803A04" w:rsidRPr="002B630E">
        <w:rPr>
          <w:rFonts w:ascii="Times New Roman" w:hAnsi="Times New Roman" w:cs="Times New Roman"/>
          <w:b/>
          <w:sz w:val="24"/>
          <w:szCs w:val="24"/>
        </w:rPr>
        <w:t>BU</w:t>
      </w:r>
      <w:r w:rsidR="00803A04" w:rsidRPr="002B630E">
        <w:rPr>
          <w:rFonts w:ascii="Times New Roman" w:hAnsi="Times New Roman" w:cs="Times New Roman"/>
          <w:sz w:val="24"/>
          <w:szCs w:val="24"/>
        </w:rPr>
        <w:t xml:space="preserve">, and the presentation of the same material in </w:t>
      </w:r>
      <w:r w:rsidR="00BC55E9" w:rsidRPr="002B630E">
        <w:rPr>
          <w:rFonts w:ascii="Times New Roman" w:hAnsi="Times New Roman" w:cs="Times New Roman"/>
          <w:b/>
          <w:sz w:val="24"/>
          <w:szCs w:val="24"/>
        </w:rPr>
        <w:t>Br1</w:t>
      </w:r>
      <w:r w:rsidR="00803A04" w:rsidRPr="002B630E">
        <w:rPr>
          <w:rFonts w:ascii="Times New Roman" w:hAnsi="Times New Roman" w:cs="Times New Roman"/>
          <w:sz w:val="24"/>
          <w:szCs w:val="24"/>
        </w:rPr>
        <w:t xml:space="preserve"> </w:t>
      </w:r>
      <w:r w:rsidR="003A0B28" w:rsidRPr="002B630E">
        <w:rPr>
          <w:rFonts w:ascii="Times New Roman" w:hAnsi="Times New Roman" w:cs="Times New Roman"/>
          <w:sz w:val="24"/>
          <w:szCs w:val="24"/>
        </w:rPr>
        <w:t xml:space="preserve">might lend some support to this </w:t>
      </w:r>
      <w:r w:rsidR="00803A04" w:rsidRPr="002B630E">
        <w:rPr>
          <w:rFonts w:ascii="Times New Roman" w:hAnsi="Times New Roman" w:cs="Times New Roman"/>
          <w:sz w:val="24"/>
          <w:szCs w:val="24"/>
        </w:rPr>
        <w:t xml:space="preserve">argument. </w:t>
      </w:r>
    </w:p>
    <w:p w14:paraId="202C3004" w14:textId="0BC9C949" w:rsidR="006D67FD" w:rsidRPr="002B630E" w:rsidRDefault="006D67FD"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r>
      <w:r w:rsidR="00EE1D99" w:rsidRPr="002B630E">
        <w:rPr>
          <w:rFonts w:ascii="Times New Roman" w:hAnsi="Times New Roman" w:cs="Times New Roman"/>
          <w:sz w:val="24"/>
          <w:szCs w:val="24"/>
        </w:rPr>
        <w:t xml:space="preserve">The discussion above has </w:t>
      </w:r>
      <w:r w:rsidRPr="002B630E">
        <w:rPr>
          <w:rFonts w:ascii="Times New Roman" w:hAnsi="Times New Roman" w:cs="Times New Roman"/>
          <w:sz w:val="24"/>
          <w:szCs w:val="24"/>
        </w:rPr>
        <w:t xml:space="preserve">shown that </w:t>
      </w:r>
      <w:r w:rsidRPr="002B630E">
        <w:rPr>
          <w:rFonts w:ascii="Times New Roman" w:hAnsi="Times New Roman" w:cs="Times New Roman"/>
          <w:b/>
          <w:sz w:val="24"/>
          <w:szCs w:val="24"/>
        </w:rPr>
        <w:t xml:space="preserve">V </w:t>
      </w:r>
      <w:r w:rsidRPr="002B630E">
        <w:rPr>
          <w:rFonts w:ascii="Times New Roman" w:hAnsi="Times New Roman" w:cs="Times New Roman"/>
          <w:sz w:val="24"/>
          <w:szCs w:val="24"/>
        </w:rPr>
        <w:t xml:space="preserve">and </w:t>
      </w:r>
      <w:r w:rsidR="00125B10" w:rsidRPr="002B630E">
        <w:rPr>
          <w:rFonts w:ascii="Times New Roman" w:hAnsi="Times New Roman" w:cs="Times New Roman"/>
          <w:b/>
          <w:sz w:val="24"/>
          <w:szCs w:val="24"/>
        </w:rPr>
        <w:t>BU</w:t>
      </w:r>
      <w:r w:rsidRPr="002B630E">
        <w:rPr>
          <w:rFonts w:ascii="Times New Roman" w:hAnsi="Times New Roman" w:cs="Times New Roman"/>
          <w:b/>
          <w:sz w:val="24"/>
          <w:szCs w:val="24"/>
        </w:rPr>
        <w:t xml:space="preserve"> </w:t>
      </w:r>
      <w:r w:rsidRPr="002B630E">
        <w:rPr>
          <w:rFonts w:ascii="Times New Roman" w:hAnsi="Times New Roman" w:cs="Times New Roman"/>
          <w:sz w:val="24"/>
          <w:szCs w:val="24"/>
        </w:rPr>
        <w:t xml:space="preserve">make use of </w:t>
      </w:r>
      <w:r w:rsidRPr="002B630E">
        <w:rPr>
          <w:rFonts w:ascii="Times New Roman" w:hAnsi="Times New Roman" w:cs="Times New Roman"/>
          <w:i/>
          <w:sz w:val="24"/>
          <w:szCs w:val="24"/>
        </w:rPr>
        <w:t>signa</w:t>
      </w:r>
      <w:r w:rsidRPr="002B630E">
        <w:rPr>
          <w:rFonts w:ascii="Times New Roman" w:hAnsi="Times New Roman" w:cs="Times New Roman"/>
          <w:sz w:val="24"/>
          <w:szCs w:val="24"/>
        </w:rPr>
        <w:t xml:space="preserve"> </w:t>
      </w:r>
      <w:r w:rsidR="00AA409A" w:rsidRPr="002B630E">
        <w:rPr>
          <w:rFonts w:ascii="Times New Roman" w:hAnsi="Times New Roman" w:cs="Times New Roman"/>
          <w:sz w:val="24"/>
          <w:szCs w:val="24"/>
        </w:rPr>
        <w:t xml:space="preserve">as </w:t>
      </w:r>
      <w:r w:rsidR="008032BC" w:rsidRPr="002B630E">
        <w:rPr>
          <w:rFonts w:ascii="Times New Roman" w:hAnsi="Times New Roman" w:cs="Times New Roman"/>
          <w:sz w:val="24"/>
          <w:szCs w:val="24"/>
        </w:rPr>
        <w:t xml:space="preserve">types </w:t>
      </w:r>
      <w:r w:rsidR="00AA409A" w:rsidRPr="002B630E">
        <w:rPr>
          <w:rFonts w:ascii="Times New Roman" w:hAnsi="Times New Roman" w:cs="Times New Roman"/>
          <w:sz w:val="24"/>
          <w:szCs w:val="24"/>
        </w:rPr>
        <w:t xml:space="preserve">of ‘asterisk’ marking </w:t>
      </w:r>
      <w:r w:rsidRPr="002B630E">
        <w:rPr>
          <w:rFonts w:ascii="Times New Roman" w:hAnsi="Times New Roman" w:cs="Times New Roman"/>
          <w:sz w:val="24"/>
          <w:szCs w:val="24"/>
        </w:rPr>
        <w:t xml:space="preserve">in </w:t>
      </w:r>
      <w:r w:rsidR="008032BC" w:rsidRPr="002B630E">
        <w:rPr>
          <w:rFonts w:ascii="Times New Roman" w:hAnsi="Times New Roman" w:cs="Times New Roman"/>
          <w:sz w:val="24"/>
          <w:szCs w:val="24"/>
        </w:rPr>
        <w:t>many different types of examples, especially in the cases of Figures 4</w:t>
      </w:r>
      <w:r w:rsidR="003056FD">
        <w:rPr>
          <w:rFonts w:ascii="Times New Roman" w:hAnsi="Times New Roman" w:cs="Times New Roman"/>
          <w:sz w:val="24"/>
          <w:szCs w:val="24"/>
        </w:rPr>
        <w:t>a, 4b,</w:t>
      </w:r>
      <w:r w:rsidR="008032BC" w:rsidRPr="002B630E">
        <w:rPr>
          <w:rFonts w:ascii="Times New Roman" w:hAnsi="Times New Roman" w:cs="Times New Roman"/>
          <w:sz w:val="24"/>
          <w:szCs w:val="24"/>
        </w:rPr>
        <w:t xml:space="preserve"> and 5</w:t>
      </w:r>
      <w:r w:rsidRPr="002B630E">
        <w:rPr>
          <w:rFonts w:ascii="Times New Roman" w:hAnsi="Times New Roman" w:cs="Times New Roman"/>
          <w:sz w:val="24"/>
          <w:szCs w:val="24"/>
        </w:rPr>
        <w:t xml:space="preserve">. However, these examples </w:t>
      </w:r>
      <w:r w:rsidR="008032BC" w:rsidRPr="002B630E">
        <w:rPr>
          <w:rFonts w:ascii="Times New Roman" w:hAnsi="Times New Roman" w:cs="Times New Roman"/>
          <w:sz w:val="24"/>
          <w:szCs w:val="24"/>
        </w:rPr>
        <w:t xml:space="preserve">that are </w:t>
      </w:r>
      <w:r w:rsidR="00125B10" w:rsidRPr="002B630E">
        <w:rPr>
          <w:rFonts w:ascii="Times New Roman" w:hAnsi="Times New Roman" w:cs="Times New Roman"/>
          <w:sz w:val="24"/>
          <w:szCs w:val="24"/>
        </w:rPr>
        <w:t>prese</w:t>
      </w:r>
      <w:r w:rsidRPr="002B630E">
        <w:rPr>
          <w:rFonts w:ascii="Times New Roman" w:hAnsi="Times New Roman" w:cs="Times New Roman"/>
          <w:sz w:val="24"/>
          <w:szCs w:val="24"/>
        </w:rPr>
        <w:t>n</w:t>
      </w:r>
      <w:r w:rsidR="00125B10" w:rsidRPr="002B630E">
        <w:rPr>
          <w:rFonts w:ascii="Times New Roman" w:hAnsi="Times New Roman" w:cs="Times New Roman"/>
          <w:sz w:val="24"/>
          <w:szCs w:val="24"/>
        </w:rPr>
        <w:t xml:space="preserve">ted identically in both </w:t>
      </w:r>
      <w:r w:rsidR="00125B10" w:rsidRPr="002B630E">
        <w:rPr>
          <w:rFonts w:ascii="Times New Roman" w:hAnsi="Times New Roman" w:cs="Times New Roman"/>
          <w:b/>
          <w:sz w:val="24"/>
          <w:szCs w:val="24"/>
        </w:rPr>
        <w:t xml:space="preserve">V </w:t>
      </w:r>
      <w:r w:rsidR="00125B10" w:rsidRPr="002B630E">
        <w:rPr>
          <w:rFonts w:ascii="Times New Roman" w:hAnsi="Times New Roman" w:cs="Times New Roman"/>
          <w:sz w:val="24"/>
          <w:szCs w:val="24"/>
        </w:rPr>
        <w:t xml:space="preserve">and </w:t>
      </w:r>
      <w:r w:rsidR="00125B10" w:rsidRPr="002B630E">
        <w:rPr>
          <w:rFonts w:ascii="Times New Roman" w:hAnsi="Times New Roman" w:cs="Times New Roman"/>
          <w:b/>
          <w:sz w:val="24"/>
          <w:szCs w:val="24"/>
        </w:rPr>
        <w:t>BU</w:t>
      </w:r>
      <w:r w:rsidRPr="002B630E">
        <w:rPr>
          <w:rFonts w:ascii="Times New Roman" w:hAnsi="Times New Roman" w:cs="Times New Roman"/>
          <w:sz w:val="24"/>
          <w:szCs w:val="24"/>
        </w:rPr>
        <w:t xml:space="preserve">, save for a few minor differences that can be ascribed to scribal </w:t>
      </w:r>
      <w:r w:rsidR="003056FD">
        <w:rPr>
          <w:rFonts w:ascii="Times New Roman" w:hAnsi="Times New Roman" w:cs="Times New Roman"/>
          <w:sz w:val="24"/>
          <w:szCs w:val="24"/>
        </w:rPr>
        <w:t>refinments and corrections</w:t>
      </w:r>
      <w:r w:rsidRPr="002B630E">
        <w:rPr>
          <w:rFonts w:ascii="Times New Roman" w:hAnsi="Times New Roman" w:cs="Times New Roman"/>
          <w:sz w:val="24"/>
          <w:szCs w:val="24"/>
        </w:rPr>
        <w:t xml:space="preserve">, are presented in </w:t>
      </w:r>
      <w:r w:rsidRPr="002B630E">
        <w:rPr>
          <w:rFonts w:ascii="Times New Roman" w:hAnsi="Times New Roman" w:cs="Times New Roman"/>
          <w:b/>
          <w:sz w:val="24"/>
          <w:szCs w:val="24"/>
        </w:rPr>
        <w:t>Br</w:t>
      </w:r>
      <w:r w:rsidR="00BC55E9" w:rsidRPr="002B630E">
        <w:rPr>
          <w:rFonts w:ascii="Times New Roman" w:hAnsi="Times New Roman" w:cs="Times New Roman"/>
          <w:b/>
          <w:sz w:val="24"/>
          <w:szCs w:val="24"/>
        </w:rPr>
        <w:t>1</w:t>
      </w:r>
      <w:r w:rsidRPr="002B630E">
        <w:rPr>
          <w:rFonts w:ascii="Times New Roman" w:hAnsi="Times New Roman" w:cs="Times New Roman"/>
          <w:sz w:val="24"/>
          <w:szCs w:val="24"/>
        </w:rPr>
        <w:t xml:space="preserve"> without </w:t>
      </w:r>
      <w:r w:rsidRPr="002B630E">
        <w:rPr>
          <w:rFonts w:ascii="Times New Roman" w:hAnsi="Times New Roman" w:cs="Times New Roman"/>
          <w:i/>
          <w:sz w:val="24"/>
          <w:szCs w:val="24"/>
        </w:rPr>
        <w:t xml:space="preserve">signa </w:t>
      </w:r>
      <w:r w:rsidRPr="002B630E">
        <w:rPr>
          <w:rFonts w:ascii="Times New Roman" w:hAnsi="Times New Roman" w:cs="Times New Roman"/>
          <w:sz w:val="24"/>
          <w:szCs w:val="24"/>
        </w:rPr>
        <w:t>to highlight the main theoretical point</w:t>
      </w:r>
      <w:r w:rsidR="0049798D">
        <w:rPr>
          <w:rFonts w:ascii="Times New Roman" w:hAnsi="Times New Roman" w:cs="Times New Roman"/>
          <w:sz w:val="24"/>
          <w:szCs w:val="24"/>
        </w:rPr>
        <w:t xml:space="preserve"> (fols. 96</w:t>
      </w:r>
      <w:r w:rsidR="0049798D" w:rsidRPr="0049798D">
        <w:rPr>
          <w:rFonts w:ascii="Times New Roman" w:hAnsi="Times New Roman" w:cs="Times New Roman"/>
          <w:sz w:val="24"/>
          <w:szCs w:val="24"/>
          <w:vertAlign w:val="superscript"/>
        </w:rPr>
        <w:t>vb</w:t>
      </w:r>
      <w:r w:rsidR="0049798D">
        <w:rPr>
          <w:rFonts w:ascii="Times New Roman" w:hAnsi="Times New Roman" w:cs="Times New Roman"/>
          <w:sz w:val="24"/>
          <w:szCs w:val="24"/>
        </w:rPr>
        <w:t>–97</w:t>
      </w:r>
      <w:r w:rsidR="0049798D" w:rsidRPr="0049798D">
        <w:rPr>
          <w:rFonts w:ascii="Times New Roman" w:hAnsi="Times New Roman" w:cs="Times New Roman"/>
          <w:sz w:val="24"/>
          <w:szCs w:val="24"/>
          <w:vertAlign w:val="superscript"/>
        </w:rPr>
        <w:t>ra</w:t>
      </w:r>
      <w:r w:rsidR="0049798D">
        <w:rPr>
          <w:rFonts w:ascii="Times New Roman" w:hAnsi="Times New Roman" w:cs="Times New Roman"/>
          <w:sz w:val="24"/>
          <w:szCs w:val="24"/>
        </w:rPr>
        <w:t xml:space="preserve"> and fol. 99</w:t>
      </w:r>
      <w:r w:rsidR="0049798D" w:rsidRPr="0049798D">
        <w:rPr>
          <w:rFonts w:ascii="Times New Roman" w:hAnsi="Times New Roman" w:cs="Times New Roman"/>
          <w:sz w:val="24"/>
          <w:szCs w:val="24"/>
          <w:vertAlign w:val="superscript"/>
        </w:rPr>
        <w:t>v</w:t>
      </w:r>
      <w:r w:rsidR="0049798D">
        <w:rPr>
          <w:rFonts w:ascii="Times New Roman" w:hAnsi="Times New Roman" w:cs="Times New Roman"/>
          <w:sz w:val="24"/>
          <w:szCs w:val="24"/>
        </w:rPr>
        <w:t>, respectively)</w:t>
      </w:r>
      <w:r w:rsidRPr="002B630E">
        <w:rPr>
          <w:rFonts w:ascii="Times New Roman" w:hAnsi="Times New Roman" w:cs="Times New Roman"/>
          <w:sz w:val="24"/>
          <w:szCs w:val="24"/>
        </w:rPr>
        <w:t xml:space="preserve">. </w:t>
      </w:r>
    </w:p>
    <w:p w14:paraId="387D2268" w14:textId="5B2A21DA" w:rsidR="00C4635D" w:rsidRDefault="00AA409A"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ab/>
      </w:r>
      <w:r w:rsidR="003056FD">
        <w:rPr>
          <w:rFonts w:ascii="Times New Roman" w:hAnsi="Times New Roman" w:cs="Times New Roman"/>
          <w:sz w:val="24"/>
          <w:szCs w:val="24"/>
        </w:rPr>
        <w:t xml:space="preserve">Although the </w:t>
      </w:r>
      <w:r w:rsidR="003056FD">
        <w:rPr>
          <w:rFonts w:ascii="Times New Roman" w:hAnsi="Times New Roman" w:cs="Times New Roman"/>
          <w:b/>
          <w:sz w:val="24"/>
          <w:szCs w:val="24"/>
        </w:rPr>
        <w:t xml:space="preserve">Br1 </w:t>
      </w:r>
      <w:r w:rsidR="003056FD">
        <w:rPr>
          <w:rFonts w:ascii="Times New Roman" w:hAnsi="Times New Roman" w:cs="Times New Roman"/>
          <w:sz w:val="24"/>
          <w:szCs w:val="24"/>
        </w:rPr>
        <w:t xml:space="preserve">scribe deploys </w:t>
      </w:r>
      <w:r w:rsidR="003056FD">
        <w:rPr>
          <w:rFonts w:ascii="Times New Roman" w:hAnsi="Times New Roman" w:cs="Times New Roman"/>
          <w:i/>
          <w:sz w:val="24"/>
          <w:szCs w:val="24"/>
        </w:rPr>
        <w:t xml:space="preserve">signa </w:t>
      </w:r>
      <w:r w:rsidR="003056FD">
        <w:rPr>
          <w:rFonts w:ascii="Times New Roman" w:hAnsi="Times New Roman" w:cs="Times New Roman"/>
          <w:sz w:val="24"/>
          <w:szCs w:val="24"/>
        </w:rPr>
        <w:t xml:space="preserve">in some contexts in the earlier part of </w:t>
      </w:r>
      <w:r w:rsidR="003056FD">
        <w:rPr>
          <w:rFonts w:ascii="Times New Roman" w:hAnsi="Times New Roman" w:cs="Times New Roman"/>
          <w:i/>
          <w:sz w:val="24"/>
          <w:szCs w:val="24"/>
        </w:rPr>
        <w:t xml:space="preserve">De contr. </w:t>
      </w:r>
      <w:r w:rsidR="003056FD">
        <w:rPr>
          <w:rFonts w:ascii="Times New Roman" w:hAnsi="Times New Roman" w:cs="Times New Roman"/>
          <w:sz w:val="24"/>
          <w:szCs w:val="24"/>
        </w:rPr>
        <w:t xml:space="preserve">consultation of </w:t>
      </w:r>
      <w:r w:rsidR="00CD04EE">
        <w:rPr>
          <w:rFonts w:ascii="Times New Roman" w:hAnsi="Times New Roman" w:cs="Times New Roman"/>
          <w:b/>
          <w:sz w:val="24"/>
          <w:szCs w:val="24"/>
        </w:rPr>
        <w:t xml:space="preserve">Br1 </w:t>
      </w:r>
      <w:r w:rsidR="00CD04EE">
        <w:rPr>
          <w:rFonts w:ascii="Times New Roman" w:hAnsi="Times New Roman" w:cs="Times New Roman"/>
          <w:sz w:val="24"/>
          <w:szCs w:val="24"/>
        </w:rPr>
        <w:t xml:space="preserve">in detail reveals that </w:t>
      </w:r>
      <w:r w:rsidR="00CD04EE">
        <w:rPr>
          <w:rFonts w:ascii="Times New Roman" w:hAnsi="Times New Roman" w:cs="Times New Roman"/>
          <w:i/>
          <w:sz w:val="24"/>
          <w:szCs w:val="24"/>
        </w:rPr>
        <w:t xml:space="preserve">signa </w:t>
      </w:r>
      <w:r w:rsidR="00CD04EE">
        <w:rPr>
          <w:rFonts w:ascii="Times New Roman" w:hAnsi="Times New Roman" w:cs="Times New Roman"/>
          <w:sz w:val="24"/>
          <w:szCs w:val="24"/>
        </w:rPr>
        <w:t>are not used beyond Book I</w:t>
      </w:r>
      <w:r w:rsidR="003056FD">
        <w:rPr>
          <w:rFonts w:ascii="Times New Roman" w:hAnsi="Times New Roman" w:cs="Times New Roman"/>
          <w:sz w:val="24"/>
          <w:szCs w:val="24"/>
        </w:rPr>
        <w:t>.</w:t>
      </w:r>
      <w:r w:rsidR="00CD04EE">
        <w:rPr>
          <w:rFonts w:ascii="Times New Roman" w:hAnsi="Times New Roman" w:cs="Times New Roman"/>
          <w:sz w:val="24"/>
          <w:szCs w:val="24"/>
        </w:rPr>
        <w:t xml:space="preserve"> </w:t>
      </w:r>
      <w:r w:rsidR="003056FD">
        <w:rPr>
          <w:rFonts w:ascii="Times New Roman" w:hAnsi="Times New Roman" w:cs="Times New Roman"/>
          <w:sz w:val="24"/>
          <w:szCs w:val="24"/>
        </w:rPr>
        <w:t xml:space="preserve">Thus, they </w:t>
      </w:r>
      <w:r w:rsidR="00CD04EE">
        <w:rPr>
          <w:rFonts w:ascii="Times New Roman" w:hAnsi="Times New Roman" w:cs="Times New Roman"/>
          <w:sz w:val="24"/>
          <w:szCs w:val="24"/>
        </w:rPr>
        <w:t xml:space="preserve">do not </w:t>
      </w:r>
      <w:r w:rsidR="00CD04EE">
        <w:rPr>
          <w:rFonts w:ascii="Times New Roman" w:hAnsi="Times New Roman" w:cs="Times New Roman"/>
          <w:sz w:val="24"/>
          <w:szCs w:val="24"/>
        </w:rPr>
        <w:lastRenderedPageBreak/>
        <w:t xml:space="preserve">feature in any of the polyphonic miniatures found in the latter stages of Book II and throughout Book III. </w:t>
      </w:r>
      <w:r w:rsidR="008B2018">
        <w:rPr>
          <w:rFonts w:ascii="Times New Roman" w:hAnsi="Times New Roman" w:cs="Times New Roman"/>
          <w:sz w:val="24"/>
          <w:szCs w:val="24"/>
        </w:rPr>
        <w:t xml:space="preserve">It is also noteworthy that the final use of a </w:t>
      </w:r>
      <w:r w:rsidR="008B2018">
        <w:rPr>
          <w:rFonts w:ascii="Times New Roman" w:hAnsi="Times New Roman" w:cs="Times New Roman"/>
          <w:i/>
          <w:sz w:val="24"/>
          <w:szCs w:val="24"/>
        </w:rPr>
        <w:t xml:space="preserve">signa </w:t>
      </w:r>
      <w:r w:rsidR="008B2018">
        <w:rPr>
          <w:rFonts w:ascii="Times New Roman" w:hAnsi="Times New Roman" w:cs="Times New Roman"/>
          <w:sz w:val="24"/>
          <w:szCs w:val="24"/>
        </w:rPr>
        <w:t xml:space="preserve">in </w:t>
      </w:r>
      <w:r w:rsidR="008B2018">
        <w:rPr>
          <w:rFonts w:ascii="Times New Roman" w:hAnsi="Times New Roman" w:cs="Times New Roman"/>
          <w:b/>
          <w:sz w:val="24"/>
          <w:szCs w:val="24"/>
        </w:rPr>
        <w:t>Br1</w:t>
      </w:r>
      <w:r w:rsidR="008B2018">
        <w:rPr>
          <w:rFonts w:ascii="Times New Roman" w:hAnsi="Times New Roman" w:cs="Times New Roman"/>
          <w:sz w:val="24"/>
          <w:szCs w:val="24"/>
        </w:rPr>
        <w:t xml:space="preserve"> appears in a slightly different configuration from that seen in Figure 2.</w:t>
      </w:r>
      <w:r w:rsidR="00C4635D">
        <w:rPr>
          <w:rFonts w:ascii="Times New Roman" w:hAnsi="Times New Roman" w:cs="Times New Roman"/>
          <w:sz w:val="24"/>
          <w:szCs w:val="24"/>
        </w:rPr>
        <w:t xml:space="preserve"> Instead of being presented as two dots and a straight line in black ink, the final instance is drawn in red ink with a curved line.</w:t>
      </w:r>
    </w:p>
    <w:p w14:paraId="0B6E7F74" w14:textId="5CC3E1AE" w:rsidR="00C4635D" w:rsidRDefault="002C60EF" w:rsidP="003B4139">
      <w:pPr>
        <w:tabs>
          <w:tab w:val="left" w:pos="567"/>
        </w:tabs>
        <w:spacing w:line="480" w:lineRule="auto"/>
        <w:ind w:right="-64"/>
        <w:jc w:val="center"/>
        <w:rPr>
          <w:rFonts w:ascii="Times New Roman" w:hAnsi="Times New Roman" w:cs="Times New Roman"/>
          <w:sz w:val="24"/>
          <w:szCs w:val="24"/>
        </w:rPr>
      </w:pPr>
      <w:r>
        <w:rPr>
          <w:rFonts w:ascii="Times New Roman" w:hAnsi="Times New Roman" w:cs="Times New Roman"/>
          <w:noProof/>
          <w:sz w:val="24"/>
          <w:szCs w:val="24"/>
          <w:lang w:eastAsia="en-GB"/>
        </w:rPr>
        <w:t>[FIG 7 HERE]</w:t>
      </w:r>
    </w:p>
    <w:p w14:paraId="31FBB585" w14:textId="6DC0D1F1" w:rsidR="00C4635D" w:rsidRPr="002B630E" w:rsidRDefault="00C4635D" w:rsidP="00EF611D">
      <w:pPr>
        <w:spacing w:line="480" w:lineRule="auto"/>
        <w:rPr>
          <w:rFonts w:ascii="Times New Roman" w:hAnsi="Times New Roman" w:cs="Times New Roman"/>
          <w:sz w:val="24"/>
        </w:rPr>
      </w:pPr>
      <w:r>
        <w:rPr>
          <w:rFonts w:ascii="Times New Roman" w:hAnsi="Times New Roman" w:cs="Times New Roman"/>
          <w:sz w:val="24"/>
          <w:szCs w:val="24"/>
        </w:rPr>
        <w:t>Figure 7</w:t>
      </w:r>
      <w:r w:rsidRPr="002B630E">
        <w:rPr>
          <w:rFonts w:ascii="Times New Roman" w:hAnsi="Times New Roman" w:cs="Times New Roman"/>
          <w:sz w:val="24"/>
        </w:rPr>
        <w:t xml:space="preserve">. Tinctoris, </w:t>
      </w:r>
      <w:r w:rsidRPr="002B630E">
        <w:rPr>
          <w:rFonts w:ascii="Times New Roman" w:hAnsi="Times New Roman" w:cs="Times New Roman"/>
          <w:i/>
          <w:sz w:val="24"/>
        </w:rPr>
        <w:t>De contr.</w:t>
      </w:r>
      <w:r>
        <w:rPr>
          <w:rFonts w:ascii="Times New Roman" w:hAnsi="Times New Roman" w:cs="Times New Roman"/>
          <w:sz w:val="24"/>
        </w:rPr>
        <w:t>, I.xvi</w:t>
      </w:r>
      <w:r w:rsidRPr="002B630E">
        <w:rPr>
          <w:rFonts w:ascii="Times New Roman" w:hAnsi="Times New Roman" w:cs="Times New Roman"/>
          <w:sz w:val="24"/>
        </w:rPr>
        <w:t xml:space="preserve">. Example of note-against-note counterpoint, with added </w:t>
      </w:r>
      <w:r w:rsidRPr="002B630E">
        <w:rPr>
          <w:rFonts w:ascii="Times New Roman" w:hAnsi="Times New Roman" w:cs="Times New Roman"/>
          <w:i/>
          <w:sz w:val="24"/>
        </w:rPr>
        <w:t>signa</w:t>
      </w:r>
      <w:r>
        <w:rPr>
          <w:rFonts w:ascii="Times New Roman" w:hAnsi="Times New Roman" w:cs="Times New Roman"/>
          <w:sz w:val="24"/>
        </w:rPr>
        <w:t>, entered in red ink</w:t>
      </w:r>
      <w:r w:rsidRPr="002B630E">
        <w:rPr>
          <w:rFonts w:ascii="Times New Roman" w:hAnsi="Times New Roman" w:cs="Times New Roman"/>
          <w:sz w:val="24"/>
        </w:rPr>
        <w:t xml:space="preserve">. </w:t>
      </w:r>
      <w:r w:rsidRPr="002B630E">
        <w:rPr>
          <w:rFonts w:ascii="Times New Roman" w:hAnsi="Times New Roman" w:cs="Times New Roman"/>
          <w:sz w:val="24"/>
          <w:szCs w:val="24"/>
        </w:rPr>
        <w:t>Brussels, Bibliot</w:t>
      </w:r>
      <w:r>
        <w:rPr>
          <w:rFonts w:ascii="Times New Roman" w:hAnsi="Times New Roman" w:cs="Times New Roman"/>
          <w:sz w:val="24"/>
          <w:szCs w:val="24"/>
        </w:rPr>
        <w:t>hèque Royale, MS II 4147, fol. 74</w:t>
      </w:r>
      <w:r w:rsidRPr="002B630E">
        <w:rPr>
          <w:rFonts w:ascii="Times New Roman" w:hAnsi="Times New Roman" w:cs="Times New Roman"/>
          <w:sz w:val="24"/>
          <w:szCs w:val="24"/>
          <w:vertAlign w:val="superscript"/>
        </w:rPr>
        <w:t>v</w:t>
      </w:r>
      <w:r w:rsidRPr="002B630E">
        <w:rPr>
          <w:rFonts w:ascii="Times New Roman" w:hAnsi="Times New Roman" w:cs="Times New Roman"/>
          <w:sz w:val="24"/>
          <w:szCs w:val="24"/>
        </w:rPr>
        <w:t>.</w:t>
      </w:r>
      <w:r w:rsidR="00EE1B69">
        <w:rPr>
          <w:rFonts w:ascii="Times New Roman" w:hAnsi="Times New Roman" w:cs="Times New Roman"/>
          <w:sz w:val="24"/>
          <w:szCs w:val="24"/>
        </w:rPr>
        <w:t xml:space="preserve"> Reproduced with kind permission of Bibliothèque royale de Belgique.</w:t>
      </w:r>
    </w:p>
    <w:p w14:paraId="7D82F7EF" w14:textId="222261C9" w:rsidR="00DE669D" w:rsidRPr="008530FE" w:rsidRDefault="00DE669D" w:rsidP="00B95FCD">
      <w:pPr>
        <w:tabs>
          <w:tab w:val="left" w:pos="567"/>
        </w:tabs>
        <w:spacing w:line="480" w:lineRule="auto"/>
        <w:ind w:right="-64"/>
        <w:jc w:val="both"/>
        <w:rPr>
          <w:rFonts w:ascii="Times New Roman" w:hAnsi="Times New Roman" w:cs="Times New Roman"/>
          <w:sz w:val="24"/>
          <w:szCs w:val="24"/>
        </w:rPr>
      </w:pPr>
      <w:r>
        <w:rPr>
          <w:rFonts w:ascii="Times New Roman" w:hAnsi="Times New Roman" w:cs="Times New Roman"/>
          <w:sz w:val="24"/>
          <w:szCs w:val="24"/>
        </w:rPr>
        <w:t xml:space="preserve">It seems significant that the </w:t>
      </w:r>
      <w:r>
        <w:rPr>
          <w:rFonts w:ascii="Times New Roman" w:hAnsi="Times New Roman" w:cs="Times New Roman"/>
          <w:i/>
          <w:sz w:val="24"/>
          <w:szCs w:val="24"/>
        </w:rPr>
        <w:t>signa</w:t>
      </w:r>
      <w:r>
        <w:rPr>
          <w:rFonts w:ascii="Times New Roman" w:hAnsi="Times New Roman" w:cs="Times New Roman"/>
          <w:sz w:val="24"/>
          <w:szCs w:val="24"/>
        </w:rPr>
        <w:t xml:space="preserve"> stop in </w:t>
      </w:r>
      <w:r>
        <w:rPr>
          <w:rFonts w:ascii="Times New Roman" w:hAnsi="Times New Roman" w:cs="Times New Roman"/>
          <w:b/>
          <w:sz w:val="24"/>
          <w:szCs w:val="24"/>
        </w:rPr>
        <w:t>Br1</w:t>
      </w:r>
      <w:r>
        <w:rPr>
          <w:rFonts w:ascii="Times New Roman" w:hAnsi="Times New Roman" w:cs="Times New Roman"/>
          <w:sz w:val="24"/>
          <w:szCs w:val="24"/>
        </w:rPr>
        <w:t xml:space="preserve"> in the middle of Tincto</w:t>
      </w:r>
      <w:r w:rsidR="005A37E5">
        <w:rPr>
          <w:rFonts w:ascii="Times New Roman" w:hAnsi="Times New Roman" w:cs="Times New Roman"/>
          <w:sz w:val="24"/>
          <w:szCs w:val="24"/>
        </w:rPr>
        <w:t>ris’s explanations of concords</w:t>
      </w:r>
      <w:r w:rsidR="00C508B9">
        <w:rPr>
          <w:rFonts w:ascii="Times New Roman" w:hAnsi="Times New Roman" w:cs="Times New Roman"/>
          <w:sz w:val="24"/>
          <w:szCs w:val="24"/>
        </w:rPr>
        <w:t>. I</w:t>
      </w:r>
      <w:r w:rsidR="005A37E5">
        <w:rPr>
          <w:rFonts w:ascii="Times New Roman" w:hAnsi="Times New Roman" w:cs="Times New Roman"/>
          <w:sz w:val="24"/>
          <w:szCs w:val="24"/>
        </w:rPr>
        <w:t>t i</w:t>
      </w:r>
      <w:r w:rsidR="00615212">
        <w:rPr>
          <w:rFonts w:ascii="Times New Roman" w:hAnsi="Times New Roman" w:cs="Times New Roman"/>
          <w:sz w:val="24"/>
          <w:szCs w:val="24"/>
        </w:rPr>
        <w:t>s</w:t>
      </w:r>
      <w:r w:rsidR="005A37E5">
        <w:rPr>
          <w:rFonts w:ascii="Times New Roman" w:hAnsi="Times New Roman" w:cs="Times New Roman"/>
          <w:sz w:val="24"/>
          <w:szCs w:val="24"/>
        </w:rPr>
        <w:t xml:space="preserve"> therefore</w:t>
      </w:r>
      <w:r>
        <w:rPr>
          <w:rFonts w:ascii="Times New Roman" w:hAnsi="Times New Roman" w:cs="Times New Roman"/>
          <w:sz w:val="24"/>
          <w:szCs w:val="24"/>
        </w:rPr>
        <w:t xml:space="preserve"> likely that</w:t>
      </w:r>
      <w:r w:rsidR="00C508B9">
        <w:rPr>
          <w:rFonts w:ascii="Times New Roman" w:hAnsi="Times New Roman" w:cs="Times New Roman"/>
          <w:sz w:val="24"/>
          <w:szCs w:val="24"/>
        </w:rPr>
        <w:t>, in this manuscript,</w:t>
      </w:r>
      <w:r>
        <w:rPr>
          <w:rFonts w:ascii="Times New Roman" w:hAnsi="Times New Roman" w:cs="Times New Roman"/>
          <w:sz w:val="24"/>
          <w:szCs w:val="24"/>
        </w:rPr>
        <w:t xml:space="preserve"> these symbols were entered at some point following the entry of music notation, and that the scribe did not manage to complete this task. Indeed, there are countless initials missing as </w:t>
      </w:r>
      <w:r w:rsidR="00C508B9">
        <w:rPr>
          <w:rFonts w:ascii="Times New Roman" w:hAnsi="Times New Roman" w:cs="Times New Roman"/>
          <w:b/>
          <w:sz w:val="24"/>
          <w:szCs w:val="24"/>
        </w:rPr>
        <w:t xml:space="preserve">Br1 </w:t>
      </w:r>
      <w:r>
        <w:rPr>
          <w:rFonts w:ascii="Times New Roman" w:hAnsi="Times New Roman" w:cs="Times New Roman"/>
          <w:sz w:val="24"/>
          <w:szCs w:val="24"/>
        </w:rPr>
        <w:t>progresses, with D’s, T’s, C’s, and S’s being entered with some regularity</w:t>
      </w:r>
      <w:r w:rsidR="008530FE">
        <w:rPr>
          <w:rFonts w:ascii="Times New Roman" w:hAnsi="Times New Roman" w:cs="Times New Roman"/>
          <w:sz w:val="24"/>
          <w:szCs w:val="24"/>
        </w:rPr>
        <w:t xml:space="preserve"> but other letters being left out of the manuscript as it survives</w:t>
      </w:r>
      <w:r>
        <w:rPr>
          <w:rFonts w:ascii="Times New Roman" w:hAnsi="Times New Roman" w:cs="Times New Roman"/>
          <w:sz w:val="24"/>
          <w:szCs w:val="24"/>
        </w:rPr>
        <w:t>.</w:t>
      </w:r>
      <w:r w:rsidR="00C508B9">
        <w:rPr>
          <w:rFonts w:ascii="Times New Roman" w:hAnsi="Times New Roman" w:cs="Times New Roman"/>
          <w:sz w:val="24"/>
          <w:szCs w:val="24"/>
        </w:rPr>
        <w:t>I</w:t>
      </w:r>
      <w:r w:rsidR="008530FE">
        <w:rPr>
          <w:rFonts w:ascii="Times New Roman" w:hAnsi="Times New Roman" w:cs="Times New Roman"/>
          <w:sz w:val="24"/>
          <w:szCs w:val="24"/>
        </w:rPr>
        <w:t xml:space="preserve">t seems that </w:t>
      </w:r>
      <w:r w:rsidR="008530FE">
        <w:rPr>
          <w:rFonts w:ascii="Times New Roman" w:hAnsi="Times New Roman" w:cs="Times New Roman"/>
          <w:b/>
          <w:sz w:val="24"/>
          <w:szCs w:val="24"/>
        </w:rPr>
        <w:t xml:space="preserve">Br1 </w:t>
      </w:r>
      <w:r w:rsidR="008530FE">
        <w:rPr>
          <w:rFonts w:ascii="Times New Roman" w:hAnsi="Times New Roman" w:cs="Times New Roman"/>
          <w:sz w:val="24"/>
          <w:szCs w:val="24"/>
        </w:rPr>
        <w:t xml:space="preserve">is </w:t>
      </w:r>
      <w:r w:rsidR="00C508B9">
        <w:rPr>
          <w:rFonts w:ascii="Times New Roman" w:hAnsi="Times New Roman" w:cs="Times New Roman"/>
          <w:sz w:val="24"/>
          <w:szCs w:val="24"/>
        </w:rPr>
        <w:t xml:space="preserve">unfinished </w:t>
      </w:r>
      <w:r w:rsidR="008530FE">
        <w:rPr>
          <w:rFonts w:ascii="Times New Roman" w:hAnsi="Times New Roman" w:cs="Times New Roman"/>
          <w:sz w:val="24"/>
          <w:szCs w:val="24"/>
        </w:rPr>
        <w:t>in this regard</w:t>
      </w:r>
      <w:r w:rsidR="00C508B9">
        <w:rPr>
          <w:rFonts w:ascii="Times New Roman" w:hAnsi="Times New Roman" w:cs="Times New Roman"/>
          <w:sz w:val="24"/>
          <w:szCs w:val="24"/>
        </w:rPr>
        <w:t xml:space="preserve">. However, </w:t>
      </w:r>
      <w:r w:rsidR="008530FE">
        <w:rPr>
          <w:rFonts w:ascii="Times New Roman" w:hAnsi="Times New Roman" w:cs="Times New Roman"/>
          <w:sz w:val="24"/>
          <w:szCs w:val="24"/>
        </w:rPr>
        <w:t xml:space="preserve">it is impossible to say from the evidence at hand whether missing </w:t>
      </w:r>
      <w:r w:rsidR="008530FE">
        <w:rPr>
          <w:rFonts w:ascii="Times New Roman" w:hAnsi="Times New Roman" w:cs="Times New Roman"/>
          <w:i/>
          <w:sz w:val="24"/>
          <w:szCs w:val="24"/>
        </w:rPr>
        <w:t xml:space="preserve">signa </w:t>
      </w:r>
      <w:r w:rsidR="008530FE">
        <w:rPr>
          <w:rFonts w:ascii="Times New Roman" w:hAnsi="Times New Roman" w:cs="Times New Roman"/>
          <w:sz w:val="24"/>
          <w:szCs w:val="24"/>
        </w:rPr>
        <w:t>in this volume are indicative of a particular</w:t>
      </w:r>
      <w:r w:rsidR="00C47C63">
        <w:rPr>
          <w:rFonts w:ascii="Times New Roman" w:hAnsi="Times New Roman" w:cs="Times New Roman"/>
          <w:sz w:val="24"/>
          <w:szCs w:val="24"/>
        </w:rPr>
        <w:t xml:space="preserve"> exemplification </w:t>
      </w:r>
      <w:r w:rsidR="008530FE">
        <w:rPr>
          <w:rFonts w:ascii="Times New Roman" w:hAnsi="Times New Roman" w:cs="Times New Roman"/>
          <w:sz w:val="24"/>
          <w:szCs w:val="24"/>
        </w:rPr>
        <w:t xml:space="preserve">strategy, or merely show </w:t>
      </w:r>
      <w:r w:rsidR="005E7735">
        <w:rPr>
          <w:rFonts w:ascii="Times New Roman" w:hAnsi="Times New Roman" w:cs="Times New Roman"/>
          <w:sz w:val="24"/>
          <w:szCs w:val="24"/>
        </w:rPr>
        <w:t>that a layer of</w:t>
      </w:r>
      <w:r w:rsidR="008530FE">
        <w:rPr>
          <w:rFonts w:ascii="Times New Roman" w:hAnsi="Times New Roman" w:cs="Times New Roman"/>
          <w:sz w:val="24"/>
          <w:szCs w:val="24"/>
        </w:rPr>
        <w:t xml:space="preserve"> </w:t>
      </w:r>
      <w:r w:rsidR="005E7735">
        <w:rPr>
          <w:rFonts w:ascii="Times New Roman" w:hAnsi="Times New Roman" w:cs="Times New Roman"/>
          <w:sz w:val="24"/>
          <w:szCs w:val="24"/>
        </w:rPr>
        <w:t xml:space="preserve">scribal </w:t>
      </w:r>
      <w:r w:rsidR="008530FE">
        <w:rPr>
          <w:rFonts w:ascii="Times New Roman" w:hAnsi="Times New Roman" w:cs="Times New Roman"/>
          <w:sz w:val="24"/>
          <w:szCs w:val="24"/>
        </w:rPr>
        <w:t xml:space="preserve">work never quite </w:t>
      </w:r>
      <w:r w:rsidR="005E7735">
        <w:rPr>
          <w:rFonts w:ascii="Times New Roman" w:hAnsi="Times New Roman" w:cs="Times New Roman"/>
          <w:sz w:val="24"/>
          <w:szCs w:val="24"/>
        </w:rPr>
        <w:t>reached completion</w:t>
      </w:r>
      <w:r w:rsidR="008530FE">
        <w:rPr>
          <w:rFonts w:ascii="Times New Roman" w:hAnsi="Times New Roman" w:cs="Times New Roman"/>
          <w:sz w:val="24"/>
          <w:szCs w:val="24"/>
        </w:rPr>
        <w:t xml:space="preserve">. </w:t>
      </w:r>
      <w:r w:rsidR="00C47C63">
        <w:rPr>
          <w:rFonts w:ascii="Times New Roman" w:hAnsi="Times New Roman" w:cs="Times New Roman"/>
          <w:sz w:val="24"/>
          <w:szCs w:val="24"/>
        </w:rPr>
        <w:t xml:space="preserve">Whichever of these lines of inquiry we choose to follow, it is significant that this is one of the few areas of </w:t>
      </w:r>
      <w:r w:rsidR="00A32F8A">
        <w:rPr>
          <w:rFonts w:ascii="Times New Roman" w:hAnsi="Times New Roman" w:cs="Times New Roman"/>
          <w:sz w:val="24"/>
          <w:szCs w:val="24"/>
        </w:rPr>
        <w:t xml:space="preserve">significant </w:t>
      </w:r>
      <w:r w:rsidR="00C47C63">
        <w:rPr>
          <w:rFonts w:ascii="Times New Roman" w:hAnsi="Times New Roman" w:cs="Times New Roman"/>
          <w:sz w:val="24"/>
          <w:szCs w:val="24"/>
        </w:rPr>
        <w:t>difference between the three main sources of Tinctoris’s works</w:t>
      </w:r>
      <w:r w:rsidR="00957ECB">
        <w:rPr>
          <w:rFonts w:ascii="Times New Roman" w:hAnsi="Times New Roman" w:cs="Times New Roman"/>
          <w:sz w:val="24"/>
          <w:szCs w:val="24"/>
        </w:rPr>
        <w:t xml:space="preserve"> that has a significant effect on the visual profile of the text-example relationship</w:t>
      </w:r>
      <w:r w:rsidR="00C47C63">
        <w:rPr>
          <w:rFonts w:ascii="Times New Roman" w:hAnsi="Times New Roman" w:cs="Times New Roman"/>
          <w:sz w:val="24"/>
          <w:szCs w:val="24"/>
        </w:rPr>
        <w:t xml:space="preserve">. </w:t>
      </w:r>
    </w:p>
    <w:p w14:paraId="79AED21A" w14:textId="367A8FFD" w:rsidR="00F34955" w:rsidRPr="002B630E" w:rsidRDefault="00530281" w:rsidP="00530281">
      <w:pPr>
        <w:tabs>
          <w:tab w:val="left" w:pos="567"/>
        </w:tabs>
        <w:spacing w:line="480" w:lineRule="auto"/>
        <w:ind w:right="-64"/>
        <w:jc w:val="center"/>
        <w:rPr>
          <w:rFonts w:ascii="Times New Roman" w:hAnsi="Times New Roman" w:cs="Times New Roman"/>
          <w:b/>
          <w:sz w:val="24"/>
          <w:szCs w:val="24"/>
        </w:rPr>
      </w:pPr>
      <w:r w:rsidRPr="002B630E">
        <w:rPr>
          <w:rFonts w:ascii="Times New Roman" w:hAnsi="Times New Roman" w:cs="Times New Roman"/>
          <w:b/>
          <w:sz w:val="24"/>
          <w:szCs w:val="24"/>
        </w:rPr>
        <w:t>***</w:t>
      </w:r>
    </w:p>
    <w:p w14:paraId="1A601E4B" w14:textId="740E63B1" w:rsidR="009821C8" w:rsidRPr="00B95FCD" w:rsidRDefault="00BC55E9" w:rsidP="00B95FCD">
      <w:pPr>
        <w:tabs>
          <w:tab w:val="left" w:pos="567"/>
        </w:tabs>
        <w:spacing w:line="480" w:lineRule="auto"/>
        <w:ind w:right="-64"/>
        <w:jc w:val="both"/>
        <w:rPr>
          <w:rFonts w:ascii="Times New Roman" w:hAnsi="Times New Roman" w:cs="Times New Roman"/>
          <w:sz w:val="24"/>
          <w:szCs w:val="24"/>
        </w:rPr>
      </w:pPr>
      <w:r w:rsidRPr="002B630E">
        <w:rPr>
          <w:rFonts w:ascii="Times New Roman" w:hAnsi="Times New Roman" w:cs="Times New Roman"/>
          <w:sz w:val="24"/>
          <w:szCs w:val="24"/>
        </w:rPr>
        <w:t xml:space="preserve">It is clear that symbols to which we attach the single label </w:t>
      </w:r>
      <w:r w:rsidRPr="002B630E">
        <w:rPr>
          <w:rFonts w:ascii="Times New Roman" w:hAnsi="Times New Roman" w:cs="Times New Roman"/>
          <w:i/>
          <w:sz w:val="24"/>
          <w:szCs w:val="24"/>
        </w:rPr>
        <w:t xml:space="preserve">signa congruentiae </w:t>
      </w:r>
      <w:r w:rsidRPr="002B630E">
        <w:rPr>
          <w:rFonts w:ascii="Times New Roman" w:hAnsi="Times New Roman" w:cs="Times New Roman"/>
          <w:sz w:val="24"/>
          <w:szCs w:val="24"/>
        </w:rPr>
        <w:t xml:space="preserve">operate in </w:t>
      </w:r>
      <w:r w:rsidR="00ED1F3D">
        <w:rPr>
          <w:rFonts w:ascii="Times New Roman" w:hAnsi="Times New Roman" w:cs="Times New Roman"/>
          <w:sz w:val="24"/>
          <w:szCs w:val="24"/>
        </w:rPr>
        <w:t>various</w:t>
      </w:r>
      <w:r w:rsidR="00ED1F3D" w:rsidRPr="002B630E">
        <w:rPr>
          <w:rFonts w:ascii="Times New Roman" w:hAnsi="Times New Roman" w:cs="Times New Roman"/>
          <w:sz w:val="24"/>
          <w:szCs w:val="24"/>
        </w:rPr>
        <w:t xml:space="preserve"> </w:t>
      </w:r>
      <w:r w:rsidRPr="002B630E">
        <w:rPr>
          <w:rFonts w:ascii="Times New Roman" w:hAnsi="Times New Roman" w:cs="Times New Roman"/>
          <w:sz w:val="24"/>
          <w:szCs w:val="24"/>
        </w:rPr>
        <w:t>functional roles</w:t>
      </w:r>
      <w:r w:rsidR="005C675B">
        <w:rPr>
          <w:rFonts w:ascii="Times New Roman" w:hAnsi="Times New Roman" w:cs="Times New Roman"/>
          <w:sz w:val="24"/>
          <w:szCs w:val="24"/>
        </w:rPr>
        <w:t xml:space="preserve"> across Tinctoris’s treatises</w:t>
      </w:r>
      <w:r w:rsidR="00ED1F3D">
        <w:rPr>
          <w:rFonts w:ascii="Times New Roman" w:hAnsi="Times New Roman" w:cs="Times New Roman"/>
          <w:sz w:val="24"/>
          <w:szCs w:val="24"/>
        </w:rPr>
        <w:t>, and operate differently from their usage in practical sources of the period</w:t>
      </w:r>
      <w:r w:rsidRPr="002B630E">
        <w:rPr>
          <w:rFonts w:ascii="Times New Roman" w:hAnsi="Times New Roman" w:cs="Times New Roman"/>
          <w:sz w:val="24"/>
          <w:szCs w:val="24"/>
        </w:rPr>
        <w:t xml:space="preserve">. </w:t>
      </w:r>
      <w:r w:rsidR="00F34955" w:rsidRPr="002B630E">
        <w:rPr>
          <w:rFonts w:ascii="Times New Roman" w:hAnsi="Times New Roman" w:cs="Times New Roman"/>
          <w:sz w:val="24"/>
          <w:szCs w:val="24"/>
        </w:rPr>
        <w:t xml:space="preserve">The </w:t>
      </w:r>
      <w:r w:rsidR="00051F7F" w:rsidRPr="002B630E">
        <w:rPr>
          <w:rFonts w:ascii="Times New Roman" w:hAnsi="Times New Roman" w:cs="Times New Roman"/>
          <w:sz w:val="24"/>
          <w:szCs w:val="24"/>
        </w:rPr>
        <w:t xml:space="preserve">use of the </w:t>
      </w:r>
      <w:r w:rsidR="00F34955" w:rsidRPr="002B630E">
        <w:rPr>
          <w:rFonts w:ascii="Times New Roman" w:hAnsi="Times New Roman" w:cs="Times New Roman"/>
          <w:sz w:val="24"/>
          <w:szCs w:val="24"/>
        </w:rPr>
        <w:t xml:space="preserve">term </w:t>
      </w:r>
      <w:r w:rsidR="00F34955" w:rsidRPr="002B630E">
        <w:rPr>
          <w:rFonts w:ascii="Times New Roman" w:hAnsi="Times New Roman" w:cs="Times New Roman"/>
          <w:i/>
          <w:sz w:val="24"/>
          <w:szCs w:val="24"/>
        </w:rPr>
        <w:t>signa congruentiae</w:t>
      </w:r>
      <w:r w:rsidR="00F34955" w:rsidRPr="002B630E">
        <w:rPr>
          <w:rFonts w:ascii="Times New Roman" w:hAnsi="Times New Roman" w:cs="Times New Roman"/>
          <w:sz w:val="24"/>
          <w:szCs w:val="24"/>
        </w:rPr>
        <w:t xml:space="preserve"> itself is problematic</w:t>
      </w:r>
      <w:r w:rsidR="00051F7F" w:rsidRPr="002B630E">
        <w:rPr>
          <w:rFonts w:ascii="Times New Roman" w:hAnsi="Times New Roman" w:cs="Times New Roman"/>
          <w:sz w:val="24"/>
          <w:szCs w:val="24"/>
        </w:rPr>
        <w:t xml:space="preserve"> due to its </w:t>
      </w:r>
      <w:r w:rsidR="00051F7F" w:rsidRPr="002B630E">
        <w:rPr>
          <w:rFonts w:ascii="Times New Roman" w:hAnsi="Times New Roman" w:cs="Times New Roman"/>
          <w:sz w:val="24"/>
          <w:szCs w:val="24"/>
        </w:rPr>
        <w:lastRenderedPageBreak/>
        <w:t>limited presence in contemporaneous texts,</w:t>
      </w:r>
      <w:r w:rsidR="00F34955" w:rsidRPr="002B630E">
        <w:rPr>
          <w:rFonts w:ascii="Times New Roman" w:hAnsi="Times New Roman" w:cs="Times New Roman"/>
          <w:sz w:val="24"/>
          <w:szCs w:val="24"/>
        </w:rPr>
        <w:t xml:space="preserve"> and requires some re-examination in its own right</w:t>
      </w:r>
      <w:r w:rsidRPr="002B630E">
        <w:rPr>
          <w:rFonts w:ascii="Times New Roman" w:hAnsi="Times New Roman" w:cs="Times New Roman"/>
          <w:sz w:val="24"/>
          <w:szCs w:val="24"/>
        </w:rPr>
        <w:t xml:space="preserve">. </w:t>
      </w:r>
      <w:r w:rsidR="005C675B">
        <w:rPr>
          <w:rFonts w:ascii="Times New Roman" w:hAnsi="Times New Roman" w:cs="Times New Roman"/>
          <w:sz w:val="24"/>
          <w:szCs w:val="24"/>
        </w:rPr>
        <w:t xml:space="preserve">Using such terminology is </w:t>
      </w:r>
      <w:r w:rsidR="00ED1F3D">
        <w:rPr>
          <w:rFonts w:ascii="Times New Roman" w:hAnsi="Times New Roman" w:cs="Times New Roman"/>
          <w:sz w:val="24"/>
          <w:szCs w:val="24"/>
        </w:rPr>
        <w:t>overly reductive</w:t>
      </w:r>
      <w:r w:rsidR="005C675B">
        <w:rPr>
          <w:rFonts w:ascii="Times New Roman" w:hAnsi="Times New Roman" w:cs="Times New Roman"/>
          <w:sz w:val="24"/>
          <w:szCs w:val="24"/>
        </w:rPr>
        <w:t xml:space="preserve"> given its wide range of applications in theoretical and practical sources, and thus </w:t>
      </w:r>
      <w:r w:rsidRPr="002B630E">
        <w:rPr>
          <w:rFonts w:ascii="Times New Roman" w:hAnsi="Times New Roman" w:cs="Times New Roman"/>
          <w:sz w:val="24"/>
          <w:szCs w:val="24"/>
        </w:rPr>
        <w:t xml:space="preserve">it is important that modern musicological scholarship recasts </w:t>
      </w:r>
      <w:r w:rsidR="00F34955" w:rsidRPr="002B630E">
        <w:rPr>
          <w:rFonts w:ascii="Times New Roman" w:hAnsi="Times New Roman" w:cs="Times New Roman"/>
          <w:sz w:val="24"/>
          <w:szCs w:val="24"/>
        </w:rPr>
        <w:t xml:space="preserve">this symbol as something of a movable feast rather than a marker of specific prescription. The need for a more nuanced reading of such signs is clear from their usage as ‘asterisk’-like marking across some of Tinctoris’s treatises. </w:t>
      </w:r>
      <w:r w:rsidR="004C1B02" w:rsidRPr="002B630E">
        <w:rPr>
          <w:rFonts w:ascii="Times New Roman" w:hAnsi="Times New Roman" w:cs="Times New Roman"/>
          <w:sz w:val="24"/>
          <w:szCs w:val="24"/>
        </w:rPr>
        <w:t xml:space="preserve">In </w:t>
      </w:r>
      <w:r w:rsidR="004C1B02" w:rsidRPr="002B630E">
        <w:rPr>
          <w:rFonts w:ascii="Times New Roman" w:hAnsi="Times New Roman" w:cs="Times New Roman"/>
          <w:b/>
          <w:sz w:val="24"/>
          <w:szCs w:val="24"/>
        </w:rPr>
        <w:t xml:space="preserve">V </w:t>
      </w:r>
      <w:r w:rsidR="004C1B02" w:rsidRPr="002B630E">
        <w:rPr>
          <w:rFonts w:ascii="Times New Roman" w:hAnsi="Times New Roman" w:cs="Times New Roman"/>
          <w:sz w:val="24"/>
          <w:szCs w:val="24"/>
        </w:rPr>
        <w:t xml:space="preserve">and </w:t>
      </w:r>
      <w:r w:rsidR="004C1B02" w:rsidRPr="002B630E">
        <w:rPr>
          <w:rFonts w:ascii="Times New Roman" w:hAnsi="Times New Roman" w:cs="Times New Roman"/>
          <w:b/>
          <w:sz w:val="24"/>
          <w:szCs w:val="24"/>
        </w:rPr>
        <w:t>B</w:t>
      </w:r>
      <w:r w:rsidR="00125B10" w:rsidRPr="002B630E">
        <w:rPr>
          <w:rFonts w:ascii="Times New Roman" w:hAnsi="Times New Roman" w:cs="Times New Roman"/>
          <w:b/>
          <w:sz w:val="24"/>
          <w:szCs w:val="24"/>
        </w:rPr>
        <w:t>U</w:t>
      </w:r>
      <w:r w:rsidR="004C1B02" w:rsidRPr="002B630E">
        <w:rPr>
          <w:rFonts w:ascii="Times New Roman" w:hAnsi="Times New Roman" w:cs="Times New Roman"/>
          <w:sz w:val="24"/>
          <w:szCs w:val="24"/>
        </w:rPr>
        <w:t xml:space="preserve"> </w:t>
      </w:r>
      <w:r w:rsidR="00F34955" w:rsidRPr="002B630E">
        <w:rPr>
          <w:rFonts w:ascii="Times New Roman" w:hAnsi="Times New Roman" w:cs="Times New Roman"/>
          <w:sz w:val="24"/>
          <w:szCs w:val="24"/>
        </w:rPr>
        <w:t xml:space="preserve">these signs can act as visual marks to draw attention to a specific theoretical point as manifested in the musical notation that exemplifies general theoretical rules. </w:t>
      </w:r>
      <w:r w:rsidR="005A37E5">
        <w:rPr>
          <w:rFonts w:ascii="Times New Roman" w:hAnsi="Times New Roman" w:cs="Times New Roman"/>
          <w:sz w:val="24"/>
          <w:szCs w:val="24"/>
        </w:rPr>
        <w:t xml:space="preserve">This would have supported visual comprehension, perhaps even facilitating the silent reading of these musical miniatures, and demonstrate that some consideration was given </w:t>
      </w:r>
      <w:r w:rsidR="00C508B9">
        <w:rPr>
          <w:rFonts w:ascii="Times New Roman" w:hAnsi="Times New Roman" w:cs="Times New Roman"/>
          <w:sz w:val="24"/>
          <w:szCs w:val="24"/>
        </w:rPr>
        <w:t xml:space="preserve">in the production process of </w:t>
      </w:r>
      <w:r w:rsidR="00C508B9">
        <w:rPr>
          <w:rFonts w:ascii="Times New Roman" w:hAnsi="Times New Roman" w:cs="Times New Roman"/>
          <w:b/>
          <w:sz w:val="24"/>
          <w:szCs w:val="24"/>
        </w:rPr>
        <w:t xml:space="preserve">V </w:t>
      </w:r>
      <w:r w:rsidR="00C508B9">
        <w:rPr>
          <w:rFonts w:ascii="Times New Roman" w:hAnsi="Times New Roman" w:cs="Times New Roman"/>
          <w:sz w:val="24"/>
          <w:szCs w:val="24"/>
        </w:rPr>
        <w:t xml:space="preserve">and </w:t>
      </w:r>
      <w:r w:rsidR="00C508B9">
        <w:rPr>
          <w:rFonts w:ascii="Times New Roman" w:hAnsi="Times New Roman" w:cs="Times New Roman"/>
          <w:b/>
          <w:sz w:val="24"/>
          <w:szCs w:val="24"/>
        </w:rPr>
        <w:t xml:space="preserve">BU </w:t>
      </w:r>
      <w:r w:rsidR="005A37E5">
        <w:rPr>
          <w:rFonts w:ascii="Times New Roman" w:hAnsi="Times New Roman" w:cs="Times New Roman"/>
          <w:sz w:val="24"/>
          <w:szCs w:val="24"/>
        </w:rPr>
        <w:t xml:space="preserve">to </w:t>
      </w:r>
      <w:r w:rsidR="00C508B9">
        <w:rPr>
          <w:rFonts w:ascii="Times New Roman" w:hAnsi="Times New Roman" w:cs="Times New Roman"/>
          <w:sz w:val="24"/>
          <w:szCs w:val="24"/>
        </w:rPr>
        <w:t xml:space="preserve">provide </w:t>
      </w:r>
      <w:r w:rsidR="005A37E5">
        <w:rPr>
          <w:rFonts w:ascii="Times New Roman" w:hAnsi="Times New Roman" w:cs="Times New Roman"/>
          <w:sz w:val="24"/>
          <w:szCs w:val="24"/>
        </w:rPr>
        <w:t>additional support for readers</w:t>
      </w:r>
      <w:r w:rsidR="005A37E5" w:rsidRPr="005A37E5">
        <w:rPr>
          <w:rFonts w:ascii="Times New Roman" w:hAnsi="Times New Roman" w:cs="Times New Roman"/>
          <w:sz w:val="24"/>
          <w:szCs w:val="24"/>
        </w:rPr>
        <w:t>.</w:t>
      </w:r>
      <w:r w:rsidR="004C1B02" w:rsidRPr="002B630E">
        <w:rPr>
          <w:rFonts w:ascii="Times New Roman" w:hAnsi="Times New Roman" w:cs="Times New Roman"/>
          <w:b/>
          <w:sz w:val="24"/>
          <w:szCs w:val="24"/>
        </w:rPr>
        <w:t xml:space="preserve"> </w:t>
      </w:r>
      <w:r w:rsidR="00051F7F" w:rsidRPr="002B630E">
        <w:rPr>
          <w:rFonts w:ascii="Times New Roman" w:hAnsi="Times New Roman" w:cs="Times New Roman"/>
          <w:sz w:val="24"/>
          <w:szCs w:val="24"/>
        </w:rPr>
        <w:t xml:space="preserve">Similarly, a careful reading of the </w:t>
      </w:r>
      <w:r w:rsidR="00051F7F" w:rsidRPr="002B630E">
        <w:rPr>
          <w:rFonts w:ascii="Times New Roman" w:hAnsi="Times New Roman" w:cs="Times New Roman"/>
          <w:i/>
          <w:sz w:val="24"/>
          <w:szCs w:val="24"/>
        </w:rPr>
        <w:t xml:space="preserve">signa </w:t>
      </w:r>
      <w:r w:rsidR="00051F7F" w:rsidRPr="002B630E">
        <w:rPr>
          <w:rFonts w:ascii="Times New Roman" w:hAnsi="Times New Roman" w:cs="Times New Roman"/>
          <w:sz w:val="24"/>
          <w:szCs w:val="24"/>
        </w:rPr>
        <w:t xml:space="preserve">in </w:t>
      </w:r>
      <w:r w:rsidR="00051F7F" w:rsidRPr="002B630E">
        <w:rPr>
          <w:rFonts w:ascii="Times New Roman" w:hAnsi="Times New Roman" w:cs="Times New Roman"/>
          <w:b/>
          <w:sz w:val="24"/>
          <w:szCs w:val="24"/>
        </w:rPr>
        <w:t xml:space="preserve">Br1 </w:t>
      </w:r>
      <w:r w:rsidR="00051F7F" w:rsidRPr="002B630E">
        <w:rPr>
          <w:rFonts w:ascii="Times New Roman" w:hAnsi="Times New Roman" w:cs="Times New Roman"/>
          <w:sz w:val="24"/>
          <w:szCs w:val="24"/>
        </w:rPr>
        <w:t xml:space="preserve">might reveal similarly interesting insights into </w:t>
      </w:r>
      <w:r w:rsidR="008530FE">
        <w:rPr>
          <w:rFonts w:ascii="Times New Roman" w:hAnsi="Times New Roman" w:cs="Times New Roman"/>
          <w:sz w:val="24"/>
          <w:szCs w:val="24"/>
        </w:rPr>
        <w:t>the stage at which these symbols were entered into musical examples, and the extent to which these were deemed to be necessary to access Tinctoris’s theoretical points.</w:t>
      </w:r>
      <w:r w:rsidR="005C675B">
        <w:rPr>
          <w:rFonts w:ascii="Times New Roman" w:hAnsi="Times New Roman" w:cs="Times New Roman"/>
          <w:sz w:val="24"/>
          <w:szCs w:val="24"/>
        </w:rPr>
        <w:t xml:space="preserve"> </w:t>
      </w:r>
      <w:r w:rsidR="00C508B9">
        <w:rPr>
          <w:rFonts w:ascii="Times New Roman" w:hAnsi="Times New Roman" w:cs="Times New Roman"/>
          <w:sz w:val="24"/>
          <w:szCs w:val="24"/>
        </w:rPr>
        <w:t>Think</w:t>
      </w:r>
      <w:r w:rsidR="00FF2E21">
        <w:rPr>
          <w:rFonts w:ascii="Times New Roman" w:hAnsi="Times New Roman" w:cs="Times New Roman"/>
          <w:sz w:val="24"/>
          <w:szCs w:val="24"/>
        </w:rPr>
        <w:t>ing</w:t>
      </w:r>
      <w:r w:rsidR="00C508B9">
        <w:rPr>
          <w:rFonts w:ascii="Times New Roman" w:hAnsi="Times New Roman" w:cs="Times New Roman"/>
          <w:sz w:val="24"/>
          <w:szCs w:val="24"/>
        </w:rPr>
        <w:t xml:space="preserve"> more broadly, a c</w:t>
      </w:r>
      <w:r w:rsidR="005C675B">
        <w:rPr>
          <w:rFonts w:ascii="Times New Roman" w:hAnsi="Times New Roman" w:cs="Times New Roman"/>
          <w:sz w:val="24"/>
          <w:szCs w:val="24"/>
        </w:rPr>
        <w:t>areful reconsideration of the function of these signs draws attention to important questions around the</w:t>
      </w:r>
      <w:r w:rsidR="005A37E5">
        <w:rPr>
          <w:rFonts w:ascii="Times New Roman" w:hAnsi="Times New Roman" w:cs="Times New Roman"/>
          <w:sz w:val="24"/>
          <w:szCs w:val="24"/>
        </w:rPr>
        <w:t xml:space="preserve"> reading modalities for music theory,</w:t>
      </w:r>
      <w:r w:rsidR="005C675B">
        <w:rPr>
          <w:rFonts w:ascii="Times New Roman" w:hAnsi="Times New Roman" w:cs="Times New Roman"/>
          <w:sz w:val="24"/>
          <w:szCs w:val="24"/>
        </w:rPr>
        <w:t xml:space="preserve"> readerships for </w:t>
      </w:r>
      <w:r w:rsidR="005A37E5">
        <w:rPr>
          <w:rFonts w:ascii="Times New Roman" w:hAnsi="Times New Roman" w:cs="Times New Roman"/>
          <w:sz w:val="24"/>
          <w:szCs w:val="24"/>
        </w:rPr>
        <w:t>these texts</w:t>
      </w:r>
      <w:r w:rsidR="005C675B">
        <w:rPr>
          <w:rFonts w:ascii="Times New Roman" w:hAnsi="Times New Roman" w:cs="Times New Roman"/>
          <w:sz w:val="24"/>
          <w:szCs w:val="24"/>
        </w:rPr>
        <w:t xml:space="preserve">, and the conceptual function of visual signifiers across this period. </w:t>
      </w:r>
      <w:r w:rsidR="0000334A">
        <w:rPr>
          <w:rFonts w:ascii="Times New Roman" w:hAnsi="Times New Roman" w:cs="Times New Roman"/>
          <w:sz w:val="24"/>
          <w:szCs w:val="24"/>
        </w:rPr>
        <w:t xml:space="preserve">We must therefore </w:t>
      </w:r>
      <w:r w:rsidR="00C508B9">
        <w:rPr>
          <w:rFonts w:ascii="Times New Roman" w:hAnsi="Times New Roman" w:cs="Times New Roman"/>
          <w:sz w:val="24"/>
          <w:szCs w:val="24"/>
        </w:rPr>
        <w:t xml:space="preserve">be mindul of using </w:t>
      </w:r>
      <w:r w:rsidR="0000334A">
        <w:rPr>
          <w:rFonts w:ascii="Times New Roman" w:hAnsi="Times New Roman" w:cs="Times New Roman"/>
          <w:i/>
          <w:sz w:val="24"/>
          <w:szCs w:val="24"/>
        </w:rPr>
        <w:t>signum congruentiae</w:t>
      </w:r>
      <w:r w:rsidR="0000334A">
        <w:rPr>
          <w:rFonts w:ascii="Times New Roman" w:hAnsi="Times New Roman" w:cs="Times New Roman"/>
          <w:sz w:val="24"/>
          <w:szCs w:val="24"/>
        </w:rPr>
        <w:t xml:space="preserve"> as </w:t>
      </w:r>
      <w:r w:rsidR="00C508B9">
        <w:rPr>
          <w:rFonts w:ascii="Times New Roman" w:hAnsi="Times New Roman" w:cs="Times New Roman"/>
          <w:sz w:val="24"/>
          <w:szCs w:val="24"/>
        </w:rPr>
        <w:t xml:space="preserve">a catch-all label </w:t>
      </w:r>
      <w:r w:rsidR="0000334A">
        <w:rPr>
          <w:rFonts w:ascii="Times New Roman" w:hAnsi="Times New Roman" w:cs="Times New Roman"/>
          <w:sz w:val="24"/>
          <w:szCs w:val="24"/>
        </w:rPr>
        <w:t>that has somewhat limited support from contemporaneous sources</w:t>
      </w:r>
      <w:r w:rsidR="00C508B9">
        <w:rPr>
          <w:rFonts w:ascii="Times New Roman" w:hAnsi="Times New Roman" w:cs="Times New Roman"/>
          <w:sz w:val="24"/>
          <w:szCs w:val="24"/>
        </w:rPr>
        <w:t>. Instead, we should</w:t>
      </w:r>
      <w:r w:rsidR="0000334A">
        <w:rPr>
          <w:rFonts w:ascii="Times New Roman" w:hAnsi="Times New Roman" w:cs="Times New Roman"/>
          <w:sz w:val="24"/>
          <w:szCs w:val="24"/>
        </w:rPr>
        <w:t xml:space="preserve"> seek to account for the subtlties of these notational signs</w:t>
      </w:r>
      <w:r w:rsidR="005A37E5">
        <w:rPr>
          <w:rFonts w:ascii="Times New Roman" w:hAnsi="Times New Roman" w:cs="Times New Roman"/>
          <w:sz w:val="24"/>
          <w:szCs w:val="24"/>
        </w:rPr>
        <w:t xml:space="preserve"> in a more nuanced manner</w:t>
      </w:r>
      <w:r w:rsidR="00C508B9">
        <w:rPr>
          <w:rFonts w:ascii="Times New Roman" w:hAnsi="Times New Roman" w:cs="Times New Roman"/>
          <w:sz w:val="24"/>
          <w:szCs w:val="24"/>
        </w:rPr>
        <w:t xml:space="preserve">, and celebrate the multiplicity of meanings </w:t>
      </w:r>
      <w:r w:rsidR="00F719CD">
        <w:rPr>
          <w:rFonts w:ascii="Times New Roman" w:hAnsi="Times New Roman" w:cs="Times New Roman"/>
          <w:sz w:val="24"/>
          <w:szCs w:val="24"/>
        </w:rPr>
        <w:t xml:space="preserve">afforded to a single symbol. </w:t>
      </w:r>
    </w:p>
    <w:p w14:paraId="0B9A41A4" w14:textId="0F97A8C8" w:rsidR="00A11AAA" w:rsidRPr="00B95FCD" w:rsidRDefault="00A11AAA" w:rsidP="00B95FCD">
      <w:pPr>
        <w:spacing w:line="480" w:lineRule="auto"/>
        <w:rPr>
          <w:rFonts w:ascii="Times New Roman" w:hAnsi="Times New Roman" w:cs="Times New Roman"/>
          <w:sz w:val="24"/>
          <w:szCs w:val="24"/>
        </w:rPr>
      </w:pPr>
    </w:p>
    <w:sectPr w:rsidR="00A11AAA" w:rsidRPr="00B95FCD" w:rsidSect="00F90990">
      <w:footerReference w:type="even"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72822" w14:textId="77777777" w:rsidR="00427143" w:rsidRDefault="00427143" w:rsidP="00F90990">
      <w:pPr>
        <w:spacing w:after="0" w:line="240" w:lineRule="auto"/>
      </w:pPr>
      <w:r>
        <w:separator/>
      </w:r>
    </w:p>
  </w:endnote>
  <w:endnote w:type="continuationSeparator" w:id="0">
    <w:p w14:paraId="2F93583E" w14:textId="77777777" w:rsidR="00427143" w:rsidRDefault="00427143" w:rsidP="00F9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EB60" w14:textId="77777777" w:rsidR="00E03A60" w:rsidRDefault="00E03A60" w:rsidP="00070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40FBD5" w14:textId="77777777" w:rsidR="00E03A60" w:rsidRDefault="00E03A60" w:rsidP="000700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C8C5" w14:textId="39B37639" w:rsidR="00E03A60" w:rsidRPr="008B37A3" w:rsidRDefault="00E03A60" w:rsidP="00070014">
    <w:pPr>
      <w:pStyle w:val="Footer"/>
      <w:framePr w:wrap="around" w:vAnchor="text" w:hAnchor="margin" w:xAlign="right" w:y="1"/>
      <w:rPr>
        <w:rStyle w:val="PageNumber"/>
        <w:rFonts w:ascii="Times New Roman" w:hAnsi="Times New Roman" w:cs="Times New Roman"/>
        <w:sz w:val="18"/>
      </w:rPr>
    </w:pPr>
    <w:r w:rsidRPr="008B37A3">
      <w:rPr>
        <w:rStyle w:val="PageNumber"/>
        <w:rFonts w:ascii="Times New Roman" w:hAnsi="Times New Roman" w:cs="Times New Roman"/>
        <w:sz w:val="18"/>
      </w:rPr>
      <w:fldChar w:fldCharType="begin"/>
    </w:r>
    <w:r w:rsidRPr="008B37A3">
      <w:rPr>
        <w:rStyle w:val="PageNumber"/>
        <w:rFonts w:ascii="Times New Roman" w:hAnsi="Times New Roman" w:cs="Times New Roman"/>
        <w:sz w:val="18"/>
      </w:rPr>
      <w:instrText xml:space="preserve">PAGE  </w:instrText>
    </w:r>
    <w:r w:rsidRPr="008B37A3">
      <w:rPr>
        <w:rStyle w:val="PageNumber"/>
        <w:rFonts w:ascii="Times New Roman" w:hAnsi="Times New Roman" w:cs="Times New Roman"/>
        <w:sz w:val="18"/>
      </w:rPr>
      <w:fldChar w:fldCharType="separate"/>
    </w:r>
    <w:r w:rsidR="00BA2953">
      <w:rPr>
        <w:rStyle w:val="PageNumber"/>
        <w:rFonts w:ascii="Times New Roman" w:hAnsi="Times New Roman" w:cs="Times New Roman"/>
        <w:noProof/>
        <w:sz w:val="18"/>
      </w:rPr>
      <w:t>1</w:t>
    </w:r>
    <w:r w:rsidRPr="008B37A3">
      <w:rPr>
        <w:rStyle w:val="PageNumber"/>
        <w:rFonts w:ascii="Times New Roman" w:hAnsi="Times New Roman" w:cs="Times New Roman"/>
        <w:sz w:val="18"/>
      </w:rPr>
      <w:fldChar w:fldCharType="end"/>
    </w:r>
  </w:p>
  <w:p w14:paraId="5E45D5BE" w14:textId="77777777" w:rsidR="00E03A60" w:rsidRDefault="00E03A60" w:rsidP="000700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5289C" w14:textId="77777777" w:rsidR="00427143" w:rsidRDefault="00427143" w:rsidP="00F90990">
      <w:pPr>
        <w:spacing w:after="0" w:line="240" w:lineRule="auto"/>
      </w:pPr>
      <w:r>
        <w:separator/>
      </w:r>
    </w:p>
  </w:footnote>
  <w:footnote w:type="continuationSeparator" w:id="0">
    <w:p w14:paraId="1E5FB155" w14:textId="77777777" w:rsidR="00427143" w:rsidRDefault="00427143" w:rsidP="00F90990">
      <w:pPr>
        <w:spacing w:after="0" w:line="240" w:lineRule="auto"/>
      </w:pPr>
      <w:r>
        <w:continuationSeparator/>
      </w:r>
    </w:p>
  </w:footnote>
  <w:footnote w:id="1">
    <w:p w14:paraId="734E1FBF" w14:textId="3E7220AF" w:rsidR="00E03A60" w:rsidRPr="00B95FCD" w:rsidRDefault="00E03A60" w:rsidP="003B4139">
      <w:pPr>
        <w:pStyle w:val="FootnoteText"/>
        <w:spacing w:line="480" w:lineRule="auto"/>
        <w:rPr>
          <w:rFonts w:ascii="Times New Roman" w:hAnsi="Times New Roman" w:cs="Times New Roman"/>
        </w:rPr>
      </w:pPr>
      <w:r w:rsidRPr="003B4139">
        <w:rPr>
          <w:rFonts w:ascii="Times New Roman" w:hAnsi="Times New Roman" w:cs="Times New Roman"/>
        </w:rPr>
        <w:t>* I am grateful to Ronald Woodley</w:t>
      </w:r>
      <w:r>
        <w:rPr>
          <w:rFonts w:ascii="Times New Roman" w:hAnsi="Times New Roman" w:cs="Times New Roman"/>
        </w:rPr>
        <w:t>,</w:t>
      </w:r>
      <w:r w:rsidRPr="003B4139">
        <w:rPr>
          <w:rFonts w:ascii="Times New Roman" w:hAnsi="Times New Roman" w:cs="Times New Roman"/>
        </w:rPr>
        <w:t xml:space="preserve"> Jeffrey Dean, and James Cook for their useful comments on very early drafts of this project, and for questions received at the 2014 Medieval and Renaissance Music Conference. Special thanks also go to Tim Shephard for his perceptive insights that brought certain parts of this article into sharper focus. I also wish to thank the anonymous reader of this article for their constructive suggestions.</w:t>
      </w:r>
    </w:p>
    <w:p w14:paraId="6F56E25F" w14:textId="35F15F08" w:rsidR="00E03A60" w:rsidRPr="003B4139" w:rsidRDefault="00E03A60" w:rsidP="003B4139">
      <w:pPr>
        <w:pStyle w:val="FootnoteText"/>
        <w:spacing w:line="480" w:lineRule="auto"/>
        <w:rPr>
          <w:rFonts w:ascii="Times New Roman" w:hAnsi="Times New Roman" w:cs="Times New Roman"/>
        </w:rPr>
      </w:pPr>
      <w:r w:rsidRPr="003B4139">
        <w:rPr>
          <w:rStyle w:val="FootnoteReference"/>
          <w:rFonts w:ascii="Times New Roman" w:hAnsi="Times New Roman" w:cs="Times New Roman"/>
        </w:rPr>
        <w:footnoteRef/>
      </w:r>
      <w:r w:rsidRPr="003B4139">
        <w:rPr>
          <w:rFonts w:ascii="Times New Roman" w:hAnsi="Times New Roman" w:cs="Times New Roman"/>
        </w:rPr>
        <w:t xml:space="preserve"> For a</w:t>
      </w:r>
      <w:r>
        <w:rPr>
          <w:rFonts w:ascii="Times New Roman" w:hAnsi="Times New Roman" w:cs="Times New Roman"/>
        </w:rPr>
        <w:t xml:space="preserve"> modern</w:t>
      </w:r>
      <w:r w:rsidRPr="003B4139">
        <w:rPr>
          <w:rFonts w:ascii="Times New Roman" w:hAnsi="Times New Roman" w:cs="Times New Roman"/>
        </w:rPr>
        <w:t xml:space="preserve"> </w:t>
      </w:r>
      <w:r>
        <w:rPr>
          <w:rFonts w:ascii="Times New Roman" w:hAnsi="Times New Roman" w:cs="Times New Roman"/>
        </w:rPr>
        <w:t xml:space="preserve">high-resolution </w:t>
      </w:r>
      <w:r w:rsidRPr="003B4139">
        <w:rPr>
          <w:rFonts w:ascii="Times New Roman" w:hAnsi="Times New Roman" w:cs="Times New Roman"/>
        </w:rPr>
        <w:t xml:space="preserve">facsimile see,  </w:t>
      </w:r>
      <w:hyperlink r:id="rId1" w:anchor="v=d&amp;z=2&amp;n=5&amp;i=https%3A%2F%2Fwww.diamm.ac.uk%2Fimages%2F26274%2F&amp;y=349&amp;x=513" w:history="1">
        <w:r w:rsidRPr="003B4139">
          <w:rPr>
            <w:rStyle w:val="Hyperlink"/>
            <w:rFonts w:ascii="Times New Roman" w:hAnsi="Times New Roman" w:cs="Times New Roman"/>
          </w:rPr>
          <w:t>https://www.diamm.ac.uk/sources/716/#v=d&amp;z=2&amp;n=5&amp;i=https%3A%2F%2Fwww.diamm.ac.uk%2Fimages%2F26274%2F&amp;y=349&amp;x=513</w:t>
        </w:r>
      </w:hyperlink>
      <w:r w:rsidRPr="003B4139">
        <w:rPr>
          <w:rFonts w:ascii="Times New Roman" w:hAnsi="Times New Roman" w:cs="Times New Roman"/>
        </w:rPr>
        <w:t xml:space="preserve"> (accessed 20 December 2018).</w:t>
      </w:r>
      <w:r>
        <w:rPr>
          <w:rFonts w:ascii="Times New Roman" w:hAnsi="Times New Roman" w:cs="Times New Roman"/>
        </w:rPr>
        <w:t xml:space="preserve"> </w:t>
      </w:r>
      <w:r w:rsidRPr="009E5964">
        <w:rPr>
          <w:rFonts w:ascii="Times New Roman" w:hAnsi="Times New Roman" w:cs="Times New Roman"/>
        </w:rPr>
        <w:t>This source is dated in the Oxford Summary Catalogue to between 1426 and 1436, and thus represents a distinctly earlier tradition than Tinctoris’s late-fifteenth-century discussions of theory.</w:t>
      </w:r>
    </w:p>
  </w:footnote>
  <w:footnote w:id="2">
    <w:p w14:paraId="50748063" w14:textId="07FF2FBC" w:rsidR="00E03A60" w:rsidRPr="003B4139" w:rsidRDefault="00E03A60" w:rsidP="003B4139">
      <w:pPr>
        <w:pStyle w:val="FootnoteText"/>
        <w:spacing w:line="480" w:lineRule="auto"/>
        <w:rPr>
          <w:rFonts w:ascii="Times New Roman" w:hAnsi="Times New Roman" w:cs="Times New Roman"/>
        </w:rPr>
      </w:pPr>
      <w:r w:rsidRPr="006F4EFD">
        <w:rPr>
          <w:rStyle w:val="FootnoteReference"/>
          <w:rFonts w:ascii="Times New Roman" w:hAnsi="Times New Roman" w:cs="Times New Roman"/>
        </w:rPr>
        <w:footnoteRef/>
      </w:r>
      <w:r w:rsidRPr="006F4EFD">
        <w:rPr>
          <w:rFonts w:ascii="Times New Roman" w:hAnsi="Times New Roman" w:cs="Times New Roman"/>
        </w:rPr>
        <w:t xml:space="preserve"> See L. Perkins</w:t>
      </w:r>
      <w:r w:rsidRPr="003B4139">
        <w:rPr>
          <w:rFonts w:ascii="Times New Roman" w:hAnsi="Times New Roman" w:cs="Times New Roman"/>
        </w:rPr>
        <w:t xml:space="preserve"> and H. Garey, </w:t>
      </w:r>
      <w:r w:rsidRPr="003B4139">
        <w:rPr>
          <w:rFonts w:ascii="Times New Roman" w:hAnsi="Times New Roman" w:cs="Times New Roman"/>
          <w:i/>
        </w:rPr>
        <w:t>The Mellon Chansonnier</w:t>
      </w:r>
      <w:r w:rsidRPr="003B4139">
        <w:rPr>
          <w:rFonts w:ascii="Times New Roman" w:hAnsi="Times New Roman" w:cs="Times New Roman"/>
        </w:rPr>
        <w:t xml:space="preserve"> (New Haven: Yale University Press, 1979). It is possible that Tinctoris was the Mellon scribe, though this seems far less likely than the notion of his having a hand in the compilation. On the acrostic that points towards this, see Ronald Woodley, ‘Minor Coloration Revisited: Okeghem’s Ma bouche rit and Beyond’, Théorie et analyse musicales 1450–1650. Music Theory and Analysis. Actes du colloque international Louvain-la-Neuve, 23–25 septembre 1999, ed. Anne-Emmanuelle Ceulemans and Bonnie J. Blackburn (Musicologica Neolovaniensia: Studia 9; Louvain-la-Neuve, 2001), pp. 39–63, esp. p. 56.</w:t>
      </w:r>
    </w:p>
  </w:footnote>
  <w:footnote w:id="3">
    <w:p w14:paraId="7B3808FA" w14:textId="284073F9" w:rsidR="00E03A60" w:rsidRDefault="00E03A60" w:rsidP="003B4139">
      <w:pPr>
        <w:pStyle w:val="FootnoteText"/>
        <w:spacing w:line="480" w:lineRule="auto"/>
      </w:pPr>
      <w:r w:rsidRPr="003B4139">
        <w:rPr>
          <w:rStyle w:val="FootnoteReference"/>
          <w:rFonts w:ascii="Times New Roman" w:hAnsi="Times New Roman" w:cs="Times New Roman"/>
        </w:rPr>
        <w:footnoteRef/>
      </w:r>
      <w:r w:rsidRPr="003B4139">
        <w:rPr>
          <w:rFonts w:ascii="Times New Roman" w:hAnsi="Times New Roman" w:cs="Times New Roman"/>
        </w:rPr>
        <w:t xml:space="preserve"> See note </w:t>
      </w:r>
      <w:r w:rsidRPr="003B4139">
        <w:rPr>
          <w:rFonts w:ascii="Times New Roman" w:hAnsi="Times New Roman" w:cs="Times New Roman"/>
        </w:rPr>
        <w:fldChar w:fldCharType="begin"/>
      </w:r>
      <w:r w:rsidRPr="003B4139">
        <w:rPr>
          <w:rFonts w:ascii="Times New Roman" w:hAnsi="Times New Roman" w:cs="Times New Roman"/>
        </w:rPr>
        <w:instrText xml:space="preserve"> NOTEREF _Ref534298870 \h </w:instrText>
      </w:r>
      <w:r>
        <w:rPr>
          <w:rFonts w:ascii="Times New Roman" w:hAnsi="Times New Roman" w:cs="Times New Roman"/>
        </w:rPr>
        <w:instrText xml:space="preserve"> \* MERGEFORMAT </w:instrText>
      </w:r>
      <w:r w:rsidRPr="003B4139">
        <w:rPr>
          <w:rFonts w:ascii="Times New Roman" w:hAnsi="Times New Roman" w:cs="Times New Roman"/>
        </w:rPr>
      </w:r>
      <w:r w:rsidRPr="003B4139">
        <w:rPr>
          <w:rFonts w:ascii="Times New Roman" w:hAnsi="Times New Roman" w:cs="Times New Roman"/>
        </w:rPr>
        <w:fldChar w:fldCharType="separate"/>
      </w:r>
      <w:r w:rsidRPr="003B4139">
        <w:rPr>
          <w:rFonts w:ascii="Times New Roman" w:hAnsi="Times New Roman" w:cs="Times New Roman"/>
        </w:rPr>
        <w:t>13</w:t>
      </w:r>
      <w:r w:rsidRPr="003B4139">
        <w:rPr>
          <w:rFonts w:ascii="Times New Roman" w:hAnsi="Times New Roman" w:cs="Times New Roman"/>
        </w:rPr>
        <w:fldChar w:fldCharType="end"/>
      </w:r>
      <w:r w:rsidRPr="003B4139">
        <w:rPr>
          <w:rFonts w:ascii="Times New Roman" w:hAnsi="Times New Roman" w:cs="Times New Roman"/>
        </w:rPr>
        <w:t xml:space="preserve"> later in this article.</w:t>
      </w:r>
      <w:r>
        <w:t xml:space="preserve"> </w:t>
      </w:r>
    </w:p>
  </w:footnote>
  <w:footnote w:id="4">
    <w:p w14:paraId="132201E6" w14:textId="715045B4" w:rsidR="00E03A60" w:rsidRPr="003B4139" w:rsidRDefault="00E03A60" w:rsidP="003B4139">
      <w:pPr>
        <w:pStyle w:val="FootnoteText"/>
        <w:spacing w:line="480" w:lineRule="auto"/>
        <w:rPr>
          <w:rFonts w:ascii="Times New Roman" w:hAnsi="Times New Roman" w:cs="Times New Roman"/>
        </w:rPr>
      </w:pPr>
      <w:r w:rsidRPr="003B4139">
        <w:rPr>
          <w:rStyle w:val="FootnoteReference"/>
          <w:rFonts w:ascii="Times New Roman" w:hAnsi="Times New Roman" w:cs="Times New Roman"/>
        </w:rPr>
        <w:footnoteRef/>
      </w:r>
      <w:r w:rsidRPr="003B4139">
        <w:rPr>
          <w:rFonts w:ascii="Times New Roman" w:hAnsi="Times New Roman" w:cs="Times New Roman"/>
        </w:rPr>
        <w:t xml:space="preserve"> See Ruth I. De Ford, </w:t>
      </w:r>
      <w:r w:rsidRPr="003B4139">
        <w:rPr>
          <w:rFonts w:ascii="Times New Roman" w:hAnsi="Times New Roman" w:cs="Times New Roman"/>
          <w:i/>
        </w:rPr>
        <w:t>Tactus, Mensuration and Rhythm in Renaissance Music</w:t>
      </w:r>
      <w:r w:rsidRPr="003B4139">
        <w:rPr>
          <w:rFonts w:ascii="Times New Roman" w:hAnsi="Times New Roman" w:cs="Times New Roman"/>
        </w:rPr>
        <w:t xml:space="preserve"> (Cambridge: Cambridge University Press) pp. 16-18. </w:t>
      </w:r>
    </w:p>
  </w:footnote>
  <w:footnote w:id="5">
    <w:p w14:paraId="0473EF6E" w14:textId="65BBDCFC"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All references to this text are taken from Anonymous XII, </w:t>
      </w:r>
      <w:r w:rsidRPr="00B95FCD">
        <w:rPr>
          <w:rFonts w:ascii="Times New Roman" w:hAnsi="Times New Roman" w:cs="Times New Roman"/>
          <w:i/>
        </w:rPr>
        <w:t>Tractatus et compendium cantus figurati</w:t>
      </w:r>
      <w:r w:rsidRPr="00B95FCD">
        <w:rPr>
          <w:rFonts w:ascii="Times New Roman" w:hAnsi="Times New Roman" w:cs="Times New Roman"/>
        </w:rPr>
        <w:t xml:space="preserve"> (Mss. London, British Libr., Add. 34200; Regensburg, Proskesche Musikbibl., 98 th. 4o), ed. J. M. Palmer, Corpus scriptorum de musica, vol. 35 (American Institute of Musicology; Hänssler Verlag, 1990), pp. 41–93. </w:t>
      </w:r>
    </w:p>
  </w:footnote>
  <w:footnote w:id="6">
    <w:p w14:paraId="59197674" w14:textId="2F1090FD"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Anon. XII, Ch. X, ed. Palmer, CSM 35, p. 64; translation my own. For the full </w:t>
      </w:r>
      <w:r>
        <w:rPr>
          <w:rFonts w:ascii="Times New Roman" w:hAnsi="Times New Roman" w:cs="Times New Roman"/>
        </w:rPr>
        <w:t>text of the chapter see pp. 63–</w:t>
      </w:r>
      <w:r w:rsidRPr="00B95FCD">
        <w:rPr>
          <w:rFonts w:ascii="Times New Roman" w:hAnsi="Times New Roman" w:cs="Times New Roman"/>
        </w:rPr>
        <w:t xml:space="preserve">4. </w:t>
      </w:r>
    </w:p>
  </w:footnote>
  <w:footnote w:id="7">
    <w:p w14:paraId="7C1311B7" w14:textId="24F129B8" w:rsidR="00E03A60" w:rsidRPr="00B95FCD" w:rsidRDefault="00E03A60" w:rsidP="003B4139">
      <w:pPr>
        <w:pStyle w:val="FootnoteText"/>
        <w:spacing w:line="480" w:lineRule="auto"/>
        <w:rPr>
          <w:rFonts w:ascii="Times New Roman" w:hAnsi="Times New Roman" w:cs="Times New Roman"/>
          <w:lang w:val="en-US"/>
        </w:rPr>
      </w:pPr>
      <w:r w:rsidRPr="00B95FCD">
        <w:rPr>
          <w:rStyle w:val="FootnoteReference"/>
          <w:rFonts w:ascii="Times New Roman" w:hAnsi="Times New Roman" w:cs="Times New Roman"/>
        </w:rPr>
        <w:footnoteRef/>
      </w:r>
      <w:r w:rsidRPr="00B95FCD">
        <w:rPr>
          <w:rFonts w:ascii="Times New Roman" w:hAnsi="Times New Roman" w:cs="Times New Roman"/>
        </w:rPr>
        <w:t xml:space="preserve"> This is not to suggest that such points of coincidence do not normally occur at structurally important points, </w:t>
      </w:r>
      <w:r>
        <w:rPr>
          <w:rFonts w:ascii="Times New Roman" w:hAnsi="Times New Roman" w:cs="Times New Roman"/>
        </w:rPr>
        <w:t>rather</w:t>
      </w:r>
      <w:r w:rsidRPr="00B95FCD">
        <w:rPr>
          <w:rFonts w:ascii="Times New Roman" w:hAnsi="Times New Roman" w:cs="Times New Roman"/>
        </w:rPr>
        <w:t xml:space="preserve"> that the understanding of the function of this symbol was perhaps more nuanced than our contemporary label would </w:t>
      </w:r>
      <w:r>
        <w:rPr>
          <w:rFonts w:ascii="Times New Roman" w:hAnsi="Times New Roman" w:cs="Times New Roman"/>
        </w:rPr>
        <w:t>connote</w:t>
      </w:r>
      <w:r w:rsidRPr="00B95FCD">
        <w:rPr>
          <w:rFonts w:ascii="Times New Roman" w:hAnsi="Times New Roman" w:cs="Times New Roman"/>
        </w:rPr>
        <w:t>.</w:t>
      </w:r>
    </w:p>
  </w:footnote>
  <w:footnote w:id="8">
    <w:p w14:paraId="3B59E26A" w14:textId="37817813" w:rsidR="00E03A60" w:rsidRPr="00B95FCD" w:rsidRDefault="00E03A60" w:rsidP="003B4139">
      <w:pPr>
        <w:pStyle w:val="FootnoteText"/>
        <w:spacing w:line="480" w:lineRule="auto"/>
        <w:rPr>
          <w:rFonts w:ascii="Times New Roman" w:hAnsi="Times New Roman" w:cs="Times New Roman"/>
          <w:lang w:val="en-US"/>
        </w:rPr>
      </w:pPr>
      <w:r w:rsidRPr="00B95FCD">
        <w:rPr>
          <w:rStyle w:val="FootnoteReference"/>
          <w:rFonts w:ascii="Times New Roman" w:hAnsi="Times New Roman" w:cs="Times New Roman"/>
        </w:rPr>
        <w:footnoteRef/>
      </w:r>
      <w:r w:rsidRPr="00B95FCD">
        <w:rPr>
          <w:rFonts w:ascii="Times New Roman" w:hAnsi="Times New Roman" w:cs="Times New Roman"/>
        </w:rPr>
        <w:t xml:space="preserve"> Aliquod est signum convenientiae et formatur sic: [signa], quod signum alio vocabulo dicitur signum cadentiae, </w:t>
      </w:r>
      <w:r w:rsidRPr="00B95FCD">
        <w:rPr>
          <w:rFonts w:ascii="Times New Roman" w:hAnsi="Times New Roman" w:cs="Times New Roman"/>
          <w:i/>
        </w:rPr>
        <w:t>ubi una vox post pausas cadit supra reliquam</w:t>
      </w:r>
      <w:r w:rsidRPr="00B95FCD">
        <w:rPr>
          <w:rFonts w:ascii="Times New Roman" w:hAnsi="Times New Roman" w:cs="Times New Roman"/>
        </w:rPr>
        <w:t xml:space="preserve">. See </w:t>
      </w:r>
      <w:r w:rsidRPr="00B95FCD">
        <w:rPr>
          <w:rFonts w:ascii="Times New Roman" w:hAnsi="Times New Roman" w:cs="Times New Roman"/>
          <w:lang w:val="en-US"/>
        </w:rPr>
        <w:t xml:space="preserve">J. Palmer, ‘A Late Fifteenth-Century Anonymous Mensuration Treatise </w:t>
      </w:r>
      <w:r w:rsidRPr="00B95FCD">
        <w:rPr>
          <w:rFonts w:ascii="Times New Roman" w:hAnsi="Times New Roman" w:cs="Times New Roman"/>
          <w:i/>
          <w:lang w:val="en-US"/>
        </w:rPr>
        <w:t>(Ssp) Salzburg, Erzabtei St. Peter, a VI 44, 1490</w:t>
      </w:r>
      <w:r w:rsidRPr="00B95FCD">
        <w:rPr>
          <w:rFonts w:ascii="Times New Roman" w:hAnsi="Times New Roman" w:cs="Times New Roman"/>
          <w:lang w:val="en-US"/>
        </w:rPr>
        <w:t xml:space="preserve">’, </w:t>
      </w:r>
      <w:r w:rsidRPr="00B95FCD">
        <w:rPr>
          <w:rFonts w:ascii="Times New Roman" w:hAnsi="Times New Roman" w:cs="Times New Roman"/>
          <w:i/>
          <w:lang w:val="en-US"/>
        </w:rPr>
        <w:t>Musica disciplina</w:t>
      </w:r>
      <w:r w:rsidRPr="00B95FCD">
        <w:rPr>
          <w:rFonts w:ascii="Times New Roman" w:hAnsi="Times New Roman" w:cs="Times New Roman"/>
          <w:lang w:val="en-US"/>
        </w:rPr>
        <w:t>, 39 (1985), p. 96.</w:t>
      </w:r>
    </w:p>
  </w:footnote>
  <w:footnote w:id="9">
    <w:p w14:paraId="42AF66A8" w14:textId="0E57131A" w:rsidR="00E03A60" w:rsidRPr="00B95FCD" w:rsidRDefault="00E03A60" w:rsidP="003B4139">
      <w:pPr>
        <w:pStyle w:val="FootnoteText"/>
        <w:spacing w:line="480" w:lineRule="auto"/>
        <w:rPr>
          <w:rFonts w:ascii="Times New Roman" w:hAnsi="Times New Roman" w:cs="Times New Roman"/>
          <w:lang w:val="en-US"/>
        </w:rPr>
      </w:pPr>
      <w:r w:rsidRPr="00B95FCD">
        <w:rPr>
          <w:rStyle w:val="FootnoteReference"/>
          <w:rFonts w:ascii="Times New Roman" w:hAnsi="Times New Roman" w:cs="Times New Roman"/>
        </w:rPr>
        <w:footnoteRef/>
      </w:r>
      <w:r w:rsidRPr="00B95FCD">
        <w:rPr>
          <w:rFonts w:ascii="Times New Roman" w:hAnsi="Times New Roman" w:cs="Times New Roman"/>
        </w:rPr>
        <w:t xml:space="preserve"> </w:t>
      </w:r>
      <w:r w:rsidRPr="00B95FCD">
        <w:rPr>
          <w:rFonts w:ascii="Times New Roman" w:hAnsi="Times New Roman" w:cs="Times New Roman"/>
          <w:lang w:val="en-US"/>
        </w:rPr>
        <w:t xml:space="preserve">Translation from J. A. Bailey and B. A. Lee-De Amici, ‘Bridging the Medial Caesura’, </w:t>
      </w:r>
      <w:r w:rsidRPr="00B95FCD">
        <w:rPr>
          <w:rFonts w:ascii="Times New Roman" w:hAnsi="Times New Roman" w:cs="Times New Roman"/>
          <w:i/>
          <w:lang w:val="en-US"/>
        </w:rPr>
        <w:t>Binchois Studies</w:t>
      </w:r>
      <w:r w:rsidRPr="00B95FCD">
        <w:rPr>
          <w:rFonts w:ascii="Times New Roman" w:hAnsi="Times New Roman" w:cs="Times New Roman"/>
          <w:lang w:val="en-US"/>
        </w:rPr>
        <w:t>, ed. A. Kirkman and D. Slavin (Oxford: Oxford University Press, 2000), p. 194.</w:t>
      </w:r>
    </w:p>
  </w:footnote>
  <w:footnote w:id="10">
    <w:p w14:paraId="1A1B197B" w14:textId="0D4F57A6"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Further reasons to support the attribution of this chapter to another author are discussed later in this article and in A. Whittaker, </w:t>
      </w:r>
      <w:r>
        <w:rPr>
          <w:rFonts w:ascii="Times New Roman" w:hAnsi="Times New Roman" w:cs="Times New Roman"/>
        </w:rPr>
        <w:t>‘</w:t>
      </w:r>
      <w:r w:rsidRPr="008D5A13">
        <w:rPr>
          <w:rFonts w:ascii="Times New Roman" w:hAnsi="Times New Roman" w:cs="Times New Roman"/>
        </w:rPr>
        <w:t>Musical Exemplarity in the Notational Treatises of Johannes Tinctoris (c. 1435 – 1511)</w:t>
      </w:r>
      <w:r>
        <w:rPr>
          <w:rFonts w:ascii="Times New Roman" w:hAnsi="Times New Roman" w:cs="Times New Roman"/>
        </w:rPr>
        <w:t>’</w:t>
      </w:r>
      <w:r w:rsidRPr="00B95FCD">
        <w:rPr>
          <w:rFonts w:ascii="Times New Roman" w:hAnsi="Times New Roman" w:cs="Times New Roman"/>
        </w:rPr>
        <w:t>, PhD Thesis (Birmingham City University, 2016), p. 214.</w:t>
      </w:r>
    </w:p>
  </w:footnote>
  <w:footnote w:id="11">
    <w:p w14:paraId="301480E8" w14:textId="74C98ECF"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Tinctoris, </w:t>
      </w:r>
      <w:r w:rsidRPr="00B95FCD">
        <w:rPr>
          <w:rFonts w:ascii="Times New Roman" w:hAnsi="Times New Roman" w:cs="Times New Roman"/>
          <w:i/>
        </w:rPr>
        <w:t>De punctis</w:t>
      </w:r>
      <w:r w:rsidRPr="00B95FCD">
        <w:rPr>
          <w:rFonts w:ascii="Times New Roman" w:hAnsi="Times New Roman" w:cs="Times New Roman"/>
        </w:rPr>
        <w:t xml:space="preserve">, Ch. </w:t>
      </w:r>
      <w:r>
        <w:rPr>
          <w:rFonts w:ascii="Times New Roman" w:hAnsi="Times New Roman" w:cs="Times New Roman"/>
        </w:rPr>
        <w:t>xx</w:t>
      </w:r>
      <w:r w:rsidRPr="00B95FCD">
        <w:rPr>
          <w:rFonts w:ascii="Times New Roman" w:hAnsi="Times New Roman" w:cs="Times New Roman"/>
        </w:rPr>
        <w:t xml:space="preserve"> (supplementary), ed. &amp; trans. J. J. Dean, </w:t>
      </w:r>
      <w:r w:rsidRPr="00B95FCD">
        <w:rPr>
          <w:rFonts w:ascii="Times New Roman" w:hAnsi="Times New Roman" w:cs="Times New Roman"/>
          <w:i/>
        </w:rPr>
        <w:t>Early Music Theory Online</w:t>
      </w:r>
      <w:r w:rsidRPr="00B95FCD">
        <w:rPr>
          <w:rFonts w:ascii="Times New Roman" w:hAnsi="Times New Roman" w:cs="Times New Roman"/>
        </w:rPr>
        <w:t xml:space="preserve"> </w:t>
      </w:r>
      <w:hyperlink r:id="rId2" w:anchor="pane0=Edited&amp;pane1=Translation" w:history="1">
        <w:r w:rsidRPr="00496E42">
          <w:rPr>
            <w:rStyle w:val="Hyperlink"/>
            <w:rFonts w:ascii="Times New Roman" w:hAnsi="Times New Roman" w:cs="Times New Roman"/>
          </w:rPr>
          <w:t>http://earlymusictheory.org/Tinctoris/texts/depunctis/#pane0=Edited&amp;pane1=Translation</w:t>
        </w:r>
      </w:hyperlink>
      <w:r>
        <w:rPr>
          <w:rFonts w:ascii="Times New Roman" w:hAnsi="Times New Roman" w:cs="Times New Roman"/>
        </w:rPr>
        <w:t xml:space="preserve"> </w:t>
      </w:r>
      <w:r w:rsidRPr="00B95FCD">
        <w:rPr>
          <w:rFonts w:ascii="Times New Roman" w:hAnsi="Times New Roman" w:cs="Times New Roman"/>
        </w:rPr>
        <w:t xml:space="preserve">(accessed </w:t>
      </w:r>
      <w:r>
        <w:rPr>
          <w:rFonts w:ascii="Times New Roman" w:hAnsi="Times New Roman" w:cs="Times New Roman"/>
        </w:rPr>
        <w:t>7 July 2017</w:t>
      </w:r>
      <w:r w:rsidRPr="00B95FCD">
        <w:rPr>
          <w:rFonts w:ascii="Times New Roman" w:hAnsi="Times New Roman" w:cs="Times New Roman"/>
        </w:rPr>
        <w:t xml:space="preserve">); emphasis my own. </w:t>
      </w:r>
    </w:p>
  </w:footnote>
  <w:footnote w:id="12">
    <w:p w14:paraId="1DA2077F" w14:textId="6449CEC4"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I have taken the phrase ‘those whom rests annoy’ to mean singers uncomfortable with counting extended periods of rests, or who may have benefitted from additional notational support. </w:t>
      </w:r>
    </w:p>
  </w:footnote>
  <w:footnote w:id="13">
    <w:p w14:paraId="6C0643FD" w14:textId="64284DEF"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The brief discussion that follows draws upon M. Epp, ‘Reading the Signs: Notation and Performance in the French Polyphonic Song Repertory’, </w:t>
      </w:r>
      <w:r w:rsidRPr="00B95FCD">
        <w:rPr>
          <w:rFonts w:ascii="Times New Roman" w:hAnsi="Times New Roman" w:cs="Times New Roman"/>
          <w:i/>
        </w:rPr>
        <w:t>The Sounds and Sights of Performance in Early Music: Essays in Honour of Timothy J. McGee</w:t>
      </w:r>
      <w:r w:rsidRPr="00B95FCD">
        <w:rPr>
          <w:rFonts w:ascii="Times New Roman" w:hAnsi="Times New Roman" w:cs="Times New Roman"/>
        </w:rPr>
        <w:t>, eds. B. E. Power &amp; M. Epp (Ashg</w:t>
      </w:r>
      <w:r>
        <w:rPr>
          <w:rFonts w:ascii="Times New Roman" w:hAnsi="Times New Roman" w:cs="Times New Roman"/>
        </w:rPr>
        <w:t>ate Publishing, 2009), pp. 103–</w:t>
      </w:r>
      <w:r w:rsidRPr="00B95FCD">
        <w:rPr>
          <w:rFonts w:ascii="Times New Roman" w:hAnsi="Times New Roman" w:cs="Times New Roman"/>
        </w:rPr>
        <w:t xml:space="preserve">22. </w:t>
      </w:r>
    </w:p>
  </w:footnote>
  <w:footnote w:id="14">
    <w:p w14:paraId="416269DF" w14:textId="2604F6A5" w:rsidR="00E03A60" w:rsidRPr="00B95FCD" w:rsidRDefault="00E03A60" w:rsidP="003B4139">
      <w:pPr>
        <w:pStyle w:val="FootnoteText"/>
        <w:spacing w:line="480" w:lineRule="auto"/>
        <w:rPr>
          <w:rFonts w:ascii="Times New Roman" w:hAnsi="Times New Roman" w:cs="Times New Roman"/>
          <w:lang w:val="en-US"/>
        </w:rPr>
      </w:pPr>
      <w:r w:rsidRPr="00B95FCD">
        <w:rPr>
          <w:rStyle w:val="FootnoteReference"/>
          <w:rFonts w:ascii="Times New Roman" w:hAnsi="Times New Roman" w:cs="Times New Roman"/>
        </w:rPr>
        <w:footnoteRef/>
      </w:r>
      <w:r w:rsidRPr="00B95FCD">
        <w:rPr>
          <w:rFonts w:ascii="Times New Roman" w:hAnsi="Times New Roman" w:cs="Times New Roman"/>
        </w:rPr>
        <w:t xml:space="preserve"> </w:t>
      </w:r>
      <w:r>
        <w:rPr>
          <w:rFonts w:ascii="Times New Roman" w:hAnsi="Times New Roman" w:cs="Times New Roman"/>
          <w:lang w:val="en-US"/>
        </w:rPr>
        <w:t>See M. Bent, ‘“</w:t>
      </w:r>
      <w:r w:rsidRPr="00B95FCD">
        <w:rPr>
          <w:rFonts w:ascii="Times New Roman" w:hAnsi="Times New Roman" w:cs="Times New Roman"/>
          <w:lang w:val="en-US"/>
        </w:rPr>
        <w:t xml:space="preserve">Res facta” and “Cantare Super Librum”’, </w:t>
      </w:r>
      <w:r w:rsidRPr="00B95FCD">
        <w:rPr>
          <w:rFonts w:ascii="Times New Roman" w:hAnsi="Times New Roman" w:cs="Times New Roman"/>
          <w:i/>
          <w:lang w:val="en-US"/>
        </w:rPr>
        <w:t>Journal of the American Musicological Society</w:t>
      </w:r>
      <w:r>
        <w:rPr>
          <w:rFonts w:ascii="Times New Roman" w:hAnsi="Times New Roman" w:cs="Times New Roman"/>
          <w:lang w:val="en-US"/>
        </w:rPr>
        <w:t>, 36/3 (1983), pp. 371–</w:t>
      </w:r>
      <w:r w:rsidRPr="00B95FCD">
        <w:rPr>
          <w:rFonts w:ascii="Times New Roman" w:hAnsi="Times New Roman" w:cs="Times New Roman"/>
          <w:lang w:val="en-US"/>
        </w:rPr>
        <w:t>91.</w:t>
      </w:r>
    </w:p>
  </w:footnote>
  <w:footnote w:id="15">
    <w:p w14:paraId="28732B42" w14:textId="20A142D8"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I use the term ‘sounded’ here in its most abstract sense. It is most likely that Tinctoris imagined that this type of example would be consulted silently, with the notational characteristics further supporting such a viewpoint. These issues are explored more fully in Whittaker, </w:t>
      </w:r>
      <w:r w:rsidRPr="00B95FCD">
        <w:rPr>
          <w:rFonts w:ascii="Times New Roman" w:hAnsi="Times New Roman" w:cs="Times New Roman"/>
          <w:i/>
        </w:rPr>
        <w:t>Musical Exemplarity</w:t>
      </w:r>
      <w:r w:rsidRPr="00B95FCD">
        <w:rPr>
          <w:rFonts w:ascii="Times New Roman" w:hAnsi="Times New Roman" w:cs="Times New Roman"/>
        </w:rPr>
        <w:t>.</w:t>
      </w:r>
    </w:p>
  </w:footnote>
  <w:footnote w:id="16">
    <w:p w14:paraId="75666D0B" w14:textId="1FDAC0E5" w:rsidR="00E03A60" w:rsidRPr="00B95FCD" w:rsidRDefault="00E03A60" w:rsidP="003B4139">
      <w:pPr>
        <w:pStyle w:val="FootnoteText"/>
        <w:spacing w:line="480" w:lineRule="auto"/>
        <w:rPr>
          <w:rFonts w:ascii="Times New Roman" w:hAnsi="Times New Roman" w:cs="Times New Roman"/>
          <w:lang w:val="en-US"/>
        </w:rPr>
      </w:pPr>
      <w:r w:rsidRPr="00B95FCD">
        <w:rPr>
          <w:rStyle w:val="FootnoteReference"/>
          <w:rFonts w:ascii="Times New Roman" w:hAnsi="Times New Roman" w:cs="Times New Roman"/>
        </w:rPr>
        <w:footnoteRef/>
      </w:r>
      <w:r w:rsidRPr="00B95FCD">
        <w:rPr>
          <w:rFonts w:ascii="Times New Roman" w:hAnsi="Times New Roman" w:cs="Times New Roman"/>
        </w:rPr>
        <w:t xml:space="preserve"> </w:t>
      </w:r>
      <w:r w:rsidRPr="00B95FCD">
        <w:rPr>
          <w:rFonts w:ascii="Times New Roman" w:hAnsi="Times New Roman" w:cs="Times New Roman"/>
          <w:lang w:val="en-US"/>
        </w:rPr>
        <w:t xml:space="preserve">Tinctoris, </w:t>
      </w:r>
      <w:r w:rsidRPr="00B95FCD">
        <w:rPr>
          <w:rFonts w:ascii="Times New Roman" w:hAnsi="Times New Roman" w:cs="Times New Roman"/>
          <w:i/>
          <w:lang w:val="en-US"/>
        </w:rPr>
        <w:t>De arte contrapuncti</w:t>
      </w:r>
      <w:r w:rsidRPr="00B95FCD">
        <w:rPr>
          <w:rFonts w:ascii="Times New Roman" w:hAnsi="Times New Roman" w:cs="Times New Roman"/>
          <w:lang w:val="en-US"/>
        </w:rPr>
        <w:t xml:space="preserve">,  I.vii, ed. G. D’Agostino (Firenze 2008), p. 174, trans. A. Seay (Rome: American Institute of Musicology, 1961), p. 35. </w:t>
      </w:r>
      <w:r w:rsidRPr="00B95FCD">
        <w:rPr>
          <w:rFonts w:ascii="Times New Roman" w:hAnsi="Times New Roman" w:cs="Times New Roman"/>
        </w:rPr>
        <w:t>All future quotations from Tinctoris’s counterpoint treatise are taken from D’Agostino’s edition and Seay’s translation.</w:t>
      </w:r>
    </w:p>
  </w:footnote>
  <w:footnote w:id="17">
    <w:p w14:paraId="75722D70" w14:textId="7D5AA56E"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I have placed ‘bad’ and ‘correct’ in quote marks, as the criticisms that Tinctoris makes of other composers must be viewed from the perspective of Tinctoris’s theoretical persona, seemingly uncompromising and highly conservative. Tinctoris is much more measured in his criticisms in the treatise on counterpoint than he is in his </w:t>
      </w:r>
      <w:r w:rsidRPr="00B95FCD">
        <w:rPr>
          <w:rFonts w:ascii="Times New Roman" w:hAnsi="Times New Roman" w:cs="Times New Roman"/>
          <w:i/>
        </w:rPr>
        <w:t>Proportionale musices</w:t>
      </w:r>
      <w:r w:rsidRPr="00B95FCD">
        <w:rPr>
          <w:rFonts w:ascii="Times New Roman" w:hAnsi="Times New Roman" w:cs="Times New Roman"/>
        </w:rPr>
        <w:t xml:space="preserve">, where he describes errors </w:t>
      </w:r>
      <w:r>
        <w:rPr>
          <w:rFonts w:ascii="Times New Roman" w:hAnsi="Times New Roman" w:cs="Times New Roman"/>
        </w:rPr>
        <w:t xml:space="preserve">of similar magnitude </w:t>
      </w:r>
      <w:r w:rsidRPr="00B95FCD">
        <w:rPr>
          <w:rFonts w:ascii="Times New Roman" w:hAnsi="Times New Roman" w:cs="Times New Roman"/>
        </w:rPr>
        <w:t>as ‘inexcusabilis’ [inexcusable].</w:t>
      </w:r>
      <w:r w:rsidRPr="00B95FCD">
        <w:rPr>
          <w:rFonts w:ascii="Times New Roman" w:hAnsi="Times New Roman" w:cs="Times New Roman"/>
          <w:i/>
        </w:rPr>
        <w:t xml:space="preserve"> </w:t>
      </w:r>
      <w:r w:rsidRPr="00B95FCD">
        <w:rPr>
          <w:rFonts w:ascii="Times New Roman" w:hAnsi="Times New Roman" w:cs="Times New Roman"/>
        </w:rPr>
        <w:t xml:space="preserve">A quite different view of his musical attitudes can be gained if his standalone musical compositions are consulted in detail. On this issue see L. Rothfarb, ‘Tinctoris vs. Tinctoris: Theory and Practice of Dissonance in Counterpoint’, </w:t>
      </w:r>
      <w:r w:rsidRPr="00B95FCD">
        <w:rPr>
          <w:rFonts w:ascii="Times New Roman" w:hAnsi="Times New Roman" w:cs="Times New Roman"/>
          <w:i/>
        </w:rPr>
        <w:t>In Theory Only: Journal of the Michigan Music Theory Society</w:t>
      </w:r>
      <w:r w:rsidRPr="00B95FCD">
        <w:rPr>
          <w:rFonts w:ascii="Times New Roman" w:hAnsi="Times New Roman" w:cs="Times New Roman"/>
        </w:rPr>
        <w:t xml:space="preserve">, 9 (1986), pp. 3–31. </w:t>
      </w:r>
    </w:p>
  </w:footnote>
  <w:footnote w:id="18">
    <w:p w14:paraId="0C198888" w14:textId="3D024FDD"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This is somewhat analogous with the use of solmisation syllable labels in Tinctoris’s </w:t>
      </w:r>
      <w:r w:rsidRPr="00B95FCD">
        <w:rPr>
          <w:rFonts w:ascii="Times New Roman" w:hAnsi="Times New Roman" w:cs="Times New Roman"/>
          <w:i/>
        </w:rPr>
        <w:t>Expositio manus</w:t>
      </w:r>
      <w:r w:rsidRPr="00B95FCD">
        <w:rPr>
          <w:rFonts w:ascii="Times New Roman" w:hAnsi="Times New Roman" w:cs="Times New Roman"/>
        </w:rPr>
        <w:t xml:space="preserve">, with these markings being presented in red ink across the three main sources of his works: </w:t>
      </w:r>
      <w:r w:rsidRPr="00B95FCD">
        <w:rPr>
          <w:rFonts w:ascii="Times New Roman" w:hAnsi="Times New Roman" w:cs="Times New Roman"/>
          <w:b/>
        </w:rPr>
        <w:t>V</w:t>
      </w:r>
      <w:r w:rsidRPr="00B95FCD">
        <w:rPr>
          <w:rFonts w:ascii="Times New Roman" w:hAnsi="Times New Roman" w:cs="Times New Roman"/>
        </w:rPr>
        <w:t xml:space="preserve">, </w:t>
      </w:r>
      <w:r w:rsidRPr="00B95FCD">
        <w:rPr>
          <w:rFonts w:ascii="Times New Roman" w:hAnsi="Times New Roman" w:cs="Times New Roman"/>
          <w:b/>
        </w:rPr>
        <w:t>BU</w:t>
      </w:r>
      <w:r w:rsidRPr="00B95FCD">
        <w:rPr>
          <w:rFonts w:ascii="Times New Roman" w:hAnsi="Times New Roman" w:cs="Times New Roman"/>
        </w:rPr>
        <w:t xml:space="preserve">, and </w:t>
      </w:r>
      <w:r w:rsidRPr="00B95FCD">
        <w:rPr>
          <w:rFonts w:ascii="Times New Roman" w:hAnsi="Times New Roman" w:cs="Times New Roman"/>
          <w:b/>
        </w:rPr>
        <w:t>Br1</w:t>
      </w:r>
      <w:r w:rsidRPr="00B95FCD">
        <w:rPr>
          <w:rFonts w:ascii="Times New Roman" w:hAnsi="Times New Roman" w:cs="Times New Roman"/>
        </w:rPr>
        <w:t xml:space="preserve">. Indeed, </w:t>
      </w:r>
      <w:r w:rsidRPr="00B95FCD">
        <w:rPr>
          <w:rFonts w:ascii="Times New Roman" w:hAnsi="Times New Roman" w:cs="Times New Roman"/>
          <w:i/>
        </w:rPr>
        <w:t>signa congruentiae</w:t>
      </w:r>
      <w:r w:rsidRPr="00B95FCD">
        <w:rPr>
          <w:rFonts w:ascii="Times New Roman" w:hAnsi="Times New Roman" w:cs="Times New Roman"/>
        </w:rPr>
        <w:t xml:space="preserve"> are used in examples containing solmisation syllables in Sebald Heyden’s </w:t>
      </w:r>
      <w:r w:rsidRPr="00B95FCD">
        <w:rPr>
          <w:rFonts w:ascii="Times New Roman" w:hAnsi="Times New Roman" w:cs="Times New Roman"/>
          <w:i/>
        </w:rPr>
        <w:t xml:space="preserve">De arte canendi </w:t>
      </w:r>
      <w:r w:rsidRPr="00B95FCD">
        <w:rPr>
          <w:rFonts w:ascii="Times New Roman" w:hAnsi="Times New Roman" w:cs="Times New Roman"/>
        </w:rPr>
        <w:t>(Nuremberg: Petreius, 1540) for a similar purpose: see p. 40.</w:t>
      </w:r>
    </w:p>
  </w:footnote>
  <w:footnote w:id="19">
    <w:p w14:paraId="38461800" w14:textId="5AD44F7E"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Tinctoris, </w:t>
      </w:r>
      <w:r w:rsidRPr="00B95FCD">
        <w:rPr>
          <w:rFonts w:ascii="Times New Roman" w:hAnsi="Times New Roman" w:cs="Times New Roman"/>
          <w:i/>
        </w:rPr>
        <w:t>De arte contrapuncti</w:t>
      </w:r>
      <w:r w:rsidRPr="00B95FCD">
        <w:rPr>
          <w:rFonts w:ascii="Times New Roman" w:hAnsi="Times New Roman" w:cs="Times New Roman"/>
        </w:rPr>
        <w:t>, II.xxix, ed. G. D’Agostino, p. 352 and trans. A. Seay, p. 126.</w:t>
      </w:r>
      <w:r w:rsidRPr="00B95FCD">
        <w:rPr>
          <w:rFonts w:ascii="Times New Roman" w:hAnsi="Times New Roman" w:cs="Times New Roman"/>
          <w:b/>
        </w:rPr>
        <w:t xml:space="preserve"> </w:t>
      </w:r>
    </w:p>
  </w:footnote>
  <w:footnote w:id="20">
    <w:p w14:paraId="74138AA5" w14:textId="08066B63"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It should be noted here that Tinctoris does concede that many composers make use of dissonances that last for a longer duration than he would like, and that his criticisms stem from a desire to educate young composers in the correct way to compose, discouraging them from imitating the practices shown in his two citations. </w:t>
      </w:r>
    </w:p>
  </w:footnote>
  <w:footnote w:id="21">
    <w:p w14:paraId="3AC64914" w14:textId="79526032"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Tinctoris also uses a passage from De Domarto’s </w:t>
      </w:r>
      <w:r w:rsidRPr="00B95FCD">
        <w:rPr>
          <w:rFonts w:ascii="Times New Roman" w:hAnsi="Times New Roman" w:cs="Times New Roman"/>
          <w:i/>
        </w:rPr>
        <w:t>Missa Spiritus almus</w:t>
      </w:r>
      <w:r w:rsidRPr="00B95FCD">
        <w:rPr>
          <w:rFonts w:ascii="Times New Roman" w:hAnsi="Times New Roman" w:cs="Times New Roman"/>
        </w:rPr>
        <w:t xml:space="preserve"> in his </w:t>
      </w:r>
      <w:r w:rsidRPr="00B95FCD">
        <w:rPr>
          <w:rFonts w:ascii="Times New Roman" w:hAnsi="Times New Roman" w:cs="Times New Roman"/>
          <w:i/>
        </w:rPr>
        <w:t>Proportionale musices</w:t>
      </w:r>
      <w:r w:rsidRPr="00B95FCD">
        <w:rPr>
          <w:rFonts w:ascii="Times New Roman" w:hAnsi="Times New Roman" w:cs="Times New Roman"/>
        </w:rPr>
        <w:t xml:space="preserve"> as an example of the incorrect manner of indicating proportional relationships. </w:t>
      </w:r>
    </w:p>
  </w:footnote>
  <w:footnote w:id="22">
    <w:p w14:paraId="13DF1455" w14:textId="20285AF0"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The need to have fully understood a theoretical text in order to pick out the relevant part of the musical example is particularly apparent in Tinctoris’s </w:t>
      </w:r>
      <w:r w:rsidRPr="00B95FCD">
        <w:rPr>
          <w:rFonts w:ascii="Times New Roman" w:hAnsi="Times New Roman" w:cs="Times New Roman"/>
          <w:i/>
        </w:rPr>
        <w:t>De imperfectione notarum musicalium</w:t>
      </w:r>
      <w:r w:rsidRPr="00B95FCD">
        <w:rPr>
          <w:rFonts w:ascii="Times New Roman" w:hAnsi="Times New Roman" w:cs="Times New Roman"/>
        </w:rPr>
        <w:t xml:space="preserve">. The models of exemplification associated with the treatise on imperfection are curious, given that they seem to be less ‘user-friendly’ than some of Tinctoris’s earlier works. </w:t>
      </w:r>
      <w:r>
        <w:rPr>
          <w:rFonts w:ascii="Times New Roman" w:hAnsi="Times New Roman" w:cs="Times New Roman"/>
        </w:rPr>
        <w:t>For example, there are multiple instances in the imperfection treatise where Tinctoris demands understanding of precepts he has yet to cover, and theorises well beyond the realms of normal notational practice. For a more details discussion, s</w:t>
      </w:r>
      <w:r w:rsidRPr="00B95FCD">
        <w:rPr>
          <w:rFonts w:ascii="Times New Roman" w:hAnsi="Times New Roman" w:cs="Times New Roman"/>
        </w:rPr>
        <w:t xml:space="preserve">ee Whittaker, </w:t>
      </w:r>
      <w:r w:rsidRPr="00B95FCD">
        <w:rPr>
          <w:rFonts w:ascii="Times New Roman" w:hAnsi="Times New Roman" w:cs="Times New Roman"/>
          <w:i/>
        </w:rPr>
        <w:t>Musical Exemplarity</w:t>
      </w:r>
      <w:r w:rsidRPr="00B95FCD">
        <w:rPr>
          <w:rFonts w:ascii="Times New Roman" w:hAnsi="Times New Roman" w:cs="Times New Roman"/>
        </w:rPr>
        <w:t xml:space="preserve">, pp. 141–9 and pp. 158–66. </w:t>
      </w:r>
      <w:r w:rsidRPr="00B95FCD">
        <w:rPr>
          <w:rFonts w:ascii="Times New Roman" w:hAnsi="Times New Roman" w:cs="Times New Roman"/>
          <w:i/>
        </w:rPr>
        <w:t xml:space="preserve"> </w:t>
      </w:r>
    </w:p>
  </w:footnote>
  <w:footnote w:id="23">
    <w:p w14:paraId="56DF1AE0" w14:textId="4D29CB69"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The complexity is also slightly increased by the placement of the dissonance as part of a syncopated cadential unit, requiring a slightly more careful consultation of the mensural context to be conducted.</w:t>
      </w:r>
    </w:p>
  </w:footnote>
  <w:footnote w:id="24">
    <w:p w14:paraId="7297F095" w14:textId="792EB6DC"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w:t>
      </w:r>
      <w:r>
        <w:rPr>
          <w:rFonts w:ascii="Times New Roman" w:hAnsi="Times New Roman" w:cs="Times New Roman"/>
        </w:rPr>
        <w:t xml:space="preserve">There are, of course, notable exceptions. </w:t>
      </w:r>
      <w:r w:rsidRPr="00B95FCD">
        <w:rPr>
          <w:rFonts w:ascii="Times New Roman" w:hAnsi="Times New Roman" w:cs="Times New Roman"/>
        </w:rPr>
        <w:t xml:space="preserve">On Tinctoris’s activities as a composer see W. E. Melin, </w:t>
      </w:r>
      <w:r>
        <w:rPr>
          <w:rFonts w:ascii="Times New Roman" w:hAnsi="Times New Roman" w:cs="Times New Roman"/>
        </w:rPr>
        <w:t>‘</w:t>
      </w:r>
      <w:r w:rsidRPr="008D5A13">
        <w:rPr>
          <w:rFonts w:ascii="Times New Roman" w:hAnsi="Times New Roman" w:cs="Times New Roman"/>
        </w:rPr>
        <w:t>The Music of Johannes Tinctoris (ca. 1435–1511): A Comparative Study of Theory and Practice</w:t>
      </w:r>
      <w:r>
        <w:rPr>
          <w:rFonts w:ascii="Times New Roman" w:hAnsi="Times New Roman" w:cs="Times New Roman"/>
        </w:rPr>
        <w:t>’,</w:t>
      </w:r>
      <w:r w:rsidRPr="00B95FCD">
        <w:rPr>
          <w:rFonts w:ascii="Times New Roman" w:hAnsi="Times New Roman" w:cs="Times New Roman"/>
        </w:rPr>
        <w:t xml:space="preserve"> </w:t>
      </w:r>
      <w:r>
        <w:rPr>
          <w:rFonts w:ascii="Times New Roman" w:hAnsi="Times New Roman" w:cs="Times New Roman"/>
        </w:rPr>
        <w:t>PhD thesis</w:t>
      </w:r>
      <w:r w:rsidRPr="00B95FCD">
        <w:rPr>
          <w:rFonts w:ascii="Times New Roman" w:hAnsi="Times New Roman" w:cs="Times New Roman"/>
        </w:rPr>
        <w:t xml:space="preserve"> </w:t>
      </w:r>
      <w:r>
        <w:rPr>
          <w:rFonts w:ascii="Times New Roman" w:hAnsi="Times New Roman" w:cs="Times New Roman"/>
        </w:rPr>
        <w:t>(</w:t>
      </w:r>
      <w:r w:rsidRPr="00B95FCD">
        <w:rPr>
          <w:rFonts w:ascii="Times New Roman" w:hAnsi="Times New Roman" w:cs="Times New Roman"/>
        </w:rPr>
        <w:t xml:space="preserve">University of Ohio, 1973); J. J. Dean, ‘Towards a Restoration of Tinctoris’s </w:t>
      </w:r>
      <w:r w:rsidRPr="00B95FCD">
        <w:rPr>
          <w:rStyle w:val="Emphasis"/>
          <w:rFonts w:ascii="Times New Roman" w:hAnsi="Times New Roman" w:cs="Times New Roman"/>
        </w:rPr>
        <w:t>L’homme armé</w:t>
      </w:r>
      <w:r w:rsidRPr="00B95FCD">
        <w:rPr>
          <w:rFonts w:ascii="Times New Roman" w:hAnsi="Times New Roman" w:cs="Times New Roman"/>
        </w:rPr>
        <w:t xml:space="preserve"> Mass: Coherence, Mensuration, </w:t>
      </w:r>
      <w:r w:rsidRPr="00B95FCD">
        <w:rPr>
          <w:rStyle w:val="Emphasis"/>
          <w:rFonts w:ascii="Times New Roman" w:hAnsi="Times New Roman" w:cs="Times New Roman"/>
        </w:rPr>
        <w:t>Varietas</w:t>
      </w:r>
      <w:r w:rsidRPr="00B95FCD">
        <w:rPr>
          <w:rFonts w:ascii="Times New Roman" w:hAnsi="Times New Roman" w:cs="Times New Roman"/>
        </w:rPr>
        <w:t xml:space="preserve">’, </w:t>
      </w:r>
      <w:r w:rsidRPr="00B95FCD">
        <w:rPr>
          <w:rStyle w:val="Emphasis"/>
          <w:rFonts w:ascii="Times New Roman" w:hAnsi="Times New Roman" w:cs="Times New Roman"/>
        </w:rPr>
        <w:t>Journal of the Alamire Foundation</w:t>
      </w:r>
      <w:r w:rsidRPr="00B95FCD">
        <w:rPr>
          <w:rFonts w:ascii="Times New Roman" w:hAnsi="Times New Roman" w:cs="Times New Roman"/>
        </w:rPr>
        <w:t xml:space="preserve">, 5/1 ‘Johannes Tinctoris I’ (April 2013), pp. 11–40; B. J. Blackburn, ‘A Lost Guide to Tinctoris’s Teachings Recovered’, </w:t>
      </w:r>
      <w:r w:rsidRPr="00B95FCD">
        <w:rPr>
          <w:rFonts w:ascii="Times New Roman" w:hAnsi="Times New Roman" w:cs="Times New Roman"/>
          <w:i/>
        </w:rPr>
        <w:t>Early Music History</w:t>
      </w:r>
      <w:r w:rsidRPr="00B95FCD">
        <w:rPr>
          <w:rFonts w:ascii="Times New Roman" w:hAnsi="Times New Roman" w:cs="Times New Roman"/>
        </w:rPr>
        <w:t>, 1 (1981), pp. 29–116.</w:t>
      </w:r>
      <w:r w:rsidRPr="00B95FCD">
        <w:rPr>
          <w:rFonts w:ascii="Times New Roman" w:hAnsi="Times New Roman" w:cs="Times New Roman"/>
          <w:i/>
        </w:rPr>
        <w:t xml:space="preserve"> </w:t>
      </w:r>
      <w:r w:rsidRPr="00B95FCD">
        <w:rPr>
          <w:rFonts w:ascii="Times New Roman" w:hAnsi="Times New Roman" w:cs="Times New Roman"/>
        </w:rPr>
        <w:t xml:space="preserve">The majority of Tinctoris’s musical compositions, excluding his polyphonic miniatures, are edited in Johannes Tinctoris, </w:t>
      </w:r>
      <w:r w:rsidRPr="00B95FCD">
        <w:rPr>
          <w:rFonts w:ascii="Times New Roman" w:hAnsi="Times New Roman" w:cs="Times New Roman"/>
          <w:i/>
        </w:rPr>
        <w:t>Opera Omnia</w:t>
      </w:r>
      <w:r w:rsidRPr="00B95FCD">
        <w:rPr>
          <w:rFonts w:ascii="Times New Roman" w:hAnsi="Times New Roman" w:cs="Times New Roman"/>
        </w:rPr>
        <w:t xml:space="preserve">, ed. W. E. Melin (American Institute of Musicology, 1976), </w:t>
      </w:r>
      <w:r w:rsidRPr="00B95FCD">
        <w:rPr>
          <w:rFonts w:ascii="Times New Roman" w:hAnsi="Times New Roman" w:cs="Times New Roman"/>
          <w:i/>
        </w:rPr>
        <w:t>Corpus mensurabilis musicae</w:t>
      </w:r>
      <w:r w:rsidRPr="00B95FCD">
        <w:rPr>
          <w:rFonts w:ascii="Times New Roman" w:hAnsi="Times New Roman" w:cs="Times New Roman"/>
        </w:rPr>
        <w:t xml:space="preserve">, vol. 18. </w:t>
      </w:r>
    </w:p>
  </w:footnote>
  <w:footnote w:id="25">
    <w:p w14:paraId="49F56682" w14:textId="77777777"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This type of example accounts for the majority of examples in Books II and III of the counterpoint treatise.</w:t>
      </w:r>
    </w:p>
  </w:footnote>
  <w:footnote w:id="26">
    <w:p w14:paraId="58C10587" w14:textId="47355984"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See R. Woodley, ‘Sharp Practice in the Later Middle Ages: Exploring the Chromatic Semitone and its Implications’, </w:t>
      </w:r>
      <w:r w:rsidRPr="00B95FCD">
        <w:rPr>
          <w:rFonts w:ascii="Times New Roman" w:hAnsi="Times New Roman" w:cs="Times New Roman"/>
          <w:i/>
        </w:rPr>
        <w:t>Music Theory Online</w:t>
      </w:r>
      <w:r w:rsidRPr="00B95FCD">
        <w:rPr>
          <w:rFonts w:ascii="Times New Roman" w:hAnsi="Times New Roman" w:cs="Times New Roman"/>
        </w:rPr>
        <w:t>, 12/2 (2006)</w:t>
      </w:r>
      <w:r>
        <w:rPr>
          <w:rFonts w:ascii="Times New Roman" w:hAnsi="Times New Roman" w:cs="Times New Roman"/>
        </w:rPr>
        <w:t xml:space="preserve">; </w:t>
      </w:r>
      <w:r w:rsidRPr="00B95FCD">
        <w:rPr>
          <w:rFonts w:ascii="Times New Roman" w:hAnsi="Times New Roman" w:cs="Times New Roman"/>
          <w:lang w:val="en-US"/>
        </w:rPr>
        <w:t xml:space="preserve">M. Bent, ‘On False Concords in Late Fifteenth-Century Music’, </w:t>
      </w:r>
      <w:r w:rsidRPr="00B95FCD">
        <w:rPr>
          <w:rFonts w:ascii="Times New Roman" w:hAnsi="Times New Roman" w:cs="Times New Roman"/>
          <w:i/>
          <w:lang w:val="en-US"/>
        </w:rPr>
        <w:t>Théorie et analyse musicales 1450-1650: Actes de colloque international Louvain-la-Neuve, 23-25 septembre 1999</w:t>
      </w:r>
      <w:r w:rsidRPr="00B95FCD">
        <w:rPr>
          <w:rFonts w:ascii="Times New Roman" w:hAnsi="Times New Roman" w:cs="Times New Roman"/>
          <w:lang w:val="en-US"/>
        </w:rPr>
        <w:t>, pp. 65–118.</w:t>
      </w:r>
    </w:p>
  </w:footnote>
  <w:footnote w:id="27">
    <w:p w14:paraId="1D417400" w14:textId="1E42EA94"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Tinctoris, </w:t>
      </w:r>
      <w:r w:rsidRPr="00B95FCD">
        <w:rPr>
          <w:rFonts w:ascii="Times New Roman" w:hAnsi="Times New Roman" w:cs="Times New Roman"/>
          <w:i/>
        </w:rPr>
        <w:t>De arte contrapuncti</w:t>
      </w:r>
      <w:r w:rsidRPr="00B95FCD">
        <w:rPr>
          <w:rFonts w:ascii="Times New Roman" w:hAnsi="Times New Roman" w:cs="Times New Roman"/>
        </w:rPr>
        <w:t>, II.xxxiv, ed. G. D’Agostino, p. 362, and trans. A. Seay, p. 131.</w:t>
      </w:r>
    </w:p>
  </w:footnote>
  <w:footnote w:id="28">
    <w:p w14:paraId="730BF272" w14:textId="1E3A317B"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It is unusual to find an example of Tinctoris’s own composition that demonstrates a practice that</w:t>
      </w:r>
      <w:r>
        <w:rPr>
          <w:rFonts w:ascii="Times New Roman" w:hAnsi="Times New Roman" w:cs="Times New Roman"/>
        </w:rPr>
        <w:t xml:space="preserve"> he</w:t>
      </w:r>
      <w:r w:rsidRPr="00B95FCD">
        <w:rPr>
          <w:rFonts w:ascii="Times New Roman" w:hAnsi="Times New Roman" w:cs="Times New Roman"/>
        </w:rPr>
        <w:t xml:space="preserve"> instructs his readers to avoid. There is an argument to suggest that a small part of the reason that </w:t>
      </w:r>
      <w:r w:rsidRPr="00B95FCD">
        <w:rPr>
          <w:rFonts w:ascii="Times New Roman" w:hAnsi="Times New Roman" w:cs="Times New Roman"/>
          <w:i/>
        </w:rPr>
        <w:t>signa congruentiae</w:t>
      </w:r>
      <w:r w:rsidRPr="00B95FCD">
        <w:rPr>
          <w:rFonts w:ascii="Times New Roman" w:hAnsi="Times New Roman" w:cs="Times New Roman"/>
        </w:rPr>
        <w:t xml:space="preserve"> have been deployed is to show the reader that he </w:t>
      </w:r>
      <w:r>
        <w:rPr>
          <w:rFonts w:ascii="Times New Roman" w:hAnsi="Times New Roman" w:cs="Times New Roman"/>
        </w:rPr>
        <w:t xml:space="preserve">is </w:t>
      </w:r>
      <w:r w:rsidRPr="00B95FCD">
        <w:rPr>
          <w:rFonts w:ascii="Times New Roman" w:hAnsi="Times New Roman" w:cs="Times New Roman"/>
        </w:rPr>
        <w:t xml:space="preserve">aware of the points where his composition appears to commit a theoretical error. </w:t>
      </w:r>
    </w:p>
  </w:footnote>
  <w:footnote w:id="29">
    <w:p w14:paraId="2DD621DC" w14:textId="296A18BA" w:rsidR="00E03A60" w:rsidRPr="003B4139" w:rsidRDefault="00E03A60" w:rsidP="003B4139">
      <w:pPr>
        <w:pStyle w:val="FootnoteText"/>
        <w:spacing w:line="480" w:lineRule="auto"/>
        <w:rPr>
          <w:rFonts w:ascii="Times New Roman" w:hAnsi="Times New Roman" w:cs="Times New Roman"/>
        </w:rPr>
      </w:pPr>
      <w:r w:rsidRPr="003B4139">
        <w:rPr>
          <w:rStyle w:val="FootnoteReference"/>
          <w:rFonts w:ascii="Times New Roman" w:hAnsi="Times New Roman" w:cs="Times New Roman"/>
        </w:rPr>
        <w:footnoteRef/>
      </w:r>
      <w:r w:rsidRPr="003B4139">
        <w:rPr>
          <w:rFonts w:ascii="Times New Roman" w:hAnsi="Times New Roman" w:cs="Times New Roman"/>
        </w:rPr>
        <w:t xml:space="preserve"> The complexities of this term are discussed later in this article. </w:t>
      </w:r>
    </w:p>
  </w:footnote>
  <w:footnote w:id="30">
    <w:p w14:paraId="0ECF05B6" w14:textId="173CDEF0"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Given that the first cadential passage demonstrates the flattening of a perfect concord to make it imperfect, it follows Tinctoris’s usual pedagogical logic for the next instance to demonstrate the second of his theoretical points.  </w:t>
      </w:r>
    </w:p>
  </w:footnote>
  <w:footnote w:id="31">
    <w:p w14:paraId="2140B674" w14:textId="77777777"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Woodley suggests that the symbol for the chromatic semitone had tuning implications, and thus the ‘sound’ of this chromatic alteration might have been quite different to our hearing through modern ears and tuning systems. See Woodley, ‘Sharp Practice in the Later Middle Ages’. </w:t>
      </w:r>
    </w:p>
  </w:footnote>
  <w:footnote w:id="32">
    <w:p w14:paraId="1FF0D6EF" w14:textId="4D4251C7" w:rsidR="00E03A60" w:rsidRPr="004A0C6A" w:rsidRDefault="00E03A60" w:rsidP="003B4139">
      <w:pPr>
        <w:pStyle w:val="FootnoteText"/>
        <w:spacing w:line="480" w:lineRule="auto"/>
        <w:rPr>
          <w:rFonts w:ascii="Times New Roman" w:hAnsi="Times New Roman" w:cs="Times New Roman"/>
        </w:rPr>
      </w:pPr>
      <w:r w:rsidRPr="004A0C6A">
        <w:rPr>
          <w:rStyle w:val="FootnoteReference"/>
          <w:rFonts w:ascii="Times New Roman" w:hAnsi="Times New Roman" w:cs="Times New Roman"/>
        </w:rPr>
        <w:footnoteRef/>
      </w:r>
      <w:r w:rsidRPr="004A0C6A">
        <w:rPr>
          <w:rFonts w:ascii="Times New Roman" w:hAnsi="Times New Roman" w:cs="Times New Roman"/>
        </w:rPr>
        <w:t xml:space="preserve"> Interestingly, </w:t>
      </w:r>
      <w:r w:rsidRPr="004A0C6A">
        <w:rPr>
          <w:rFonts w:ascii="Times New Roman" w:hAnsi="Times New Roman" w:cs="Times New Roman"/>
          <w:b/>
        </w:rPr>
        <w:t>Br1</w:t>
      </w:r>
      <w:r>
        <w:rPr>
          <w:rFonts w:ascii="Times New Roman" w:hAnsi="Times New Roman" w:cs="Times New Roman"/>
          <w:b/>
        </w:rPr>
        <w:t xml:space="preserve">, </w:t>
      </w:r>
      <w:r>
        <w:rPr>
          <w:rFonts w:ascii="Times New Roman" w:hAnsi="Times New Roman" w:cs="Times New Roman"/>
        </w:rPr>
        <w:t>fols. 96</w:t>
      </w:r>
      <w:r w:rsidRPr="004A0C6A">
        <w:rPr>
          <w:rFonts w:ascii="Times New Roman" w:hAnsi="Times New Roman" w:cs="Times New Roman"/>
          <w:vertAlign w:val="superscript"/>
        </w:rPr>
        <w:t>vb</w:t>
      </w:r>
      <w:r>
        <w:rPr>
          <w:rFonts w:ascii="Times New Roman" w:hAnsi="Times New Roman" w:cs="Times New Roman"/>
        </w:rPr>
        <w:t>–97</w:t>
      </w:r>
      <w:r w:rsidRPr="004A0C6A">
        <w:rPr>
          <w:rFonts w:ascii="Times New Roman" w:hAnsi="Times New Roman" w:cs="Times New Roman"/>
          <w:vertAlign w:val="superscript"/>
        </w:rPr>
        <w:t>ra</w:t>
      </w:r>
      <w:r>
        <w:rPr>
          <w:rFonts w:ascii="Times New Roman" w:hAnsi="Times New Roman" w:cs="Times New Roman"/>
        </w:rPr>
        <w:t xml:space="preserve"> </w:t>
      </w:r>
      <w:r w:rsidRPr="004A0C6A">
        <w:rPr>
          <w:rFonts w:ascii="Times New Roman" w:hAnsi="Times New Roman" w:cs="Times New Roman"/>
        </w:rPr>
        <w:t xml:space="preserve">presents this example without </w:t>
      </w:r>
      <w:r w:rsidRPr="004A0C6A">
        <w:rPr>
          <w:rFonts w:ascii="Times New Roman" w:hAnsi="Times New Roman" w:cs="Times New Roman"/>
          <w:i/>
        </w:rPr>
        <w:t>signa</w:t>
      </w:r>
      <w:r w:rsidRPr="004A0C6A">
        <w:rPr>
          <w:rFonts w:ascii="Times New Roman" w:hAnsi="Times New Roman" w:cs="Times New Roman"/>
        </w:rPr>
        <w:t xml:space="preserve">, a practice which I discuss later in this article. </w:t>
      </w:r>
      <w:r>
        <w:rPr>
          <w:rFonts w:ascii="Times New Roman" w:hAnsi="Times New Roman" w:cs="Times New Roman"/>
        </w:rPr>
        <w:t xml:space="preserve">Indeed, </w:t>
      </w:r>
      <w:r>
        <w:rPr>
          <w:rFonts w:ascii="Times New Roman" w:hAnsi="Times New Roman" w:cs="Times New Roman"/>
          <w:b/>
        </w:rPr>
        <w:t xml:space="preserve">Br1 </w:t>
      </w:r>
      <w:r>
        <w:rPr>
          <w:rFonts w:ascii="Times New Roman" w:hAnsi="Times New Roman" w:cs="Times New Roman"/>
        </w:rPr>
        <w:t xml:space="preserve">omits </w:t>
      </w:r>
      <w:r>
        <w:rPr>
          <w:rFonts w:ascii="Times New Roman" w:hAnsi="Times New Roman" w:cs="Times New Roman"/>
          <w:i/>
        </w:rPr>
        <w:t xml:space="preserve">signa </w:t>
      </w:r>
      <w:r>
        <w:rPr>
          <w:rFonts w:ascii="Times New Roman" w:hAnsi="Times New Roman" w:cs="Times New Roman"/>
        </w:rPr>
        <w:t xml:space="preserve">from all of the examples in Books II and III. </w:t>
      </w:r>
    </w:p>
  </w:footnote>
  <w:footnote w:id="33">
    <w:p w14:paraId="1FA5CC70" w14:textId="684D5B53" w:rsidR="00E03A60" w:rsidRPr="00B95FCD" w:rsidRDefault="00E03A60" w:rsidP="003B4139">
      <w:pPr>
        <w:pStyle w:val="FootnoteText"/>
        <w:spacing w:line="480" w:lineRule="auto"/>
        <w:rPr>
          <w:rFonts w:ascii="Times New Roman" w:hAnsi="Times New Roman" w:cs="Times New Roman"/>
          <w:lang w:val="en-US"/>
        </w:rPr>
      </w:pPr>
      <w:r w:rsidRPr="00B95FCD">
        <w:rPr>
          <w:rStyle w:val="FootnoteReference"/>
          <w:rFonts w:ascii="Times New Roman" w:hAnsi="Times New Roman" w:cs="Times New Roman"/>
        </w:rPr>
        <w:footnoteRef/>
      </w:r>
      <w:r w:rsidRPr="00B95FCD">
        <w:rPr>
          <w:rFonts w:ascii="Times New Roman" w:hAnsi="Times New Roman" w:cs="Times New Roman"/>
        </w:rPr>
        <w:t xml:space="preserve"> </w:t>
      </w:r>
      <w:r w:rsidRPr="00B95FCD">
        <w:rPr>
          <w:rFonts w:ascii="Times New Roman" w:hAnsi="Times New Roman" w:cs="Times New Roman"/>
          <w:lang w:val="en-US"/>
        </w:rPr>
        <w:t xml:space="preserve">M. Bent, ‘On False Concords in Late Fifteenth-Century Music’, </w:t>
      </w:r>
      <w:r w:rsidRPr="00B95FCD">
        <w:rPr>
          <w:rFonts w:ascii="Times New Roman" w:hAnsi="Times New Roman" w:cs="Times New Roman"/>
          <w:i/>
          <w:lang w:val="en-US"/>
        </w:rPr>
        <w:t>Théorie et analyse musicales 1450-1650: Actes de colloque international Louvain-la-Neuve, 23-25 septembre 1999</w:t>
      </w:r>
      <w:r w:rsidRPr="00B95FCD">
        <w:rPr>
          <w:rFonts w:ascii="Times New Roman" w:hAnsi="Times New Roman" w:cs="Times New Roman"/>
          <w:lang w:val="en-US"/>
        </w:rPr>
        <w:t>, pp. 65–118.</w:t>
      </w:r>
    </w:p>
  </w:footnote>
  <w:footnote w:id="34">
    <w:p w14:paraId="4AA449B8" w14:textId="64B7FCDC" w:rsidR="00E03A60" w:rsidRPr="00B95FCD" w:rsidRDefault="00E03A60" w:rsidP="003B4139">
      <w:pPr>
        <w:pStyle w:val="FootnoteText"/>
        <w:spacing w:line="480" w:lineRule="auto"/>
        <w:rPr>
          <w:rFonts w:ascii="Times New Roman" w:hAnsi="Times New Roman" w:cs="Times New Roman"/>
          <w:lang w:val="en-US"/>
        </w:rPr>
      </w:pPr>
      <w:r w:rsidRPr="00B95FCD">
        <w:rPr>
          <w:rStyle w:val="FootnoteReference"/>
          <w:rFonts w:ascii="Times New Roman" w:hAnsi="Times New Roman" w:cs="Times New Roman"/>
        </w:rPr>
        <w:footnoteRef/>
      </w:r>
      <w:r w:rsidRPr="00B95FCD">
        <w:rPr>
          <w:rFonts w:ascii="Times New Roman" w:hAnsi="Times New Roman" w:cs="Times New Roman"/>
        </w:rPr>
        <w:t xml:space="preserve"> </w:t>
      </w:r>
      <w:r w:rsidRPr="00B95FCD">
        <w:rPr>
          <w:rFonts w:ascii="Times New Roman" w:hAnsi="Times New Roman" w:cs="Times New Roman"/>
          <w:lang w:val="en-US"/>
        </w:rPr>
        <w:t>M. Bent, ‘On False Concords</w:t>
      </w:r>
      <w:r w:rsidRPr="00317D6C">
        <w:rPr>
          <w:rFonts w:ascii="Times New Roman" w:hAnsi="Times New Roman" w:cs="Times New Roman"/>
          <w:lang w:val="en-US"/>
        </w:rPr>
        <w:t xml:space="preserve"> </w:t>
      </w:r>
      <w:r w:rsidRPr="00B95FCD">
        <w:rPr>
          <w:rFonts w:ascii="Times New Roman" w:hAnsi="Times New Roman" w:cs="Times New Roman"/>
          <w:lang w:val="en-US"/>
        </w:rPr>
        <w:t>in Late Fifteenth-Century Music’, p. 82.</w:t>
      </w:r>
    </w:p>
  </w:footnote>
  <w:footnote w:id="35">
    <w:p w14:paraId="1BACFFEC" w14:textId="4C61CF79"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For a detailed discussion of this topic see A. Luko, ‘Tinctoris on </w:t>
      </w:r>
      <w:r w:rsidRPr="00B95FCD">
        <w:rPr>
          <w:rFonts w:ascii="Times New Roman" w:hAnsi="Times New Roman" w:cs="Times New Roman"/>
          <w:i/>
        </w:rPr>
        <w:t>Varietas</w:t>
      </w:r>
      <w:r w:rsidRPr="00B95FCD">
        <w:rPr>
          <w:rFonts w:ascii="Times New Roman" w:hAnsi="Times New Roman" w:cs="Times New Roman"/>
        </w:rPr>
        <w:t xml:space="preserve">’, </w:t>
      </w:r>
      <w:r w:rsidRPr="00B95FCD">
        <w:rPr>
          <w:rFonts w:ascii="Times New Roman" w:hAnsi="Times New Roman" w:cs="Times New Roman"/>
          <w:i/>
        </w:rPr>
        <w:t>Early Music History</w:t>
      </w:r>
      <w:r w:rsidRPr="00B95FCD">
        <w:rPr>
          <w:rFonts w:ascii="Times New Roman" w:hAnsi="Times New Roman" w:cs="Times New Roman"/>
        </w:rPr>
        <w:t xml:space="preserve">, 27 (2008), pp. 99–136; S. Gallagher, </w:t>
      </w:r>
      <w:r>
        <w:rPr>
          <w:rFonts w:ascii="Times New Roman" w:hAnsi="Times New Roman" w:cs="Times New Roman"/>
        </w:rPr>
        <w:t>‘</w:t>
      </w:r>
      <w:r w:rsidRPr="008D5A13">
        <w:rPr>
          <w:rFonts w:ascii="Times New Roman" w:hAnsi="Times New Roman" w:cs="Times New Roman"/>
        </w:rPr>
        <w:t>Models of Varietas: Studies in Style and Attribution in the Motets of Johannes Regis and His Contemporaries</w:t>
      </w:r>
      <w:r>
        <w:rPr>
          <w:rFonts w:ascii="Times New Roman" w:hAnsi="Times New Roman" w:cs="Times New Roman"/>
        </w:rPr>
        <w:t>’</w:t>
      </w:r>
      <w:r w:rsidRPr="00B95FCD">
        <w:rPr>
          <w:rFonts w:ascii="Times New Roman" w:hAnsi="Times New Roman" w:cs="Times New Roman"/>
        </w:rPr>
        <w:t>, PhD Thesis (Harvard University, 1998). See also, A. Luko, ‘</w:t>
      </w:r>
      <w:r w:rsidRPr="00B95FCD">
        <w:rPr>
          <w:rFonts w:ascii="Times New Roman" w:hAnsi="Times New Roman" w:cs="Times New Roman"/>
          <w:bCs/>
          <w:lang w:val="en-US"/>
        </w:rPr>
        <w:t xml:space="preserve">Unification and </w:t>
      </w:r>
      <w:r w:rsidRPr="00B95FCD">
        <w:rPr>
          <w:rFonts w:ascii="Times New Roman" w:hAnsi="Times New Roman" w:cs="Times New Roman"/>
          <w:bCs/>
          <w:i/>
          <w:lang w:val="en-US"/>
        </w:rPr>
        <w:t>varietas</w:t>
      </w:r>
      <w:r w:rsidRPr="00B95FCD">
        <w:rPr>
          <w:rFonts w:ascii="Times New Roman" w:hAnsi="Times New Roman" w:cs="Times New Roman"/>
          <w:bCs/>
          <w:lang w:val="en-US"/>
        </w:rPr>
        <w:t xml:space="preserve"> in the </w:t>
      </w:r>
      <w:r w:rsidRPr="00B95FCD">
        <w:rPr>
          <w:rFonts w:ascii="Times New Roman" w:hAnsi="Times New Roman" w:cs="Times New Roman"/>
          <w:bCs/>
          <w:i/>
          <w:lang w:val="en-US"/>
        </w:rPr>
        <w:t>sine nomine</w:t>
      </w:r>
      <w:r w:rsidRPr="00B95FCD">
        <w:rPr>
          <w:rFonts w:ascii="Times New Roman" w:hAnsi="Times New Roman" w:cs="Times New Roman"/>
          <w:bCs/>
          <w:lang w:val="en-US"/>
        </w:rPr>
        <w:t xml:space="preserve"> Mass from Dufay to </w:t>
      </w:r>
      <w:r>
        <w:rPr>
          <w:rFonts w:ascii="Times New Roman" w:hAnsi="Times New Roman" w:cs="Times New Roman"/>
          <w:bCs/>
          <w:lang w:val="en-US"/>
        </w:rPr>
        <w:t>Tinctoris’, PhD Thesis (</w:t>
      </w:r>
      <w:r w:rsidRPr="00B95FCD">
        <w:rPr>
          <w:rFonts w:ascii="Times New Roman" w:hAnsi="Times New Roman" w:cs="Times New Roman"/>
          <w:bCs/>
          <w:lang w:val="en-US"/>
        </w:rPr>
        <w:t xml:space="preserve">McGill University, 2008). </w:t>
      </w:r>
    </w:p>
  </w:footnote>
  <w:footnote w:id="36">
    <w:p w14:paraId="2DA58542" w14:textId="02819E9E" w:rsidR="00E03A60" w:rsidRPr="00B95FCD" w:rsidRDefault="00E03A60" w:rsidP="003B4139">
      <w:pPr>
        <w:pStyle w:val="FootnoteText"/>
        <w:spacing w:line="480" w:lineRule="auto"/>
        <w:rPr>
          <w:rFonts w:ascii="Times New Roman" w:hAnsi="Times New Roman" w:cs="Times New Roman"/>
          <w:lang w:val="en-US"/>
        </w:rPr>
      </w:pPr>
      <w:r w:rsidRPr="00791910">
        <w:rPr>
          <w:rStyle w:val="FootnoteReference"/>
          <w:rFonts w:ascii="Times New Roman" w:hAnsi="Times New Roman" w:cs="Times New Roman"/>
        </w:rPr>
        <w:footnoteRef/>
      </w:r>
      <w:r w:rsidRPr="00791910">
        <w:rPr>
          <w:rFonts w:ascii="Times New Roman" w:hAnsi="Times New Roman" w:cs="Times New Roman"/>
        </w:rPr>
        <w:t xml:space="preserve"> </w:t>
      </w:r>
      <w:r w:rsidRPr="00791910">
        <w:rPr>
          <w:rFonts w:ascii="Times New Roman" w:hAnsi="Times New Roman" w:cs="Times New Roman"/>
          <w:lang w:val="en-US"/>
        </w:rPr>
        <w:t xml:space="preserve">Tinctoris, </w:t>
      </w:r>
      <w:r w:rsidRPr="00B95FCD">
        <w:rPr>
          <w:rFonts w:ascii="Times New Roman" w:hAnsi="Times New Roman" w:cs="Times New Roman"/>
          <w:i/>
          <w:lang w:val="en-US"/>
        </w:rPr>
        <w:t>De contr.</w:t>
      </w:r>
      <w:r w:rsidRPr="00B95FCD">
        <w:rPr>
          <w:rFonts w:ascii="Times New Roman" w:hAnsi="Times New Roman" w:cs="Times New Roman"/>
          <w:lang w:val="en-US"/>
        </w:rPr>
        <w:t>, II</w:t>
      </w:r>
      <w:r>
        <w:rPr>
          <w:rFonts w:ascii="Times New Roman" w:hAnsi="Times New Roman" w:cs="Times New Roman"/>
          <w:lang w:val="en-US"/>
        </w:rPr>
        <w:t>I.vi, ed. D’Agostino, pp. 374–</w:t>
      </w:r>
      <w:r w:rsidRPr="00B95FCD">
        <w:rPr>
          <w:rFonts w:ascii="Times New Roman" w:hAnsi="Times New Roman" w:cs="Times New Roman"/>
          <w:lang w:val="en-US"/>
        </w:rPr>
        <w:t>6 and trans. Seay, p. 137</w:t>
      </w:r>
      <w:r>
        <w:rPr>
          <w:rFonts w:ascii="Times New Roman" w:hAnsi="Times New Roman" w:cs="Times New Roman"/>
          <w:lang w:val="en-US"/>
        </w:rPr>
        <w:t>,</w:t>
      </w:r>
      <w:r w:rsidRPr="00B95FCD">
        <w:rPr>
          <w:rFonts w:ascii="Times New Roman" w:hAnsi="Times New Roman" w:cs="Times New Roman"/>
          <w:lang w:val="en-US"/>
        </w:rPr>
        <w:t xml:space="preserve"> with small modification. If ‘redicta’ is taken to translate as ‘reduplication’, then it is possible to link it to the notion of ‘conduplicatio’, as discussed in the </w:t>
      </w:r>
      <w:r w:rsidRPr="00B95FCD">
        <w:rPr>
          <w:rFonts w:ascii="Times New Roman" w:hAnsi="Times New Roman" w:cs="Times New Roman"/>
          <w:i/>
          <w:lang w:val="en-US"/>
        </w:rPr>
        <w:t>Rhetorica ad Herennium</w:t>
      </w:r>
      <w:r w:rsidRPr="00B95FCD">
        <w:rPr>
          <w:rFonts w:ascii="Times New Roman" w:hAnsi="Times New Roman" w:cs="Times New Roman"/>
          <w:lang w:val="en-US"/>
        </w:rPr>
        <w:t xml:space="preserve">. I am grateful to Jeffrey Dean for drawing my attention to this. </w:t>
      </w:r>
    </w:p>
  </w:footnote>
  <w:footnote w:id="37">
    <w:p w14:paraId="2023E241" w14:textId="610BCAA7"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It is interesting to note that this example is approximately the same length as ‘O Deus princeps…’, the example demonstrating chromatically altered concords. A number of Tinctoris’s examples from this passage follow a similar formula, and thus may constitute something of a model of composition. </w:t>
      </w:r>
      <w:r w:rsidRPr="00791910">
        <w:rPr>
          <w:rFonts w:ascii="Times New Roman" w:hAnsi="Times New Roman" w:cs="Times New Roman"/>
          <w:lang w:val="en-US"/>
        </w:rPr>
        <w:t xml:space="preserve">This structure normally consists of three or four musical phrases, each of which is articulated with clear cadences. </w:t>
      </w:r>
      <w:r w:rsidRPr="00B95FCD">
        <w:rPr>
          <w:rFonts w:ascii="Times New Roman" w:hAnsi="Times New Roman" w:cs="Times New Roman"/>
          <w:lang w:val="en-US"/>
        </w:rPr>
        <w:t xml:space="preserve">Examples of this style usually fit within the span of a single opening, or require only a small extension onto the second side of an opening. </w:t>
      </w:r>
      <w:r>
        <w:rPr>
          <w:rFonts w:ascii="Times New Roman" w:hAnsi="Times New Roman" w:cs="Times New Roman"/>
          <w:lang w:val="en-US"/>
        </w:rPr>
        <w:t xml:space="preserve">The one exception to this rule is that with the text ‘Salve martyr virgoque Barbara’ found in </w:t>
      </w:r>
      <w:r>
        <w:rPr>
          <w:rFonts w:ascii="Times New Roman" w:hAnsi="Times New Roman" w:cs="Times New Roman"/>
          <w:i/>
          <w:lang w:val="en-US"/>
        </w:rPr>
        <w:t xml:space="preserve">De contr. </w:t>
      </w:r>
      <w:r>
        <w:rPr>
          <w:rFonts w:ascii="Times New Roman" w:hAnsi="Times New Roman" w:cs="Times New Roman"/>
          <w:lang w:val="en-US"/>
        </w:rPr>
        <w:t xml:space="preserve">II.xxiii. </w:t>
      </w:r>
      <w:r>
        <w:rPr>
          <w:rFonts w:ascii="Times New Roman" w:hAnsi="Times New Roman" w:cs="Times New Roman"/>
        </w:rPr>
        <w:t xml:space="preserve">On this see, </w:t>
      </w:r>
    </w:p>
  </w:footnote>
  <w:footnote w:id="38">
    <w:p w14:paraId="53D78696" w14:textId="701ACF7D" w:rsidR="00E03A60" w:rsidRPr="003B4139" w:rsidRDefault="00E03A60" w:rsidP="003B4139">
      <w:pPr>
        <w:pStyle w:val="FootnoteText"/>
        <w:spacing w:line="480" w:lineRule="auto"/>
        <w:rPr>
          <w:rFonts w:ascii="Times New Roman" w:hAnsi="Times New Roman" w:cs="Times New Roman"/>
        </w:rPr>
      </w:pPr>
      <w:r w:rsidRPr="003B4139">
        <w:rPr>
          <w:rStyle w:val="FootnoteReference"/>
          <w:rFonts w:ascii="Times New Roman" w:hAnsi="Times New Roman" w:cs="Times New Roman"/>
        </w:rPr>
        <w:footnoteRef/>
      </w:r>
      <w:r w:rsidRPr="003B4139">
        <w:rPr>
          <w:rFonts w:ascii="Times New Roman" w:hAnsi="Times New Roman" w:cs="Times New Roman"/>
        </w:rPr>
        <w:t xml:space="preserve"> The </w:t>
      </w:r>
      <w:r w:rsidRPr="003B4139">
        <w:rPr>
          <w:rFonts w:ascii="Times New Roman" w:hAnsi="Times New Roman" w:cs="Times New Roman"/>
          <w:i/>
        </w:rPr>
        <w:t>signum</w:t>
      </w:r>
      <w:r w:rsidRPr="003B4139">
        <w:rPr>
          <w:rFonts w:ascii="Times New Roman" w:hAnsi="Times New Roman" w:cs="Times New Roman"/>
        </w:rPr>
        <w:t xml:space="preserve"> on the the sixth note of the Tenor, clearly visible in Figure 5 and present in </w:t>
      </w:r>
      <w:r w:rsidRPr="003B4139">
        <w:rPr>
          <w:rFonts w:ascii="Times New Roman" w:hAnsi="Times New Roman" w:cs="Times New Roman"/>
          <w:b/>
        </w:rPr>
        <w:t>BU</w:t>
      </w:r>
      <w:r w:rsidRPr="003B4139">
        <w:rPr>
          <w:rFonts w:ascii="Times New Roman" w:hAnsi="Times New Roman" w:cs="Times New Roman"/>
        </w:rPr>
        <w:t xml:space="preserve">, is erroneously omitted from Seay’s edition. See, Tinctoris, Johannes, </w:t>
      </w:r>
      <w:r w:rsidRPr="003B4139">
        <w:rPr>
          <w:rFonts w:ascii="Times New Roman" w:hAnsi="Times New Roman" w:cs="Times New Roman"/>
          <w:i/>
        </w:rPr>
        <w:t>Liber de arte contrapuncti</w:t>
      </w:r>
      <w:r w:rsidRPr="003B4139">
        <w:rPr>
          <w:rFonts w:ascii="Times New Roman" w:hAnsi="Times New Roman" w:cs="Times New Roman"/>
        </w:rPr>
        <w:t xml:space="preserve">, ed. Albert Seay, </w:t>
      </w:r>
      <w:r w:rsidRPr="003B4139">
        <w:rPr>
          <w:rFonts w:ascii="Times New Roman" w:hAnsi="Times New Roman" w:cs="Times New Roman"/>
          <w:i/>
        </w:rPr>
        <w:t>Opera theoretica</w:t>
      </w:r>
      <w:r w:rsidRPr="003B4139">
        <w:rPr>
          <w:rFonts w:ascii="Times New Roman" w:hAnsi="Times New Roman" w:cs="Times New Roman"/>
        </w:rPr>
        <w:t xml:space="preserve">, vol. 2 (CSM 22, 1975), pp. 152–153. D’Agostino records this </w:t>
      </w:r>
      <w:r w:rsidRPr="003B4139">
        <w:rPr>
          <w:rFonts w:ascii="Times New Roman" w:hAnsi="Times New Roman" w:cs="Times New Roman"/>
          <w:i/>
        </w:rPr>
        <w:t>signum</w:t>
      </w:r>
      <w:r w:rsidRPr="003B4139">
        <w:rPr>
          <w:rFonts w:ascii="Times New Roman" w:hAnsi="Times New Roman" w:cs="Times New Roman"/>
        </w:rPr>
        <w:t xml:space="preserve"> correctly in his edition: see D’Agostino, pp. 374–375.</w:t>
      </w:r>
    </w:p>
  </w:footnote>
  <w:footnote w:id="39">
    <w:p w14:paraId="16DA02A7" w14:textId="01FB3F16" w:rsidR="00E03A60" w:rsidRPr="00B95FCD" w:rsidRDefault="00E03A60" w:rsidP="003B4139">
      <w:pPr>
        <w:pStyle w:val="FootnoteText"/>
        <w:spacing w:line="480" w:lineRule="auto"/>
        <w:rPr>
          <w:rFonts w:ascii="Times New Roman" w:hAnsi="Times New Roman" w:cs="Times New Roman"/>
          <w:lang w:val="en-US"/>
        </w:rPr>
      </w:pPr>
      <w:r w:rsidRPr="00791910">
        <w:rPr>
          <w:rStyle w:val="FootnoteReference"/>
          <w:rFonts w:ascii="Times New Roman" w:hAnsi="Times New Roman" w:cs="Times New Roman"/>
        </w:rPr>
        <w:footnoteRef/>
      </w:r>
      <w:r w:rsidRPr="00791910">
        <w:rPr>
          <w:rFonts w:ascii="Times New Roman" w:hAnsi="Times New Roman" w:cs="Times New Roman"/>
        </w:rPr>
        <w:t xml:space="preserve"> </w:t>
      </w:r>
      <w:r w:rsidRPr="00791910">
        <w:rPr>
          <w:rFonts w:ascii="Times New Roman" w:hAnsi="Times New Roman" w:cs="Times New Roman"/>
          <w:lang w:val="en-US"/>
        </w:rPr>
        <w:t xml:space="preserve">Although using slightly different pitches, </w:t>
      </w:r>
      <w:r w:rsidRPr="00B95FCD">
        <w:rPr>
          <w:rFonts w:ascii="Times New Roman" w:hAnsi="Times New Roman" w:cs="Times New Roman"/>
          <w:lang w:val="en-US"/>
        </w:rPr>
        <w:t xml:space="preserve">the rhythmic characteristics are retained, addressing the ‘one or more’ melodic intervals of a restated figure described in the text. </w:t>
      </w:r>
    </w:p>
  </w:footnote>
  <w:footnote w:id="40">
    <w:p w14:paraId="26AA39C9" w14:textId="16A84D71" w:rsidR="00E03A60" w:rsidRPr="00B95FCD" w:rsidRDefault="00E03A60" w:rsidP="00C971C0">
      <w:pPr>
        <w:pStyle w:val="FootnoteText"/>
        <w:spacing w:line="480" w:lineRule="auto"/>
        <w:rPr>
          <w:rFonts w:ascii="Times New Roman" w:hAnsi="Times New Roman" w:cs="Times New Roman"/>
          <w:lang w:val="en-US"/>
        </w:rPr>
      </w:pPr>
      <w:r w:rsidRPr="00791910">
        <w:rPr>
          <w:rStyle w:val="FootnoteReference"/>
          <w:rFonts w:ascii="Times New Roman" w:hAnsi="Times New Roman" w:cs="Times New Roman"/>
        </w:rPr>
        <w:footnoteRef/>
      </w:r>
      <w:r w:rsidRPr="00791910">
        <w:rPr>
          <w:rFonts w:ascii="Times New Roman" w:hAnsi="Times New Roman" w:cs="Times New Roman"/>
        </w:rPr>
        <w:t xml:space="preserve"> </w:t>
      </w:r>
      <w:r w:rsidRPr="00791910">
        <w:rPr>
          <w:rFonts w:ascii="Times New Roman" w:hAnsi="Times New Roman" w:cs="Times New Roman"/>
          <w:lang w:val="en-US"/>
        </w:rPr>
        <w:t>One could argue that this is a rather ‘clumsy’ compositional moment on Tinctoris’s part</w:t>
      </w:r>
      <w:r w:rsidRPr="00B95FCD">
        <w:rPr>
          <w:rFonts w:ascii="Times New Roman" w:hAnsi="Times New Roman" w:cs="Times New Roman"/>
          <w:lang w:val="en-US"/>
        </w:rPr>
        <w:t xml:space="preserve">, though this does not diminish its pedagogical usefulness. In musical terms, however, it does disrupt the pleasant, if rather predictable, polyphonic shape of the rest of the example. The repeated Cs, in analytical terms, create the sense of a brief moment of rest across the voice parts. </w:t>
      </w:r>
    </w:p>
  </w:footnote>
  <w:footnote w:id="41">
    <w:p w14:paraId="44A487A0" w14:textId="65AA045B" w:rsidR="00E03A60" w:rsidRPr="00B95FCD" w:rsidRDefault="00E03A60" w:rsidP="003B4139">
      <w:pPr>
        <w:pStyle w:val="FootnoteText"/>
        <w:spacing w:line="480" w:lineRule="auto"/>
        <w:rPr>
          <w:rFonts w:ascii="Times New Roman" w:hAnsi="Times New Roman" w:cs="Times New Roman"/>
        </w:rPr>
      </w:pPr>
      <w:r w:rsidRPr="00791910">
        <w:rPr>
          <w:rStyle w:val="FootnoteReference"/>
          <w:rFonts w:ascii="Times New Roman" w:hAnsi="Times New Roman" w:cs="Times New Roman"/>
        </w:rPr>
        <w:footnoteRef/>
      </w:r>
      <w:r w:rsidRPr="00791910">
        <w:rPr>
          <w:rFonts w:ascii="Times New Roman" w:hAnsi="Times New Roman" w:cs="Times New Roman"/>
        </w:rPr>
        <w:t xml:space="preserve"> Tinctoris’s contemporaries would not have conceived this as a C-major triad. The triadic figure, however, was common for natural trumpets given the </w:t>
      </w:r>
      <w:r>
        <w:rPr>
          <w:rFonts w:ascii="Times New Roman" w:hAnsi="Times New Roman" w:cs="Times New Roman"/>
        </w:rPr>
        <w:t xml:space="preserve">pitch </w:t>
      </w:r>
      <w:r w:rsidRPr="00791910">
        <w:rPr>
          <w:rFonts w:ascii="Times New Roman" w:hAnsi="Times New Roman" w:cs="Times New Roman"/>
        </w:rPr>
        <w:t>constraints of the overtone series</w:t>
      </w:r>
      <w:r w:rsidRPr="00B95FCD">
        <w:rPr>
          <w:rFonts w:ascii="Times New Roman" w:hAnsi="Times New Roman" w:cs="Times New Roman"/>
        </w:rPr>
        <w:t xml:space="preserve">. </w:t>
      </w:r>
      <w:r w:rsidRPr="00B95FCD">
        <w:rPr>
          <w:rFonts w:ascii="Times New Roman" w:hAnsi="Times New Roman" w:cs="Times New Roman"/>
          <w:lang w:val="en-US"/>
        </w:rPr>
        <w:t>This is a seemingly rare instance where the example content does not follow the order of the text strictly</w:t>
      </w:r>
      <w:r>
        <w:rPr>
          <w:rFonts w:ascii="Times New Roman" w:hAnsi="Times New Roman" w:cs="Times New Roman"/>
          <w:lang w:val="en-US"/>
        </w:rPr>
        <w:t>, though this does not affect the</w:t>
      </w:r>
      <w:r w:rsidRPr="00B95FCD">
        <w:rPr>
          <w:rFonts w:ascii="Times New Roman" w:hAnsi="Times New Roman" w:cs="Times New Roman"/>
          <w:lang w:val="en-US"/>
        </w:rPr>
        <w:t xml:space="preserve"> text–example relationship significantly. </w:t>
      </w:r>
    </w:p>
  </w:footnote>
  <w:footnote w:id="42">
    <w:p w14:paraId="00536B92" w14:textId="70D5480B" w:rsidR="00E03A60" w:rsidRPr="003B4139" w:rsidRDefault="00E03A60" w:rsidP="003B4139">
      <w:pPr>
        <w:pStyle w:val="FootnoteText"/>
        <w:spacing w:line="480" w:lineRule="auto"/>
        <w:rPr>
          <w:rFonts w:ascii="Times New Roman" w:hAnsi="Times New Roman" w:cs="Times New Roman"/>
        </w:rPr>
      </w:pPr>
      <w:r w:rsidRPr="003B4139">
        <w:rPr>
          <w:rStyle w:val="FootnoteReference"/>
          <w:rFonts w:ascii="Times New Roman" w:hAnsi="Times New Roman" w:cs="Times New Roman"/>
        </w:rPr>
        <w:footnoteRef/>
      </w:r>
      <w:r w:rsidRPr="003B4139">
        <w:rPr>
          <w:rFonts w:ascii="Times New Roman" w:hAnsi="Times New Roman" w:cs="Times New Roman"/>
        </w:rPr>
        <w:t xml:space="preserve"> See, Adam Whittaker, ‘Signposting mutation in some fourteenth- and fifteenth-century music theory treatises’, </w:t>
      </w:r>
      <w:r w:rsidRPr="003B4139">
        <w:rPr>
          <w:rFonts w:ascii="Times New Roman" w:hAnsi="Times New Roman" w:cs="Times New Roman"/>
          <w:i/>
        </w:rPr>
        <w:t>Plainsong &amp; Medieval Music,</w:t>
      </w:r>
      <w:r w:rsidRPr="003B4139">
        <w:rPr>
          <w:rFonts w:ascii="Times New Roman" w:hAnsi="Times New Roman" w:cs="Times New Roman"/>
        </w:rPr>
        <w:t xml:space="preserve"> 26/1, pp. 37–61.  </w:t>
      </w:r>
    </w:p>
  </w:footnote>
  <w:footnote w:id="43">
    <w:p w14:paraId="573F328B" w14:textId="395F7066" w:rsidR="00E03A60" w:rsidRPr="00B95FCD" w:rsidRDefault="00E03A60" w:rsidP="003B4139">
      <w:pPr>
        <w:pStyle w:val="Heading2"/>
        <w:spacing w:before="0" w:beforeAutospacing="0" w:after="0" w:afterAutospacing="0" w:line="480" w:lineRule="auto"/>
        <w:rPr>
          <w:b w:val="0"/>
          <w:sz w:val="20"/>
          <w:szCs w:val="20"/>
        </w:rPr>
      </w:pPr>
      <w:r w:rsidRPr="00B95FCD">
        <w:rPr>
          <w:rStyle w:val="FootnoteReference"/>
          <w:b w:val="0"/>
          <w:sz w:val="20"/>
          <w:szCs w:val="20"/>
        </w:rPr>
        <w:footnoteRef/>
      </w:r>
      <w:r w:rsidRPr="00B95FCD">
        <w:rPr>
          <w:b w:val="0"/>
          <w:sz w:val="20"/>
          <w:szCs w:val="20"/>
        </w:rPr>
        <w:t xml:space="preserve"> See ‘Rubrication’, </w:t>
      </w:r>
      <w:r w:rsidRPr="00B95FCD">
        <w:rPr>
          <w:b w:val="0"/>
          <w:i/>
          <w:sz w:val="20"/>
          <w:szCs w:val="20"/>
        </w:rPr>
        <w:t>The</w:t>
      </w:r>
      <w:r w:rsidRPr="00B95FCD">
        <w:rPr>
          <w:b w:val="0"/>
          <w:sz w:val="20"/>
          <w:szCs w:val="20"/>
        </w:rPr>
        <w:t xml:space="preserve"> </w:t>
      </w:r>
      <w:r w:rsidRPr="00B95FCD">
        <w:rPr>
          <w:b w:val="0"/>
          <w:i/>
          <w:sz w:val="20"/>
          <w:szCs w:val="20"/>
        </w:rPr>
        <w:t>Oxford Companion to the Book</w:t>
      </w:r>
      <w:r w:rsidRPr="00B95FCD">
        <w:rPr>
          <w:b w:val="0"/>
          <w:sz w:val="20"/>
          <w:szCs w:val="20"/>
        </w:rPr>
        <w:t xml:space="preserve">, eds. M. F. Suarez, S.J. and H. R. Woudhuysen (Oxford: Oxford University Press, 2010), </w:t>
      </w:r>
      <w:hyperlink r:id="rId3" w:history="1">
        <w:r w:rsidRPr="00B95FCD">
          <w:rPr>
            <w:rStyle w:val="Hyperlink"/>
            <w:b w:val="0"/>
            <w:sz w:val="20"/>
            <w:szCs w:val="20"/>
            <w:lang w:val="en-US"/>
          </w:rPr>
          <w:t>http://www.oxfordreference.com/view/10.1093/acref/9780198606536.001.0001/acref-9780198606536-e-4231</w:t>
        </w:r>
      </w:hyperlink>
      <w:r>
        <w:rPr>
          <w:b w:val="0"/>
          <w:sz w:val="20"/>
          <w:szCs w:val="20"/>
          <w:lang w:val="en-US"/>
        </w:rPr>
        <w:t xml:space="preserve"> (accessed 21 August 2016</w:t>
      </w:r>
      <w:r w:rsidRPr="00B95FCD">
        <w:rPr>
          <w:b w:val="0"/>
          <w:sz w:val="20"/>
          <w:szCs w:val="20"/>
          <w:lang w:val="en-US"/>
        </w:rPr>
        <w:t xml:space="preserve">). </w:t>
      </w:r>
    </w:p>
  </w:footnote>
  <w:footnote w:id="44">
    <w:p w14:paraId="0E5EFBE6" w14:textId="68C59469"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See S. Huot, </w:t>
      </w:r>
      <w:r w:rsidRPr="00B95FCD">
        <w:rPr>
          <w:rFonts w:ascii="Times New Roman" w:hAnsi="Times New Roman" w:cs="Times New Roman"/>
          <w:i/>
        </w:rPr>
        <w:t xml:space="preserve">From Song to Book: The Poetics of Writing in Old French Lyric and Lyrical Narrative Poetry </w:t>
      </w:r>
      <w:r w:rsidRPr="00B95FCD">
        <w:rPr>
          <w:rFonts w:ascii="Times New Roman" w:hAnsi="Times New Roman" w:cs="Times New Roman"/>
        </w:rPr>
        <w:t>(Ithica &amp; London: Cornell Univer</w:t>
      </w:r>
      <w:r>
        <w:rPr>
          <w:rFonts w:ascii="Times New Roman" w:hAnsi="Times New Roman" w:cs="Times New Roman"/>
        </w:rPr>
        <w:t>sity Press, 1987), esp. pp. 36–</w:t>
      </w:r>
      <w:r w:rsidRPr="00B95FCD">
        <w:rPr>
          <w:rFonts w:ascii="Times New Roman" w:hAnsi="Times New Roman" w:cs="Times New Roman"/>
        </w:rPr>
        <w:t xml:space="preserve">9, pp. 46–82, pp. 99–105.   </w:t>
      </w:r>
    </w:p>
  </w:footnote>
  <w:footnote w:id="45">
    <w:p w14:paraId="68A58B26" w14:textId="094A5D68"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Huot, </w:t>
      </w:r>
      <w:r w:rsidRPr="00B95FCD">
        <w:rPr>
          <w:rFonts w:ascii="Times New Roman" w:hAnsi="Times New Roman" w:cs="Times New Roman"/>
          <w:i/>
        </w:rPr>
        <w:t xml:space="preserve">From Song to Book, </w:t>
      </w:r>
      <w:r w:rsidRPr="00B95FCD">
        <w:rPr>
          <w:rFonts w:ascii="Times New Roman" w:hAnsi="Times New Roman" w:cs="Times New Roman"/>
        </w:rPr>
        <w:t>p. 99.</w:t>
      </w:r>
    </w:p>
  </w:footnote>
  <w:footnote w:id="46">
    <w:p w14:paraId="2E82DFAE" w14:textId="124C8BF5" w:rsidR="00E03A60" w:rsidRPr="00B95FCD" w:rsidRDefault="00E03A60" w:rsidP="003B4139">
      <w:pPr>
        <w:pStyle w:val="Heading2"/>
        <w:spacing w:before="0" w:beforeAutospacing="0" w:after="0" w:afterAutospacing="0" w:line="480" w:lineRule="auto"/>
        <w:rPr>
          <w:b w:val="0"/>
          <w:sz w:val="20"/>
          <w:szCs w:val="20"/>
        </w:rPr>
      </w:pPr>
      <w:r w:rsidRPr="00B95FCD">
        <w:rPr>
          <w:rStyle w:val="FootnoteReference"/>
          <w:b w:val="0"/>
          <w:sz w:val="20"/>
          <w:szCs w:val="20"/>
        </w:rPr>
        <w:footnoteRef/>
      </w:r>
      <w:r w:rsidRPr="00B95FCD">
        <w:rPr>
          <w:b w:val="0"/>
          <w:sz w:val="20"/>
          <w:szCs w:val="20"/>
        </w:rPr>
        <w:t xml:space="preserve"> The most recent contribution to this debate is Woodley, ‘The Dating and Provenance of Valencia 835: A Suggested Revision’, </w:t>
      </w:r>
      <w:r w:rsidRPr="00B95FCD">
        <w:rPr>
          <w:b w:val="0"/>
          <w:i/>
          <w:sz w:val="20"/>
          <w:szCs w:val="20"/>
        </w:rPr>
        <w:t xml:space="preserve">Early Music Theory Online, </w:t>
      </w:r>
      <w:hyperlink r:id="rId4" w:history="1">
        <w:r w:rsidRPr="00B95FCD">
          <w:rPr>
            <w:rStyle w:val="Hyperlink"/>
            <w:b w:val="0"/>
            <w:i/>
            <w:sz w:val="20"/>
            <w:szCs w:val="20"/>
          </w:rPr>
          <w:t>http://earlymusictheory.org/Tinctoris/Articles/DatingAndProvenanceOfValencia835/#</w:t>
        </w:r>
      </w:hyperlink>
      <w:r w:rsidRPr="00B95FCD">
        <w:rPr>
          <w:b w:val="0"/>
          <w:i/>
          <w:sz w:val="20"/>
          <w:szCs w:val="20"/>
        </w:rPr>
        <w:t xml:space="preserve"> </w:t>
      </w:r>
      <w:r w:rsidRPr="00B95FCD">
        <w:rPr>
          <w:b w:val="0"/>
          <w:sz w:val="20"/>
          <w:szCs w:val="20"/>
        </w:rPr>
        <w:t xml:space="preserve">(accessed </w:t>
      </w:r>
      <w:r>
        <w:rPr>
          <w:b w:val="0"/>
          <w:sz w:val="20"/>
          <w:szCs w:val="20"/>
        </w:rPr>
        <w:t>13 May 2017</w:t>
      </w:r>
      <w:r w:rsidRPr="00B95FCD">
        <w:rPr>
          <w:b w:val="0"/>
          <w:sz w:val="20"/>
          <w:szCs w:val="20"/>
        </w:rPr>
        <w:t>).  Woodley’s article also summarises other earlier contributions to this debate.</w:t>
      </w:r>
    </w:p>
  </w:footnote>
  <w:footnote w:id="47">
    <w:p w14:paraId="6DCBE03D" w14:textId="681E6E40" w:rsidR="00E03A60" w:rsidRPr="00B95FCD" w:rsidRDefault="00E03A60" w:rsidP="003B4139">
      <w:pPr>
        <w:pStyle w:val="FootnoteText"/>
        <w:spacing w:line="480" w:lineRule="auto"/>
        <w:rPr>
          <w:rFonts w:ascii="Times New Roman" w:hAnsi="Times New Roman" w:cs="Times New Roman"/>
        </w:rPr>
      </w:pPr>
      <w:r w:rsidRPr="00B95FCD">
        <w:rPr>
          <w:rStyle w:val="FootnoteReference"/>
          <w:rFonts w:ascii="Times New Roman" w:hAnsi="Times New Roman" w:cs="Times New Roman"/>
        </w:rPr>
        <w:footnoteRef/>
      </w:r>
      <w:r w:rsidRPr="00B95FCD">
        <w:rPr>
          <w:rFonts w:ascii="Times New Roman" w:hAnsi="Times New Roman" w:cs="Times New Roman"/>
        </w:rPr>
        <w:t xml:space="preserve"> See L. Perkins, ‘Introduction’, </w:t>
      </w:r>
      <w:r w:rsidRPr="00B95FCD">
        <w:rPr>
          <w:rFonts w:ascii="Times New Roman" w:hAnsi="Times New Roman" w:cs="Times New Roman"/>
          <w:i/>
        </w:rPr>
        <w:t>The Mellon Chansonnier</w:t>
      </w:r>
      <w:r w:rsidRPr="00B95FCD">
        <w:rPr>
          <w:rFonts w:ascii="Times New Roman" w:hAnsi="Times New Roman" w:cs="Times New Roman"/>
        </w:rPr>
        <w:t xml:space="preserve">, eds. L. Perkins and H. Garey (New Haven: Yale University Press, 1979), pp. 1–32. Some other manuscripts copied by Crispus make use of similar symbols as rubrication marks. </w:t>
      </w:r>
    </w:p>
  </w:footnote>
  <w:footnote w:id="48">
    <w:p w14:paraId="32E98B4F" w14:textId="0D09CFE1" w:rsidR="00E03A60" w:rsidRPr="00B95FCD" w:rsidRDefault="00E03A60" w:rsidP="003B4139">
      <w:pPr>
        <w:pStyle w:val="FootnoteText"/>
        <w:spacing w:line="480" w:lineRule="auto"/>
        <w:rPr>
          <w:rFonts w:ascii="Times New Roman" w:hAnsi="Times New Roman" w:cs="Times New Roman"/>
          <w:lang w:val="en-US"/>
        </w:rPr>
      </w:pPr>
      <w:r w:rsidRPr="00B95FCD">
        <w:rPr>
          <w:rStyle w:val="FootnoteReference"/>
          <w:rFonts w:ascii="Times New Roman" w:hAnsi="Times New Roman" w:cs="Times New Roman"/>
        </w:rPr>
        <w:footnoteRef/>
      </w:r>
      <w:r w:rsidRPr="00B95FCD">
        <w:rPr>
          <w:rFonts w:ascii="Times New Roman" w:hAnsi="Times New Roman" w:cs="Times New Roman"/>
        </w:rPr>
        <w:t xml:space="preserve"> </w:t>
      </w:r>
      <w:r w:rsidRPr="00B95FCD">
        <w:rPr>
          <w:rFonts w:ascii="Times New Roman" w:hAnsi="Times New Roman" w:cs="Times New Roman"/>
          <w:lang w:val="en-US"/>
        </w:rPr>
        <w:t xml:space="preserve">I am grateful to Jeffrey Dean for discussing this with me at some length. This practice applies throughout the manuscripts and is being included in updated editions on </w:t>
      </w:r>
      <w:hyperlink r:id="rId5" w:history="1">
        <w:r w:rsidRPr="00B95FCD">
          <w:rPr>
            <w:rStyle w:val="Hyperlink"/>
            <w:rFonts w:ascii="Times New Roman" w:hAnsi="Times New Roman" w:cs="Times New Roman"/>
            <w:lang w:val="en-US"/>
          </w:rPr>
          <w:t>http://earlymusictheory.org/Tinctoris/</w:t>
        </w:r>
      </w:hyperlink>
      <w:r w:rsidRPr="00B95FCD">
        <w:rPr>
          <w:rFonts w:ascii="Times New Roman" w:hAnsi="Times New Roman" w:cs="Times New Roman"/>
          <w:lang w:val="en-US"/>
        </w:rPr>
        <w:t xml:space="preserve">. See C. Goursaud, </w:t>
      </w:r>
      <w:r w:rsidRPr="008D5A13">
        <w:rPr>
          <w:rFonts w:ascii="Times New Roman" w:hAnsi="Times New Roman" w:cs="Times New Roman"/>
          <w:lang w:val="en-US"/>
        </w:rPr>
        <w:t>The Neapolitan Presentation Manuscripts of Tinctoris’s Music Theory: Valencia 835 and Bologna 2573</w:t>
      </w:r>
      <w:r w:rsidRPr="00B95FCD">
        <w:rPr>
          <w:rFonts w:ascii="Times New Roman" w:hAnsi="Times New Roman" w:cs="Times New Roman"/>
          <w:lang w:val="en-US"/>
        </w:rPr>
        <w:t xml:space="preserve">, PhD Thesis (Birmingham City University, 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1A2"/>
    <w:multiLevelType w:val="hybridMultilevel"/>
    <w:tmpl w:val="C02C0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8F"/>
    <w:rsid w:val="0000334A"/>
    <w:rsid w:val="0000760B"/>
    <w:rsid w:val="00007A73"/>
    <w:rsid w:val="000133BB"/>
    <w:rsid w:val="0001378B"/>
    <w:rsid w:val="00014464"/>
    <w:rsid w:val="00017386"/>
    <w:rsid w:val="00022CF4"/>
    <w:rsid w:val="000231D3"/>
    <w:rsid w:val="00031251"/>
    <w:rsid w:val="000402C8"/>
    <w:rsid w:val="00040ECD"/>
    <w:rsid w:val="00041096"/>
    <w:rsid w:val="00050424"/>
    <w:rsid w:val="00051F7F"/>
    <w:rsid w:val="00052380"/>
    <w:rsid w:val="000533F8"/>
    <w:rsid w:val="00053732"/>
    <w:rsid w:val="000543F2"/>
    <w:rsid w:val="0005577E"/>
    <w:rsid w:val="00056D65"/>
    <w:rsid w:val="000616FE"/>
    <w:rsid w:val="00062AE6"/>
    <w:rsid w:val="0006489C"/>
    <w:rsid w:val="00070014"/>
    <w:rsid w:val="00071BC5"/>
    <w:rsid w:val="000778EE"/>
    <w:rsid w:val="000845A3"/>
    <w:rsid w:val="000949DE"/>
    <w:rsid w:val="000A1FDE"/>
    <w:rsid w:val="000A6B2C"/>
    <w:rsid w:val="000B028E"/>
    <w:rsid w:val="000B04E6"/>
    <w:rsid w:val="000B1D6B"/>
    <w:rsid w:val="000B27EF"/>
    <w:rsid w:val="000B752B"/>
    <w:rsid w:val="000C312E"/>
    <w:rsid w:val="000C32F6"/>
    <w:rsid w:val="000C510C"/>
    <w:rsid w:val="000C618C"/>
    <w:rsid w:val="000D1266"/>
    <w:rsid w:val="000D3DCC"/>
    <w:rsid w:val="000D571F"/>
    <w:rsid w:val="000E0133"/>
    <w:rsid w:val="000E0A55"/>
    <w:rsid w:val="000E36B7"/>
    <w:rsid w:val="000E3771"/>
    <w:rsid w:val="000E622F"/>
    <w:rsid w:val="000E63E9"/>
    <w:rsid w:val="000F4942"/>
    <w:rsid w:val="0011667A"/>
    <w:rsid w:val="00120E1F"/>
    <w:rsid w:val="00125B10"/>
    <w:rsid w:val="00126AA8"/>
    <w:rsid w:val="00133D4B"/>
    <w:rsid w:val="00135B19"/>
    <w:rsid w:val="001423AB"/>
    <w:rsid w:val="00143D9D"/>
    <w:rsid w:val="00150710"/>
    <w:rsid w:val="00157707"/>
    <w:rsid w:val="00165B92"/>
    <w:rsid w:val="00167B75"/>
    <w:rsid w:val="0017022D"/>
    <w:rsid w:val="001713ED"/>
    <w:rsid w:val="0017195F"/>
    <w:rsid w:val="00172F50"/>
    <w:rsid w:val="00175C7A"/>
    <w:rsid w:val="00177629"/>
    <w:rsid w:val="0018065D"/>
    <w:rsid w:val="00182320"/>
    <w:rsid w:val="00190DB8"/>
    <w:rsid w:val="001923A4"/>
    <w:rsid w:val="001A1407"/>
    <w:rsid w:val="001A165A"/>
    <w:rsid w:val="001A4C07"/>
    <w:rsid w:val="001A4E3F"/>
    <w:rsid w:val="001A68F7"/>
    <w:rsid w:val="001B02B8"/>
    <w:rsid w:val="001B1862"/>
    <w:rsid w:val="001B232C"/>
    <w:rsid w:val="001C1A52"/>
    <w:rsid w:val="001C7F82"/>
    <w:rsid w:val="001D4828"/>
    <w:rsid w:val="001D5C3D"/>
    <w:rsid w:val="001D7035"/>
    <w:rsid w:val="001F001A"/>
    <w:rsid w:val="001F0FD4"/>
    <w:rsid w:val="001F11F6"/>
    <w:rsid w:val="001F7BC3"/>
    <w:rsid w:val="00200D25"/>
    <w:rsid w:val="00203A6C"/>
    <w:rsid w:val="002063FA"/>
    <w:rsid w:val="00206DC3"/>
    <w:rsid w:val="00211505"/>
    <w:rsid w:val="00212C22"/>
    <w:rsid w:val="00215263"/>
    <w:rsid w:val="00215475"/>
    <w:rsid w:val="002206E2"/>
    <w:rsid w:val="00220FDE"/>
    <w:rsid w:val="002235EA"/>
    <w:rsid w:val="00224B3F"/>
    <w:rsid w:val="00225C17"/>
    <w:rsid w:val="00232C9A"/>
    <w:rsid w:val="00236B65"/>
    <w:rsid w:val="00236BA6"/>
    <w:rsid w:val="00240320"/>
    <w:rsid w:val="00240A11"/>
    <w:rsid w:val="00243ACD"/>
    <w:rsid w:val="00246ACC"/>
    <w:rsid w:val="00253202"/>
    <w:rsid w:val="00256286"/>
    <w:rsid w:val="00263312"/>
    <w:rsid w:val="00266940"/>
    <w:rsid w:val="00270181"/>
    <w:rsid w:val="002719D8"/>
    <w:rsid w:val="00273EBC"/>
    <w:rsid w:val="0027644F"/>
    <w:rsid w:val="00277FCB"/>
    <w:rsid w:val="00280781"/>
    <w:rsid w:val="00282581"/>
    <w:rsid w:val="00294096"/>
    <w:rsid w:val="00297417"/>
    <w:rsid w:val="002A078B"/>
    <w:rsid w:val="002A2B47"/>
    <w:rsid w:val="002A3442"/>
    <w:rsid w:val="002A59DC"/>
    <w:rsid w:val="002B5E00"/>
    <w:rsid w:val="002B6021"/>
    <w:rsid w:val="002B630E"/>
    <w:rsid w:val="002C274A"/>
    <w:rsid w:val="002C60EF"/>
    <w:rsid w:val="002C71E5"/>
    <w:rsid w:val="002D12C0"/>
    <w:rsid w:val="002D2E73"/>
    <w:rsid w:val="002D2F41"/>
    <w:rsid w:val="002D4AFA"/>
    <w:rsid w:val="002D5ABB"/>
    <w:rsid w:val="002D67EF"/>
    <w:rsid w:val="002E5687"/>
    <w:rsid w:val="002F39E5"/>
    <w:rsid w:val="002F73F4"/>
    <w:rsid w:val="002F7493"/>
    <w:rsid w:val="00303C85"/>
    <w:rsid w:val="003056FD"/>
    <w:rsid w:val="0030576A"/>
    <w:rsid w:val="00316443"/>
    <w:rsid w:val="00316A6A"/>
    <w:rsid w:val="003177B4"/>
    <w:rsid w:val="00317D6C"/>
    <w:rsid w:val="003224AC"/>
    <w:rsid w:val="00324A23"/>
    <w:rsid w:val="00325A53"/>
    <w:rsid w:val="00327660"/>
    <w:rsid w:val="003276B5"/>
    <w:rsid w:val="003319F2"/>
    <w:rsid w:val="00332893"/>
    <w:rsid w:val="003350A1"/>
    <w:rsid w:val="0034509F"/>
    <w:rsid w:val="003475BC"/>
    <w:rsid w:val="00350EF6"/>
    <w:rsid w:val="00351F92"/>
    <w:rsid w:val="00352B4C"/>
    <w:rsid w:val="00357FE2"/>
    <w:rsid w:val="0036053D"/>
    <w:rsid w:val="003627CA"/>
    <w:rsid w:val="0036395B"/>
    <w:rsid w:val="00364574"/>
    <w:rsid w:val="00364A09"/>
    <w:rsid w:val="00366484"/>
    <w:rsid w:val="00371748"/>
    <w:rsid w:val="00374E41"/>
    <w:rsid w:val="003806A7"/>
    <w:rsid w:val="00383191"/>
    <w:rsid w:val="003834BC"/>
    <w:rsid w:val="00385274"/>
    <w:rsid w:val="003927A6"/>
    <w:rsid w:val="00394C2D"/>
    <w:rsid w:val="00397EC1"/>
    <w:rsid w:val="003A0B28"/>
    <w:rsid w:val="003A6905"/>
    <w:rsid w:val="003A744B"/>
    <w:rsid w:val="003B02B4"/>
    <w:rsid w:val="003B0E1E"/>
    <w:rsid w:val="003B139B"/>
    <w:rsid w:val="003B29C0"/>
    <w:rsid w:val="003B2A1D"/>
    <w:rsid w:val="003B36DC"/>
    <w:rsid w:val="003B4139"/>
    <w:rsid w:val="003B56D1"/>
    <w:rsid w:val="003C1898"/>
    <w:rsid w:val="003C1C0A"/>
    <w:rsid w:val="003C50A2"/>
    <w:rsid w:val="003C5D13"/>
    <w:rsid w:val="003C61CE"/>
    <w:rsid w:val="003C7459"/>
    <w:rsid w:val="003D3714"/>
    <w:rsid w:val="003D4940"/>
    <w:rsid w:val="003D4B9F"/>
    <w:rsid w:val="003D6A28"/>
    <w:rsid w:val="003E0902"/>
    <w:rsid w:val="003E64C0"/>
    <w:rsid w:val="003F1420"/>
    <w:rsid w:val="003F3783"/>
    <w:rsid w:val="00401740"/>
    <w:rsid w:val="00401953"/>
    <w:rsid w:val="0040217D"/>
    <w:rsid w:val="004040F1"/>
    <w:rsid w:val="00405D29"/>
    <w:rsid w:val="0040617E"/>
    <w:rsid w:val="00415C95"/>
    <w:rsid w:val="0041730C"/>
    <w:rsid w:val="004250C2"/>
    <w:rsid w:val="00425504"/>
    <w:rsid w:val="00427143"/>
    <w:rsid w:val="004317B0"/>
    <w:rsid w:val="00435D6D"/>
    <w:rsid w:val="00441A6B"/>
    <w:rsid w:val="0044285D"/>
    <w:rsid w:val="00443944"/>
    <w:rsid w:val="004460B7"/>
    <w:rsid w:val="004551B8"/>
    <w:rsid w:val="00457243"/>
    <w:rsid w:val="00457897"/>
    <w:rsid w:val="00461976"/>
    <w:rsid w:val="0046294B"/>
    <w:rsid w:val="00471EF8"/>
    <w:rsid w:val="00474A21"/>
    <w:rsid w:val="00484018"/>
    <w:rsid w:val="00493221"/>
    <w:rsid w:val="0049776F"/>
    <w:rsid w:val="0049798D"/>
    <w:rsid w:val="004A0C6A"/>
    <w:rsid w:val="004A5051"/>
    <w:rsid w:val="004B159B"/>
    <w:rsid w:val="004B1F03"/>
    <w:rsid w:val="004B62BF"/>
    <w:rsid w:val="004C1B02"/>
    <w:rsid w:val="004C3B8D"/>
    <w:rsid w:val="004C6C7D"/>
    <w:rsid w:val="004D0FF6"/>
    <w:rsid w:val="004E2E7D"/>
    <w:rsid w:val="004E64B8"/>
    <w:rsid w:val="004F1880"/>
    <w:rsid w:val="004F3F02"/>
    <w:rsid w:val="00505C5D"/>
    <w:rsid w:val="005128EB"/>
    <w:rsid w:val="005149C3"/>
    <w:rsid w:val="005172F2"/>
    <w:rsid w:val="00517E5C"/>
    <w:rsid w:val="00521349"/>
    <w:rsid w:val="00521CDF"/>
    <w:rsid w:val="005223FB"/>
    <w:rsid w:val="0052341E"/>
    <w:rsid w:val="00525277"/>
    <w:rsid w:val="00527A9F"/>
    <w:rsid w:val="00530281"/>
    <w:rsid w:val="005311C7"/>
    <w:rsid w:val="00531977"/>
    <w:rsid w:val="00534F4B"/>
    <w:rsid w:val="00535F00"/>
    <w:rsid w:val="005402C8"/>
    <w:rsid w:val="00543DB7"/>
    <w:rsid w:val="00551C4C"/>
    <w:rsid w:val="00553597"/>
    <w:rsid w:val="00560C60"/>
    <w:rsid w:val="00560D33"/>
    <w:rsid w:val="0056788F"/>
    <w:rsid w:val="00567CDD"/>
    <w:rsid w:val="00577412"/>
    <w:rsid w:val="005816AF"/>
    <w:rsid w:val="00583E6F"/>
    <w:rsid w:val="00587317"/>
    <w:rsid w:val="00593538"/>
    <w:rsid w:val="005A1A27"/>
    <w:rsid w:val="005A37E5"/>
    <w:rsid w:val="005A3AB7"/>
    <w:rsid w:val="005A5B25"/>
    <w:rsid w:val="005B6689"/>
    <w:rsid w:val="005C1422"/>
    <w:rsid w:val="005C510C"/>
    <w:rsid w:val="005C5396"/>
    <w:rsid w:val="005C675B"/>
    <w:rsid w:val="005C6CB5"/>
    <w:rsid w:val="005D5FFD"/>
    <w:rsid w:val="005D6863"/>
    <w:rsid w:val="005E0927"/>
    <w:rsid w:val="005E4374"/>
    <w:rsid w:val="005E613B"/>
    <w:rsid w:val="005E7735"/>
    <w:rsid w:val="006007C8"/>
    <w:rsid w:val="00605883"/>
    <w:rsid w:val="00613384"/>
    <w:rsid w:val="00615212"/>
    <w:rsid w:val="0062486A"/>
    <w:rsid w:val="0063456F"/>
    <w:rsid w:val="0064194E"/>
    <w:rsid w:val="00641B39"/>
    <w:rsid w:val="00643A4E"/>
    <w:rsid w:val="00647F1A"/>
    <w:rsid w:val="00650717"/>
    <w:rsid w:val="00650CE6"/>
    <w:rsid w:val="00655566"/>
    <w:rsid w:val="00655A7C"/>
    <w:rsid w:val="00657D25"/>
    <w:rsid w:val="006603D2"/>
    <w:rsid w:val="0066411D"/>
    <w:rsid w:val="006650EE"/>
    <w:rsid w:val="00665173"/>
    <w:rsid w:val="006666AB"/>
    <w:rsid w:val="00680D7D"/>
    <w:rsid w:val="006949A5"/>
    <w:rsid w:val="00695221"/>
    <w:rsid w:val="006A1F12"/>
    <w:rsid w:val="006A3258"/>
    <w:rsid w:val="006B019C"/>
    <w:rsid w:val="006B0977"/>
    <w:rsid w:val="006B5B61"/>
    <w:rsid w:val="006B6B9F"/>
    <w:rsid w:val="006C23C8"/>
    <w:rsid w:val="006C5B2D"/>
    <w:rsid w:val="006C7CC4"/>
    <w:rsid w:val="006D002B"/>
    <w:rsid w:val="006D67FD"/>
    <w:rsid w:val="006E0070"/>
    <w:rsid w:val="006E204A"/>
    <w:rsid w:val="006F4EFD"/>
    <w:rsid w:val="006F5E44"/>
    <w:rsid w:val="00705088"/>
    <w:rsid w:val="00713915"/>
    <w:rsid w:val="00715F65"/>
    <w:rsid w:val="00723563"/>
    <w:rsid w:val="007277E0"/>
    <w:rsid w:val="00730EA5"/>
    <w:rsid w:val="00732417"/>
    <w:rsid w:val="00735C57"/>
    <w:rsid w:val="00737F28"/>
    <w:rsid w:val="00741AEC"/>
    <w:rsid w:val="007429D1"/>
    <w:rsid w:val="00744C77"/>
    <w:rsid w:val="007458C3"/>
    <w:rsid w:val="00745E23"/>
    <w:rsid w:val="00746EF6"/>
    <w:rsid w:val="00751B74"/>
    <w:rsid w:val="0075224B"/>
    <w:rsid w:val="00753CF8"/>
    <w:rsid w:val="00766C6F"/>
    <w:rsid w:val="00773C3E"/>
    <w:rsid w:val="00780588"/>
    <w:rsid w:val="0078120A"/>
    <w:rsid w:val="0078214B"/>
    <w:rsid w:val="0078394C"/>
    <w:rsid w:val="007853AC"/>
    <w:rsid w:val="00785DC4"/>
    <w:rsid w:val="007868C3"/>
    <w:rsid w:val="00791304"/>
    <w:rsid w:val="00791910"/>
    <w:rsid w:val="007944D9"/>
    <w:rsid w:val="00795C10"/>
    <w:rsid w:val="0079680C"/>
    <w:rsid w:val="007A00F9"/>
    <w:rsid w:val="007A20DC"/>
    <w:rsid w:val="007A3B72"/>
    <w:rsid w:val="007A50EF"/>
    <w:rsid w:val="007A6755"/>
    <w:rsid w:val="007B0FF7"/>
    <w:rsid w:val="007B1744"/>
    <w:rsid w:val="007B17A9"/>
    <w:rsid w:val="007B1A9B"/>
    <w:rsid w:val="007B35BF"/>
    <w:rsid w:val="007B36FB"/>
    <w:rsid w:val="007B42E4"/>
    <w:rsid w:val="007B570C"/>
    <w:rsid w:val="007C56CC"/>
    <w:rsid w:val="007C60C7"/>
    <w:rsid w:val="007C6A1B"/>
    <w:rsid w:val="007D25EF"/>
    <w:rsid w:val="007D3882"/>
    <w:rsid w:val="007D539D"/>
    <w:rsid w:val="007D7940"/>
    <w:rsid w:val="007E0ACC"/>
    <w:rsid w:val="007E0DA5"/>
    <w:rsid w:val="007E12A7"/>
    <w:rsid w:val="007E1C7F"/>
    <w:rsid w:val="007E2985"/>
    <w:rsid w:val="007E529D"/>
    <w:rsid w:val="007E5746"/>
    <w:rsid w:val="007F156D"/>
    <w:rsid w:val="007F2BDA"/>
    <w:rsid w:val="008032BC"/>
    <w:rsid w:val="00803A04"/>
    <w:rsid w:val="00804E2F"/>
    <w:rsid w:val="00805065"/>
    <w:rsid w:val="00807107"/>
    <w:rsid w:val="00807F67"/>
    <w:rsid w:val="00811720"/>
    <w:rsid w:val="00815C61"/>
    <w:rsid w:val="0081678F"/>
    <w:rsid w:val="0082244C"/>
    <w:rsid w:val="008229F1"/>
    <w:rsid w:val="00826EEF"/>
    <w:rsid w:val="00836242"/>
    <w:rsid w:val="00842669"/>
    <w:rsid w:val="00842FFF"/>
    <w:rsid w:val="00850063"/>
    <w:rsid w:val="008530FE"/>
    <w:rsid w:val="0085488B"/>
    <w:rsid w:val="00854F3E"/>
    <w:rsid w:val="008567DD"/>
    <w:rsid w:val="00857595"/>
    <w:rsid w:val="00857A42"/>
    <w:rsid w:val="00862849"/>
    <w:rsid w:val="00862D28"/>
    <w:rsid w:val="00863889"/>
    <w:rsid w:val="008650F2"/>
    <w:rsid w:val="00865599"/>
    <w:rsid w:val="00866F55"/>
    <w:rsid w:val="00874BE6"/>
    <w:rsid w:val="00877506"/>
    <w:rsid w:val="008844DD"/>
    <w:rsid w:val="0088510D"/>
    <w:rsid w:val="008A4014"/>
    <w:rsid w:val="008A535A"/>
    <w:rsid w:val="008A76CE"/>
    <w:rsid w:val="008B0301"/>
    <w:rsid w:val="008B127A"/>
    <w:rsid w:val="008B2018"/>
    <w:rsid w:val="008B2B5E"/>
    <w:rsid w:val="008B37A3"/>
    <w:rsid w:val="008C0C63"/>
    <w:rsid w:val="008C2CD5"/>
    <w:rsid w:val="008C5CD0"/>
    <w:rsid w:val="008D36AA"/>
    <w:rsid w:val="008D5A13"/>
    <w:rsid w:val="008D78A5"/>
    <w:rsid w:val="008E15FD"/>
    <w:rsid w:val="008E42AB"/>
    <w:rsid w:val="008F0B73"/>
    <w:rsid w:val="008F2B85"/>
    <w:rsid w:val="008F4C9D"/>
    <w:rsid w:val="008F71B5"/>
    <w:rsid w:val="00902030"/>
    <w:rsid w:val="00904BD0"/>
    <w:rsid w:val="00904D07"/>
    <w:rsid w:val="0090638B"/>
    <w:rsid w:val="00910B81"/>
    <w:rsid w:val="0091182D"/>
    <w:rsid w:val="00912C8A"/>
    <w:rsid w:val="00917092"/>
    <w:rsid w:val="00920AA6"/>
    <w:rsid w:val="00920C83"/>
    <w:rsid w:val="00927FC5"/>
    <w:rsid w:val="00930812"/>
    <w:rsid w:val="00934D0C"/>
    <w:rsid w:val="00935141"/>
    <w:rsid w:val="00937788"/>
    <w:rsid w:val="009516C3"/>
    <w:rsid w:val="00954F02"/>
    <w:rsid w:val="00957ECB"/>
    <w:rsid w:val="00962304"/>
    <w:rsid w:val="00976753"/>
    <w:rsid w:val="00982058"/>
    <w:rsid w:val="009821C8"/>
    <w:rsid w:val="009828CB"/>
    <w:rsid w:val="00983CC8"/>
    <w:rsid w:val="00991300"/>
    <w:rsid w:val="00991E92"/>
    <w:rsid w:val="00992EAE"/>
    <w:rsid w:val="00997152"/>
    <w:rsid w:val="00997A8F"/>
    <w:rsid w:val="009A2C1F"/>
    <w:rsid w:val="009A5E2C"/>
    <w:rsid w:val="009A63EE"/>
    <w:rsid w:val="009A7B4F"/>
    <w:rsid w:val="009B057B"/>
    <w:rsid w:val="009B5AB8"/>
    <w:rsid w:val="009C01A5"/>
    <w:rsid w:val="009C1346"/>
    <w:rsid w:val="009C7275"/>
    <w:rsid w:val="009D43B4"/>
    <w:rsid w:val="009D58D2"/>
    <w:rsid w:val="009E2687"/>
    <w:rsid w:val="009E5964"/>
    <w:rsid w:val="009F0F85"/>
    <w:rsid w:val="009F61BF"/>
    <w:rsid w:val="00A06208"/>
    <w:rsid w:val="00A06B2F"/>
    <w:rsid w:val="00A112AD"/>
    <w:rsid w:val="00A11AAA"/>
    <w:rsid w:val="00A123F2"/>
    <w:rsid w:val="00A13F3A"/>
    <w:rsid w:val="00A20C38"/>
    <w:rsid w:val="00A20F61"/>
    <w:rsid w:val="00A212D7"/>
    <w:rsid w:val="00A312EB"/>
    <w:rsid w:val="00A31458"/>
    <w:rsid w:val="00A32F8A"/>
    <w:rsid w:val="00A360BB"/>
    <w:rsid w:val="00A40C99"/>
    <w:rsid w:val="00A4224E"/>
    <w:rsid w:val="00A44AC1"/>
    <w:rsid w:val="00A46436"/>
    <w:rsid w:val="00A4684A"/>
    <w:rsid w:val="00A55D4C"/>
    <w:rsid w:val="00A55E8A"/>
    <w:rsid w:val="00A56F32"/>
    <w:rsid w:val="00A57BAC"/>
    <w:rsid w:val="00A6593F"/>
    <w:rsid w:val="00A70775"/>
    <w:rsid w:val="00A758D7"/>
    <w:rsid w:val="00A76683"/>
    <w:rsid w:val="00A803B5"/>
    <w:rsid w:val="00A81928"/>
    <w:rsid w:val="00AA409A"/>
    <w:rsid w:val="00AA7056"/>
    <w:rsid w:val="00AB1B08"/>
    <w:rsid w:val="00AB1C38"/>
    <w:rsid w:val="00AB4E20"/>
    <w:rsid w:val="00AB66B7"/>
    <w:rsid w:val="00AC095F"/>
    <w:rsid w:val="00AC308C"/>
    <w:rsid w:val="00AC42BE"/>
    <w:rsid w:val="00AD0FE4"/>
    <w:rsid w:val="00AD2A57"/>
    <w:rsid w:val="00AD3545"/>
    <w:rsid w:val="00AD3C36"/>
    <w:rsid w:val="00AD7F44"/>
    <w:rsid w:val="00AE1394"/>
    <w:rsid w:val="00AE5EA1"/>
    <w:rsid w:val="00AF1B32"/>
    <w:rsid w:val="00AF7EE6"/>
    <w:rsid w:val="00B067EF"/>
    <w:rsid w:val="00B128EB"/>
    <w:rsid w:val="00B1397D"/>
    <w:rsid w:val="00B2054F"/>
    <w:rsid w:val="00B30622"/>
    <w:rsid w:val="00B315FE"/>
    <w:rsid w:val="00B502CD"/>
    <w:rsid w:val="00B5154A"/>
    <w:rsid w:val="00B53C82"/>
    <w:rsid w:val="00B61A0A"/>
    <w:rsid w:val="00B62474"/>
    <w:rsid w:val="00B65250"/>
    <w:rsid w:val="00B65EC9"/>
    <w:rsid w:val="00B66505"/>
    <w:rsid w:val="00B70803"/>
    <w:rsid w:val="00B73E2D"/>
    <w:rsid w:val="00B76415"/>
    <w:rsid w:val="00B76C01"/>
    <w:rsid w:val="00B80F11"/>
    <w:rsid w:val="00B8175A"/>
    <w:rsid w:val="00B85211"/>
    <w:rsid w:val="00B90DB6"/>
    <w:rsid w:val="00B938C3"/>
    <w:rsid w:val="00B95FCD"/>
    <w:rsid w:val="00BA0C64"/>
    <w:rsid w:val="00BA2953"/>
    <w:rsid w:val="00BA3D9D"/>
    <w:rsid w:val="00BA5C9D"/>
    <w:rsid w:val="00BB4A03"/>
    <w:rsid w:val="00BC4488"/>
    <w:rsid w:val="00BC55E9"/>
    <w:rsid w:val="00BC77AD"/>
    <w:rsid w:val="00BD16FF"/>
    <w:rsid w:val="00BD2BA5"/>
    <w:rsid w:val="00BD3BD1"/>
    <w:rsid w:val="00BD5DFE"/>
    <w:rsid w:val="00BD795C"/>
    <w:rsid w:val="00BE28B2"/>
    <w:rsid w:val="00BE45AE"/>
    <w:rsid w:val="00BF0327"/>
    <w:rsid w:val="00BF27C9"/>
    <w:rsid w:val="00BF6091"/>
    <w:rsid w:val="00BF6DD4"/>
    <w:rsid w:val="00C00264"/>
    <w:rsid w:val="00C11909"/>
    <w:rsid w:val="00C13F8E"/>
    <w:rsid w:val="00C16258"/>
    <w:rsid w:val="00C1722D"/>
    <w:rsid w:val="00C20426"/>
    <w:rsid w:val="00C26B1C"/>
    <w:rsid w:val="00C31B60"/>
    <w:rsid w:val="00C331C4"/>
    <w:rsid w:val="00C3483D"/>
    <w:rsid w:val="00C35D3E"/>
    <w:rsid w:val="00C36862"/>
    <w:rsid w:val="00C36C16"/>
    <w:rsid w:val="00C4635D"/>
    <w:rsid w:val="00C47C63"/>
    <w:rsid w:val="00C508B9"/>
    <w:rsid w:val="00C51AA3"/>
    <w:rsid w:val="00C55E8C"/>
    <w:rsid w:val="00C57DCC"/>
    <w:rsid w:val="00C627FD"/>
    <w:rsid w:val="00C713B1"/>
    <w:rsid w:val="00C7423D"/>
    <w:rsid w:val="00C7508E"/>
    <w:rsid w:val="00C75115"/>
    <w:rsid w:val="00C83CD1"/>
    <w:rsid w:val="00C87FAF"/>
    <w:rsid w:val="00C907EB"/>
    <w:rsid w:val="00C90C55"/>
    <w:rsid w:val="00C971C0"/>
    <w:rsid w:val="00CA087B"/>
    <w:rsid w:val="00CA2391"/>
    <w:rsid w:val="00CA6130"/>
    <w:rsid w:val="00CB730C"/>
    <w:rsid w:val="00CC30A7"/>
    <w:rsid w:val="00CC332E"/>
    <w:rsid w:val="00CD04EE"/>
    <w:rsid w:val="00CD12FB"/>
    <w:rsid w:val="00CD2517"/>
    <w:rsid w:val="00CD3D59"/>
    <w:rsid w:val="00CD73FF"/>
    <w:rsid w:val="00CD7766"/>
    <w:rsid w:val="00CE0343"/>
    <w:rsid w:val="00CE4AFC"/>
    <w:rsid w:val="00CE5310"/>
    <w:rsid w:val="00CE6C88"/>
    <w:rsid w:val="00CE7A4C"/>
    <w:rsid w:val="00D0117A"/>
    <w:rsid w:val="00D02495"/>
    <w:rsid w:val="00D07AE5"/>
    <w:rsid w:val="00D10043"/>
    <w:rsid w:val="00D12B41"/>
    <w:rsid w:val="00D14636"/>
    <w:rsid w:val="00D1503A"/>
    <w:rsid w:val="00D172B0"/>
    <w:rsid w:val="00D24D85"/>
    <w:rsid w:val="00D25049"/>
    <w:rsid w:val="00D31129"/>
    <w:rsid w:val="00D31399"/>
    <w:rsid w:val="00D3210C"/>
    <w:rsid w:val="00D32D97"/>
    <w:rsid w:val="00D3312D"/>
    <w:rsid w:val="00D3337B"/>
    <w:rsid w:val="00D3757B"/>
    <w:rsid w:val="00D40EB3"/>
    <w:rsid w:val="00D4602A"/>
    <w:rsid w:val="00D50FF0"/>
    <w:rsid w:val="00D52305"/>
    <w:rsid w:val="00D53D6D"/>
    <w:rsid w:val="00D55815"/>
    <w:rsid w:val="00D64495"/>
    <w:rsid w:val="00D71AF2"/>
    <w:rsid w:val="00D731B8"/>
    <w:rsid w:val="00D737EC"/>
    <w:rsid w:val="00D74788"/>
    <w:rsid w:val="00D869F8"/>
    <w:rsid w:val="00D927D0"/>
    <w:rsid w:val="00D942B0"/>
    <w:rsid w:val="00D9746C"/>
    <w:rsid w:val="00DA14EE"/>
    <w:rsid w:val="00DA2AD1"/>
    <w:rsid w:val="00DA57BF"/>
    <w:rsid w:val="00DA7867"/>
    <w:rsid w:val="00DB5FB2"/>
    <w:rsid w:val="00DC344E"/>
    <w:rsid w:val="00DC3860"/>
    <w:rsid w:val="00DC3905"/>
    <w:rsid w:val="00DC7C6E"/>
    <w:rsid w:val="00DD204B"/>
    <w:rsid w:val="00DD3063"/>
    <w:rsid w:val="00DD5DF1"/>
    <w:rsid w:val="00DD77C2"/>
    <w:rsid w:val="00DD7CFF"/>
    <w:rsid w:val="00DE2232"/>
    <w:rsid w:val="00DE3C8B"/>
    <w:rsid w:val="00DE669D"/>
    <w:rsid w:val="00DF11C3"/>
    <w:rsid w:val="00DF1EA0"/>
    <w:rsid w:val="00DF43EA"/>
    <w:rsid w:val="00DF5089"/>
    <w:rsid w:val="00DF5324"/>
    <w:rsid w:val="00E03A60"/>
    <w:rsid w:val="00E03AF0"/>
    <w:rsid w:val="00E11D4A"/>
    <w:rsid w:val="00E14905"/>
    <w:rsid w:val="00E16A47"/>
    <w:rsid w:val="00E175FF"/>
    <w:rsid w:val="00E2472C"/>
    <w:rsid w:val="00E254AB"/>
    <w:rsid w:val="00E255D8"/>
    <w:rsid w:val="00E276D7"/>
    <w:rsid w:val="00E31442"/>
    <w:rsid w:val="00E319BE"/>
    <w:rsid w:val="00E32A3C"/>
    <w:rsid w:val="00E34077"/>
    <w:rsid w:val="00E37189"/>
    <w:rsid w:val="00E376D2"/>
    <w:rsid w:val="00E4179D"/>
    <w:rsid w:val="00E4714E"/>
    <w:rsid w:val="00E508F7"/>
    <w:rsid w:val="00E5259E"/>
    <w:rsid w:val="00E55516"/>
    <w:rsid w:val="00E556C5"/>
    <w:rsid w:val="00E607AB"/>
    <w:rsid w:val="00E60A34"/>
    <w:rsid w:val="00E61902"/>
    <w:rsid w:val="00E653EE"/>
    <w:rsid w:val="00E66560"/>
    <w:rsid w:val="00E66F98"/>
    <w:rsid w:val="00E721D8"/>
    <w:rsid w:val="00E81A8F"/>
    <w:rsid w:val="00E8405B"/>
    <w:rsid w:val="00E9293C"/>
    <w:rsid w:val="00EA3607"/>
    <w:rsid w:val="00EA48F3"/>
    <w:rsid w:val="00EB15ED"/>
    <w:rsid w:val="00EB1E17"/>
    <w:rsid w:val="00EB5C6F"/>
    <w:rsid w:val="00EC7A6E"/>
    <w:rsid w:val="00ED0836"/>
    <w:rsid w:val="00ED0BA3"/>
    <w:rsid w:val="00ED1F3D"/>
    <w:rsid w:val="00EE1750"/>
    <w:rsid w:val="00EE1B69"/>
    <w:rsid w:val="00EE1D99"/>
    <w:rsid w:val="00EE2FCA"/>
    <w:rsid w:val="00EE57B9"/>
    <w:rsid w:val="00EE5C4B"/>
    <w:rsid w:val="00EF611D"/>
    <w:rsid w:val="00F014D1"/>
    <w:rsid w:val="00F03660"/>
    <w:rsid w:val="00F052B9"/>
    <w:rsid w:val="00F10B08"/>
    <w:rsid w:val="00F10D48"/>
    <w:rsid w:val="00F12966"/>
    <w:rsid w:val="00F15FB8"/>
    <w:rsid w:val="00F16D80"/>
    <w:rsid w:val="00F202EC"/>
    <w:rsid w:val="00F20750"/>
    <w:rsid w:val="00F229FB"/>
    <w:rsid w:val="00F30152"/>
    <w:rsid w:val="00F345A3"/>
    <w:rsid w:val="00F34955"/>
    <w:rsid w:val="00F4392E"/>
    <w:rsid w:val="00F45AA0"/>
    <w:rsid w:val="00F51754"/>
    <w:rsid w:val="00F52DA9"/>
    <w:rsid w:val="00F53B73"/>
    <w:rsid w:val="00F62748"/>
    <w:rsid w:val="00F677B4"/>
    <w:rsid w:val="00F719CD"/>
    <w:rsid w:val="00F74342"/>
    <w:rsid w:val="00F751D6"/>
    <w:rsid w:val="00F8359E"/>
    <w:rsid w:val="00F8572D"/>
    <w:rsid w:val="00F8677A"/>
    <w:rsid w:val="00F87056"/>
    <w:rsid w:val="00F90990"/>
    <w:rsid w:val="00F93F5D"/>
    <w:rsid w:val="00F94C3A"/>
    <w:rsid w:val="00FA4099"/>
    <w:rsid w:val="00FA41F4"/>
    <w:rsid w:val="00FA79A5"/>
    <w:rsid w:val="00FB53F5"/>
    <w:rsid w:val="00FC075F"/>
    <w:rsid w:val="00FC364C"/>
    <w:rsid w:val="00FC462D"/>
    <w:rsid w:val="00FC6009"/>
    <w:rsid w:val="00FD1B29"/>
    <w:rsid w:val="00FD779D"/>
    <w:rsid w:val="00FE0EF4"/>
    <w:rsid w:val="00FE2F84"/>
    <w:rsid w:val="00FF2E21"/>
    <w:rsid w:val="00FF53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00064"/>
  <w15:docId w15:val="{7916E0CB-E9F9-4878-A761-BDB7453E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4B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A1F1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column">
    <w:name w:val="onecolumn"/>
    <w:basedOn w:val="Normal"/>
    <w:rsid w:val="00F909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ntence-1">
    <w:name w:val="sentence-1"/>
    <w:basedOn w:val="DefaultParagraphFont"/>
    <w:rsid w:val="00F90990"/>
  </w:style>
  <w:style w:type="character" w:customStyle="1" w:styleId="sentence-2">
    <w:name w:val="sentence-2"/>
    <w:basedOn w:val="DefaultParagraphFont"/>
    <w:rsid w:val="00F90990"/>
  </w:style>
  <w:style w:type="character" w:customStyle="1" w:styleId="sentence-3">
    <w:name w:val="sentence-3"/>
    <w:basedOn w:val="DefaultParagraphFont"/>
    <w:rsid w:val="00F90990"/>
  </w:style>
  <w:style w:type="paragraph" w:styleId="FootnoteText">
    <w:name w:val="footnote text"/>
    <w:basedOn w:val="Normal"/>
    <w:link w:val="FootnoteTextChar"/>
    <w:uiPriority w:val="99"/>
    <w:unhideWhenUsed/>
    <w:rsid w:val="00F90990"/>
    <w:pPr>
      <w:spacing w:after="0" w:line="240" w:lineRule="auto"/>
    </w:pPr>
    <w:rPr>
      <w:sz w:val="20"/>
      <w:szCs w:val="20"/>
    </w:rPr>
  </w:style>
  <w:style w:type="character" w:customStyle="1" w:styleId="FootnoteTextChar">
    <w:name w:val="Footnote Text Char"/>
    <w:basedOn w:val="DefaultParagraphFont"/>
    <w:link w:val="FootnoteText"/>
    <w:uiPriority w:val="99"/>
    <w:rsid w:val="00F90990"/>
    <w:rPr>
      <w:sz w:val="20"/>
      <w:szCs w:val="20"/>
    </w:rPr>
  </w:style>
  <w:style w:type="character" w:styleId="FootnoteReference">
    <w:name w:val="footnote reference"/>
    <w:basedOn w:val="DefaultParagraphFont"/>
    <w:uiPriority w:val="99"/>
    <w:unhideWhenUsed/>
    <w:rsid w:val="00F90990"/>
    <w:rPr>
      <w:vertAlign w:val="superscript"/>
    </w:rPr>
  </w:style>
  <w:style w:type="character" w:styleId="Hyperlink">
    <w:name w:val="Hyperlink"/>
    <w:basedOn w:val="DefaultParagraphFont"/>
    <w:uiPriority w:val="99"/>
    <w:unhideWhenUsed/>
    <w:rsid w:val="00F90990"/>
    <w:rPr>
      <w:color w:val="0000FF" w:themeColor="hyperlink"/>
      <w:u w:val="single"/>
    </w:rPr>
  </w:style>
  <w:style w:type="paragraph" w:styleId="BalloonText">
    <w:name w:val="Balloon Text"/>
    <w:basedOn w:val="Normal"/>
    <w:link w:val="BalloonTextChar"/>
    <w:uiPriority w:val="99"/>
    <w:semiHidden/>
    <w:unhideWhenUsed/>
    <w:rsid w:val="00EB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5ED"/>
    <w:rPr>
      <w:rFonts w:ascii="Tahoma" w:hAnsi="Tahoma" w:cs="Tahoma"/>
      <w:sz w:val="16"/>
      <w:szCs w:val="16"/>
    </w:rPr>
  </w:style>
  <w:style w:type="paragraph" w:styleId="ListParagraph">
    <w:name w:val="List Paragraph"/>
    <w:basedOn w:val="Normal"/>
    <w:uiPriority w:val="34"/>
    <w:qFormat/>
    <w:rsid w:val="00AD3545"/>
    <w:pPr>
      <w:ind w:left="720"/>
      <w:contextualSpacing/>
    </w:pPr>
  </w:style>
  <w:style w:type="character" w:styleId="CommentReference">
    <w:name w:val="annotation reference"/>
    <w:basedOn w:val="DefaultParagraphFont"/>
    <w:uiPriority w:val="99"/>
    <w:semiHidden/>
    <w:unhideWhenUsed/>
    <w:rsid w:val="00AC308C"/>
    <w:rPr>
      <w:sz w:val="16"/>
      <w:szCs w:val="16"/>
    </w:rPr>
  </w:style>
  <w:style w:type="paragraph" w:styleId="CommentText">
    <w:name w:val="annotation text"/>
    <w:basedOn w:val="Normal"/>
    <w:link w:val="CommentTextChar"/>
    <w:uiPriority w:val="99"/>
    <w:semiHidden/>
    <w:unhideWhenUsed/>
    <w:rsid w:val="00AC308C"/>
    <w:pPr>
      <w:spacing w:line="240" w:lineRule="auto"/>
    </w:pPr>
    <w:rPr>
      <w:sz w:val="20"/>
      <w:szCs w:val="20"/>
    </w:rPr>
  </w:style>
  <w:style w:type="character" w:customStyle="1" w:styleId="CommentTextChar">
    <w:name w:val="Comment Text Char"/>
    <w:basedOn w:val="DefaultParagraphFont"/>
    <w:link w:val="CommentText"/>
    <w:uiPriority w:val="99"/>
    <w:semiHidden/>
    <w:rsid w:val="00AC308C"/>
    <w:rPr>
      <w:sz w:val="20"/>
      <w:szCs w:val="20"/>
    </w:rPr>
  </w:style>
  <w:style w:type="paragraph" w:styleId="CommentSubject">
    <w:name w:val="annotation subject"/>
    <w:basedOn w:val="CommentText"/>
    <w:next w:val="CommentText"/>
    <w:link w:val="CommentSubjectChar"/>
    <w:uiPriority w:val="99"/>
    <w:semiHidden/>
    <w:unhideWhenUsed/>
    <w:rsid w:val="00AC308C"/>
    <w:rPr>
      <w:b/>
      <w:bCs/>
    </w:rPr>
  </w:style>
  <w:style w:type="character" w:customStyle="1" w:styleId="CommentSubjectChar">
    <w:name w:val="Comment Subject Char"/>
    <w:basedOn w:val="CommentTextChar"/>
    <w:link w:val="CommentSubject"/>
    <w:uiPriority w:val="99"/>
    <w:semiHidden/>
    <w:rsid w:val="00AC308C"/>
    <w:rPr>
      <w:b/>
      <w:bCs/>
      <w:sz w:val="20"/>
      <w:szCs w:val="20"/>
    </w:rPr>
  </w:style>
  <w:style w:type="paragraph" w:styleId="Caption">
    <w:name w:val="caption"/>
    <w:basedOn w:val="Normal"/>
    <w:next w:val="Normal"/>
    <w:uiPriority w:val="35"/>
    <w:unhideWhenUsed/>
    <w:qFormat/>
    <w:rsid w:val="00C907EB"/>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6A1F12"/>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543DB7"/>
    <w:rPr>
      <w:i/>
      <w:iCs/>
    </w:rPr>
  </w:style>
  <w:style w:type="paragraph" w:styleId="Revision">
    <w:name w:val="Revision"/>
    <w:hidden/>
    <w:uiPriority w:val="99"/>
    <w:semiHidden/>
    <w:rsid w:val="00920AA6"/>
    <w:pPr>
      <w:spacing w:after="0" w:line="240" w:lineRule="auto"/>
    </w:pPr>
  </w:style>
  <w:style w:type="character" w:styleId="FollowedHyperlink">
    <w:name w:val="FollowedHyperlink"/>
    <w:basedOn w:val="DefaultParagraphFont"/>
    <w:uiPriority w:val="99"/>
    <w:semiHidden/>
    <w:unhideWhenUsed/>
    <w:rsid w:val="00613384"/>
    <w:rPr>
      <w:color w:val="800080" w:themeColor="followedHyperlink"/>
      <w:u w:val="single"/>
    </w:rPr>
  </w:style>
  <w:style w:type="paragraph" w:styleId="Footer">
    <w:name w:val="footer"/>
    <w:basedOn w:val="Normal"/>
    <w:link w:val="FooterChar"/>
    <w:uiPriority w:val="99"/>
    <w:unhideWhenUsed/>
    <w:rsid w:val="00070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0014"/>
  </w:style>
  <w:style w:type="character" w:styleId="PageNumber">
    <w:name w:val="page number"/>
    <w:basedOn w:val="DefaultParagraphFont"/>
    <w:uiPriority w:val="99"/>
    <w:semiHidden/>
    <w:unhideWhenUsed/>
    <w:rsid w:val="00070014"/>
  </w:style>
  <w:style w:type="paragraph" w:styleId="Header">
    <w:name w:val="header"/>
    <w:basedOn w:val="Normal"/>
    <w:link w:val="HeaderChar"/>
    <w:uiPriority w:val="99"/>
    <w:unhideWhenUsed/>
    <w:rsid w:val="000700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0014"/>
  </w:style>
  <w:style w:type="paragraph" w:customStyle="1" w:styleId="Caption2">
    <w:name w:val="Caption 2"/>
    <w:basedOn w:val="Caption"/>
    <w:next w:val="Normal"/>
    <w:qFormat/>
    <w:rsid w:val="000949DE"/>
    <w:pPr>
      <w:jc w:val="center"/>
    </w:pPr>
    <w:rPr>
      <w:rFonts w:ascii="Times New Roman" w:eastAsiaTheme="minorEastAsia" w:hAnsi="Times New Roman" w:cs="Times New Roman"/>
      <w:b w:val="0"/>
      <w:color w:val="auto"/>
      <w:sz w:val="24"/>
      <w:lang w:eastAsia="en-GB"/>
    </w:rPr>
  </w:style>
  <w:style w:type="character" w:customStyle="1" w:styleId="Heading1Char">
    <w:name w:val="Heading 1 Char"/>
    <w:basedOn w:val="DefaultParagraphFont"/>
    <w:link w:val="Heading1"/>
    <w:uiPriority w:val="9"/>
    <w:rsid w:val="003D4B9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62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7723">
      <w:bodyDiv w:val="1"/>
      <w:marLeft w:val="0"/>
      <w:marRight w:val="0"/>
      <w:marTop w:val="0"/>
      <w:marBottom w:val="0"/>
      <w:divBdr>
        <w:top w:val="none" w:sz="0" w:space="0" w:color="auto"/>
        <w:left w:val="none" w:sz="0" w:space="0" w:color="auto"/>
        <w:bottom w:val="none" w:sz="0" w:space="0" w:color="auto"/>
        <w:right w:val="none" w:sz="0" w:space="0" w:color="auto"/>
      </w:divBdr>
    </w:div>
    <w:div w:id="85616317">
      <w:bodyDiv w:val="1"/>
      <w:marLeft w:val="0"/>
      <w:marRight w:val="0"/>
      <w:marTop w:val="0"/>
      <w:marBottom w:val="0"/>
      <w:divBdr>
        <w:top w:val="none" w:sz="0" w:space="0" w:color="auto"/>
        <w:left w:val="none" w:sz="0" w:space="0" w:color="auto"/>
        <w:bottom w:val="none" w:sz="0" w:space="0" w:color="auto"/>
        <w:right w:val="none" w:sz="0" w:space="0" w:color="auto"/>
      </w:divBdr>
      <w:divsChild>
        <w:div w:id="1582908251">
          <w:marLeft w:val="0"/>
          <w:marRight w:val="0"/>
          <w:marTop w:val="0"/>
          <w:marBottom w:val="0"/>
          <w:divBdr>
            <w:top w:val="none" w:sz="0" w:space="0" w:color="auto"/>
            <w:left w:val="none" w:sz="0" w:space="0" w:color="auto"/>
            <w:bottom w:val="none" w:sz="0" w:space="0" w:color="auto"/>
            <w:right w:val="none" w:sz="0" w:space="0" w:color="auto"/>
          </w:divBdr>
        </w:div>
      </w:divsChild>
    </w:div>
    <w:div w:id="164908466">
      <w:bodyDiv w:val="1"/>
      <w:marLeft w:val="0"/>
      <w:marRight w:val="0"/>
      <w:marTop w:val="0"/>
      <w:marBottom w:val="0"/>
      <w:divBdr>
        <w:top w:val="none" w:sz="0" w:space="0" w:color="auto"/>
        <w:left w:val="none" w:sz="0" w:space="0" w:color="auto"/>
        <w:bottom w:val="none" w:sz="0" w:space="0" w:color="auto"/>
        <w:right w:val="none" w:sz="0" w:space="0" w:color="auto"/>
      </w:divBdr>
      <w:divsChild>
        <w:div w:id="1030374905">
          <w:marLeft w:val="0"/>
          <w:marRight w:val="0"/>
          <w:marTop w:val="0"/>
          <w:marBottom w:val="0"/>
          <w:divBdr>
            <w:top w:val="none" w:sz="0" w:space="0" w:color="auto"/>
            <w:left w:val="none" w:sz="0" w:space="0" w:color="auto"/>
            <w:bottom w:val="none" w:sz="0" w:space="0" w:color="auto"/>
            <w:right w:val="none" w:sz="0" w:space="0" w:color="auto"/>
          </w:divBdr>
          <w:divsChild>
            <w:div w:id="835878555">
              <w:marLeft w:val="0"/>
              <w:marRight w:val="0"/>
              <w:marTop w:val="0"/>
              <w:marBottom w:val="0"/>
              <w:divBdr>
                <w:top w:val="none" w:sz="0" w:space="0" w:color="auto"/>
                <w:left w:val="none" w:sz="0" w:space="0" w:color="auto"/>
                <w:bottom w:val="none" w:sz="0" w:space="0" w:color="auto"/>
                <w:right w:val="none" w:sz="0" w:space="0" w:color="auto"/>
              </w:divBdr>
              <w:divsChild>
                <w:div w:id="425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435">
      <w:bodyDiv w:val="1"/>
      <w:marLeft w:val="0"/>
      <w:marRight w:val="0"/>
      <w:marTop w:val="0"/>
      <w:marBottom w:val="0"/>
      <w:divBdr>
        <w:top w:val="none" w:sz="0" w:space="0" w:color="auto"/>
        <w:left w:val="none" w:sz="0" w:space="0" w:color="auto"/>
        <w:bottom w:val="none" w:sz="0" w:space="0" w:color="auto"/>
        <w:right w:val="none" w:sz="0" w:space="0" w:color="auto"/>
      </w:divBdr>
      <w:divsChild>
        <w:div w:id="97801052">
          <w:marLeft w:val="0"/>
          <w:marRight w:val="0"/>
          <w:marTop w:val="0"/>
          <w:marBottom w:val="0"/>
          <w:divBdr>
            <w:top w:val="none" w:sz="0" w:space="0" w:color="auto"/>
            <w:left w:val="none" w:sz="0" w:space="0" w:color="auto"/>
            <w:bottom w:val="none" w:sz="0" w:space="0" w:color="auto"/>
            <w:right w:val="none" w:sz="0" w:space="0" w:color="auto"/>
          </w:divBdr>
          <w:divsChild>
            <w:div w:id="1227259049">
              <w:marLeft w:val="0"/>
              <w:marRight w:val="0"/>
              <w:marTop w:val="0"/>
              <w:marBottom w:val="0"/>
              <w:divBdr>
                <w:top w:val="none" w:sz="0" w:space="0" w:color="auto"/>
                <w:left w:val="none" w:sz="0" w:space="0" w:color="auto"/>
                <w:bottom w:val="none" w:sz="0" w:space="0" w:color="auto"/>
                <w:right w:val="none" w:sz="0" w:space="0" w:color="auto"/>
              </w:divBdr>
              <w:divsChild>
                <w:div w:id="10696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2919">
      <w:bodyDiv w:val="1"/>
      <w:marLeft w:val="0"/>
      <w:marRight w:val="0"/>
      <w:marTop w:val="0"/>
      <w:marBottom w:val="0"/>
      <w:divBdr>
        <w:top w:val="none" w:sz="0" w:space="0" w:color="auto"/>
        <w:left w:val="none" w:sz="0" w:space="0" w:color="auto"/>
        <w:bottom w:val="none" w:sz="0" w:space="0" w:color="auto"/>
        <w:right w:val="none" w:sz="0" w:space="0" w:color="auto"/>
      </w:divBdr>
    </w:div>
    <w:div w:id="1511338497">
      <w:bodyDiv w:val="1"/>
      <w:marLeft w:val="0"/>
      <w:marRight w:val="0"/>
      <w:marTop w:val="0"/>
      <w:marBottom w:val="0"/>
      <w:divBdr>
        <w:top w:val="none" w:sz="0" w:space="0" w:color="auto"/>
        <w:left w:val="none" w:sz="0" w:space="0" w:color="auto"/>
        <w:bottom w:val="none" w:sz="0" w:space="0" w:color="auto"/>
        <w:right w:val="none" w:sz="0" w:space="0" w:color="auto"/>
      </w:divBdr>
    </w:div>
    <w:div w:id="1682734366">
      <w:bodyDiv w:val="1"/>
      <w:marLeft w:val="0"/>
      <w:marRight w:val="0"/>
      <w:marTop w:val="0"/>
      <w:marBottom w:val="0"/>
      <w:divBdr>
        <w:top w:val="none" w:sz="0" w:space="0" w:color="auto"/>
        <w:left w:val="none" w:sz="0" w:space="0" w:color="auto"/>
        <w:bottom w:val="none" w:sz="0" w:space="0" w:color="auto"/>
        <w:right w:val="none" w:sz="0" w:space="0" w:color="auto"/>
      </w:divBdr>
      <w:divsChild>
        <w:div w:id="1622296920">
          <w:marLeft w:val="0"/>
          <w:marRight w:val="0"/>
          <w:marTop w:val="0"/>
          <w:marBottom w:val="0"/>
          <w:divBdr>
            <w:top w:val="none" w:sz="0" w:space="0" w:color="auto"/>
            <w:left w:val="none" w:sz="0" w:space="0" w:color="auto"/>
            <w:bottom w:val="none" w:sz="0" w:space="0" w:color="auto"/>
            <w:right w:val="none" w:sz="0" w:space="0" w:color="auto"/>
          </w:divBdr>
        </w:div>
      </w:divsChild>
    </w:div>
    <w:div w:id="1792506057">
      <w:bodyDiv w:val="1"/>
      <w:marLeft w:val="0"/>
      <w:marRight w:val="0"/>
      <w:marTop w:val="0"/>
      <w:marBottom w:val="0"/>
      <w:divBdr>
        <w:top w:val="none" w:sz="0" w:space="0" w:color="auto"/>
        <w:left w:val="none" w:sz="0" w:space="0" w:color="auto"/>
        <w:bottom w:val="none" w:sz="0" w:space="0" w:color="auto"/>
        <w:right w:val="none" w:sz="0" w:space="0" w:color="auto"/>
      </w:divBdr>
      <w:divsChild>
        <w:div w:id="1994598035">
          <w:marLeft w:val="0"/>
          <w:marRight w:val="0"/>
          <w:marTop w:val="0"/>
          <w:marBottom w:val="0"/>
          <w:divBdr>
            <w:top w:val="none" w:sz="0" w:space="0" w:color="auto"/>
            <w:left w:val="none" w:sz="0" w:space="0" w:color="auto"/>
            <w:bottom w:val="none" w:sz="0" w:space="0" w:color="auto"/>
            <w:right w:val="none" w:sz="0" w:space="0" w:color="auto"/>
          </w:divBdr>
        </w:div>
      </w:divsChild>
    </w:div>
    <w:div w:id="1836725277">
      <w:bodyDiv w:val="1"/>
      <w:marLeft w:val="0"/>
      <w:marRight w:val="0"/>
      <w:marTop w:val="0"/>
      <w:marBottom w:val="0"/>
      <w:divBdr>
        <w:top w:val="none" w:sz="0" w:space="0" w:color="auto"/>
        <w:left w:val="none" w:sz="0" w:space="0" w:color="auto"/>
        <w:bottom w:val="none" w:sz="0" w:space="0" w:color="auto"/>
        <w:right w:val="none" w:sz="0" w:space="0" w:color="auto"/>
      </w:divBdr>
    </w:div>
    <w:div w:id="2109498939">
      <w:bodyDiv w:val="1"/>
      <w:marLeft w:val="0"/>
      <w:marRight w:val="0"/>
      <w:marTop w:val="0"/>
      <w:marBottom w:val="0"/>
      <w:divBdr>
        <w:top w:val="none" w:sz="0" w:space="0" w:color="auto"/>
        <w:left w:val="none" w:sz="0" w:space="0" w:color="auto"/>
        <w:bottom w:val="none" w:sz="0" w:space="0" w:color="auto"/>
        <w:right w:val="none" w:sz="0" w:space="0" w:color="auto"/>
      </w:divBdr>
    </w:div>
    <w:div w:id="2113698860">
      <w:bodyDiv w:val="1"/>
      <w:marLeft w:val="0"/>
      <w:marRight w:val="0"/>
      <w:marTop w:val="0"/>
      <w:marBottom w:val="0"/>
      <w:divBdr>
        <w:top w:val="none" w:sz="0" w:space="0" w:color="auto"/>
        <w:left w:val="none" w:sz="0" w:space="0" w:color="auto"/>
        <w:bottom w:val="none" w:sz="0" w:space="0" w:color="auto"/>
        <w:right w:val="none" w:sz="0" w:space="0" w:color="auto"/>
      </w:divBdr>
      <w:divsChild>
        <w:div w:id="1297418104">
          <w:marLeft w:val="0"/>
          <w:marRight w:val="0"/>
          <w:marTop w:val="0"/>
          <w:marBottom w:val="0"/>
          <w:divBdr>
            <w:top w:val="none" w:sz="0" w:space="0" w:color="auto"/>
            <w:left w:val="none" w:sz="0" w:space="0" w:color="auto"/>
            <w:bottom w:val="none" w:sz="0" w:space="0" w:color="auto"/>
            <w:right w:val="none" w:sz="0" w:space="0" w:color="auto"/>
          </w:divBdr>
          <w:divsChild>
            <w:div w:id="1042944513">
              <w:marLeft w:val="0"/>
              <w:marRight w:val="0"/>
              <w:marTop w:val="0"/>
              <w:marBottom w:val="0"/>
              <w:divBdr>
                <w:top w:val="none" w:sz="0" w:space="0" w:color="auto"/>
                <w:left w:val="none" w:sz="0" w:space="0" w:color="auto"/>
                <w:bottom w:val="none" w:sz="0" w:space="0" w:color="auto"/>
                <w:right w:val="none" w:sz="0" w:space="0" w:color="auto"/>
              </w:divBdr>
              <w:divsChild>
                <w:div w:id="14103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early-music-histo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xfordreference.com/view/10.1093/acref/9780198606536.001.0001/acref-9780198606536-e-4231" TargetMode="External"/><Relationship Id="rId2" Type="http://schemas.openxmlformats.org/officeDocument/2006/relationships/hyperlink" Target="http://earlymusictheory.org/Tinctoris/texts/depunctis/" TargetMode="External"/><Relationship Id="rId1" Type="http://schemas.openxmlformats.org/officeDocument/2006/relationships/hyperlink" Target="https://www.diamm.ac.uk/sources/716/" TargetMode="External"/><Relationship Id="rId5" Type="http://schemas.openxmlformats.org/officeDocument/2006/relationships/hyperlink" Target="http://earlymusictheory.org/Tinctoris/" TargetMode="External"/><Relationship Id="rId4" Type="http://schemas.openxmlformats.org/officeDocument/2006/relationships/hyperlink" Target="http://earlymusictheory.org/Tinctoris/Articles/DatingAndProvenanceOfValencia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DDBE-53FF-401B-B6FB-2B5C72D8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8884</Words>
  <Characters>50639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Whittaker</dc:creator>
  <cp:lastModifiedBy>Adam Whittaker</cp:lastModifiedBy>
  <cp:revision>2</cp:revision>
  <cp:lastPrinted>2017-07-11T10:19:00Z</cp:lastPrinted>
  <dcterms:created xsi:type="dcterms:W3CDTF">2019-03-07T13:25:00Z</dcterms:created>
  <dcterms:modified xsi:type="dcterms:W3CDTF">2019-03-07T13:25:00Z</dcterms:modified>
</cp:coreProperties>
</file>