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A5E50" w14:textId="77777777" w:rsidR="000423EA" w:rsidRDefault="000423EA" w:rsidP="00F04954">
      <w:pPr>
        <w:spacing w:before="120" w:after="120"/>
        <w:jc w:val="center"/>
        <w:rPr>
          <w:rFonts w:cs="Times New Roman"/>
        </w:rPr>
      </w:pPr>
    </w:p>
    <w:p w14:paraId="1A1180A0" w14:textId="2111E351" w:rsidR="0012319B" w:rsidRPr="00AA2F39" w:rsidRDefault="00CA3253" w:rsidP="00F04954">
      <w:pPr>
        <w:spacing w:before="120" w:after="120"/>
        <w:jc w:val="center"/>
        <w:rPr>
          <w:rFonts w:cs="Times New Roman"/>
          <w:b/>
        </w:rPr>
      </w:pPr>
      <w:r w:rsidRPr="00AA2F39">
        <w:rPr>
          <w:rFonts w:cs="Times New Roman"/>
        </w:rPr>
        <w:t xml:space="preserve">– </w:t>
      </w:r>
      <w:r w:rsidRPr="00AA2F39">
        <w:rPr>
          <w:rFonts w:cs="Times New Roman"/>
          <w:b/>
        </w:rPr>
        <w:t>Restructuring Europe –</w:t>
      </w:r>
    </w:p>
    <w:p w14:paraId="2C803625" w14:textId="1957AA39" w:rsidR="00CA3253" w:rsidRPr="00AA2F39" w:rsidRDefault="0012319B" w:rsidP="00F04954">
      <w:pPr>
        <w:spacing w:before="120" w:after="120"/>
        <w:jc w:val="center"/>
        <w:rPr>
          <w:rFonts w:cs="Times New Roman"/>
          <w:b/>
        </w:rPr>
      </w:pPr>
      <w:r w:rsidRPr="00AA2F39">
        <w:rPr>
          <w:rFonts w:cs="Times New Roman"/>
          <w:b/>
        </w:rPr>
        <w:t>The</w:t>
      </w:r>
      <w:r w:rsidR="00EB6073" w:rsidRPr="00AA2F39">
        <w:rPr>
          <w:rFonts w:cs="Times New Roman"/>
          <w:b/>
        </w:rPr>
        <w:t xml:space="preserve"> EU Preventive Restructuring </w:t>
      </w:r>
      <w:r w:rsidR="0090484C" w:rsidRPr="00AA2F39">
        <w:rPr>
          <w:rFonts w:cs="Times New Roman"/>
          <w:b/>
        </w:rPr>
        <w:t>Framework</w:t>
      </w:r>
      <w:r w:rsidR="00EB6073" w:rsidRPr="00AA2F39">
        <w:rPr>
          <w:rFonts w:cs="Times New Roman"/>
          <w:b/>
        </w:rPr>
        <w:t>: a hole in one?</w:t>
      </w:r>
      <w:r w:rsidR="007F403E" w:rsidRPr="00AA2F39">
        <w:rPr>
          <w:rStyle w:val="FootnoteReference"/>
          <w:rFonts w:cs="Times New Roman"/>
          <w:b/>
        </w:rPr>
        <w:footnoteReference w:id="1"/>
      </w:r>
    </w:p>
    <w:p w14:paraId="56A5E50C" w14:textId="47F22AC5" w:rsidR="00EB6073" w:rsidRPr="00AA2F39" w:rsidRDefault="0090484C" w:rsidP="00F04954">
      <w:pPr>
        <w:spacing w:before="120" w:after="120"/>
        <w:jc w:val="center"/>
        <w:rPr>
          <w:rFonts w:cs="Times New Roman"/>
          <w:i/>
        </w:rPr>
      </w:pPr>
      <w:r w:rsidRPr="00AA2F39">
        <w:rPr>
          <w:rFonts w:cs="Times New Roman"/>
          <w:i/>
        </w:rPr>
        <w:t>A c</w:t>
      </w:r>
      <w:r w:rsidR="00EB6073" w:rsidRPr="00AA2F39">
        <w:rPr>
          <w:rFonts w:cs="Times New Roman"/>
          <w:i/>
        </w:rPr>
        <w:t xml:space="preserve">omparative study </w:t>
      </w:r>
      <w:r w:rsidR="00696EA8" w:rsidRPr="00AA2F39">
        <w:rPr>
          <w:rFonts w:cs="Times New Roman"/>
          <w:i/>
        </w:rPr>
        <w:t>on</w:t>
      </w:r>
      <w:r w:rsidR="00EB6073" w:rsidRPr="00AA2F39">
        <w:rPr>
          <w:rFonts w:cs="Times New Roman"/>
          <w:i/>
        </w:rPr>
        <w:t xml:space="preserve"> the occasion of the 10</w:t>
      </w:r>
      <w:r w:rsidRPr="00AA2F39">
        <w:rPr>
          <w:rFonts w:cs="Times New Roman"/>
          <w:i/>
        </w:rPr>
        <w:t>th</w:t>
      </w:r>
      <w:r w:rsidR="00EB6073" w:rsidRPr="00AA2F39">
        <w:rPr>
          <w:rFonts w:cs="Times New Roman"/>
          <w:i/>
        </w:rPr>
        <w:t xml:space="preserve"> anniversary of the INSOL Europe Young</w:t>
      </w:r>
      <w:r w:rsidR="00E770F8" w:rsidRPr="00AA2F39">
        <w:rPr>
          <w:rFonts w:cs="Times New Roman"/>
          <w:i/>
        </w:rPr>
        <w:t>er</w:t>
      </w:r>
      <w:r w:rsidR="00EB6073" w:rsidRPr="00AA2F39">
        <w:rPr>
          <w:rFonts w:cs="Times New Roman"/>
          <w:i/>
        </w:rPr>
        <w:t xml:space="preserve"> Academics Network of Insolvency Law</w:t>
      </w:r>
    </w:p>
    <w:p w14:paraId="4333207C" w14:textId="61227286" w:rsidR="00A30B66" w:rsidRPr="00AA2F39" w:rsidRDefault="009B185B" w:rsidP="00F04954">
      <w:pPr>
        <w:spacing w:before="120" w:after="120"/>
        <w:jc w:val="center"/>
        <w:rPr>
          <w:rFonts w:cs="Times New Roman"/>
        </w:rPr>
      </w:pPr>
      <w:r w:rsidRPr="00AA2F39">
        <w:rPr>
          <w:rFonts w:cs="Times New Roman"/>
        </w:rPr>
        <w:t xml:space="preserve">David Christoph </w:t>
      </w:r>
      <w:r w:rsidR="006E6B19" w:rsidRPr="00AA2F39">
        <w:rPr>
          <w:rFonts w:cs="Times New Roman"/>
        </w:rPr>
        <w:t>E</w:t>
      </w:r>
      <w:r w:rsidRPr="00AA2F39">
        <w:rPr>
          <w:rFonts w:cs="Times New Roman"/>
        </w:rPr>
        <w:t>hmk</w:t>
      </w:r>
      <w:r w:rsidR="006E6B19" w:rsidRPr="00AA2F39">
        <w:rPr>
          <w:rFonts w:cs="Times New Roman"/>
        </w:rPr>
        <w:t xml:space="preserve">e, Jennifer L. L. Gant, Gert-Jan Boon, Line </w:t>
      </w:r>
      <w:proofErr w:type="spellStart"/>
      <w:r w:rsidR="006E6B19" w:rsidRPr="00AA2F39">
        <w:rPr>
          <w:rFonts w:cs="Times New Roman"/>
        </w:rPr>
        <w:t>Langkjaer</w:t>
      </w:r>
      <w:proofErr w:type="spellEnd"/>
      <w:r w:rsidR="0012319B" w:rsidRPr="00AA2F39">
        <w:rPr>
          <w:rFonts w:cs="Times New Roman"/>
        </w:rPr>
        <w:t xml:space="preserve">, Emilie </w:t>
      </w:r>
      <w:proofErr w:type="spellStart"/>
      <w:r w:rsidR="0012319B" w:rsidRPr="00AA2F39">
        <w:rPr>
          <w:rFonts w:cs="Times New Roman"/>
        </w:rPr>
        <w:t>Ghio</w:t>
      </w:r>
      <w:proofErr w:type="spellEnd"/>
    </w:p>
    <w:p w14:paraId="63A40FB7" w14:textId="77777777" w:rsidR="00CC7D85" w:rsidRDefault="00CC7D85" w:rsidP="00F04954">
      <w:pPr>
        <w:spacing w:before="120" w:after="120"/>
        <w:jc w:val="both"/>
        <w:rPr>
          <w:rFonts w:cs="Times New Roman"/>
          <w:b/>
        </w:rPr>
      </w:pPr>
    </w:p>
    <w:p w14:paraId="0B643454" w14:textId="77777777" w:rsidR="00CA3253" w:rsidRPr="00AA2F39" w:rsidRDefault="00CA3253" w:rsidP="00F04954">
      <w:pPr>
        <w:spacing w:before="120" w:after="120"/>
        <w:jc w:val="both"/>
        <w:rPr>
          <w:rFonts w:cs="Times New Roman"/>
          <w:b/>
        </w:rPr>
      </w:pPr>
      <w:r w:rsidRPr="00AA2F39">
        <w:rPr>
          <w:rFonts w:cs="Times New Roman"/>
          <w:b/>
        </w:rPr>
        <w:t xml:space="preserve">1. </w:t>
      </w:r>
      <w:r w:rsidRPr="00AA2F39">
        <w:rPr>
          <w:rFonts w:cs="Times New Roman"/>
          <w:b/>
        </w:rPr>
        <w:tab/>
        <w:t>Introduction</w:t>
      </w:r>
    </w:p>
    <w:p w14:paraId="1E3826BA" w14:textId="1D6F6017" w:rsidR="00085D08" w:rsidRPr="00AA2F39" w:rsidRDefault="002A19EF" w:rsidP="00F04954">
      <w:pPr>
        <w:spacing w:before="120" w:after="120"/>
        <w:jc w:val="both"/>
        <w:rPr>
          <w:rFonts w:cs="Times New Roman"/>
        </w:rPr>
      </w:pPr>
      <w:r w:rsidRPr="00AA2F39">
        <w:rPr>
          <w:rFonts w:cs="Times New Roman"/>
        </w:rPr>
        <w:t xml:space="preserve">The </w:t>
      </w:r>
      <w:r w:rsidR="00076314" w:rsidRPr="00AA2F39">
        <w:rPr>
          <w:rFonts w:cs="Times New Roman"/>
        </w:rPr>
        <w:t xml:space="preserve">perception </w:t>
      </w:r>
      <w:r w:rsidRPr="00AA2F39">
        <w:rPr>
          <w:rFonts w:cs="Times New Roman"/>
        </w:rPr>
        <w:t>of insolvency and restructuring law in Europe has been subject to significant change</w:t>
      </w:r>
      <w:r w:rsidR="00015826" w:rsidRPr="00AA2F39">
        <w:rPr>
          <w:rFonts w:cs="Times New Roman"/>
        </w:rPr>
        <w:t>s</w:t>
      </w:r>
      <w:r w:rsidRPr="00AA2F39">
        <w:rPr>
          <w:rFonts w:cs="Times New Roman"/>
        </w:rPr>
        <w:t xml:space="preserve"> in recent years; with a fresh breeze coming from national reforms, topped by a radical</w:t>
      </w:r>
      <w:r w:rsidR="00076314" w:rsidRPr="00AA2F39">
        <w:rPr>
          <w:rFonts w:cs="Times New Roman"/>
        </w:rPr>
        <w:t xml:space="preserve"> and substantive</w:t>
      </w:r>
      <w:r w:rsidRPr="00AA2F39">
        <w:rPr>
          <w:rFonts w:cs="Times New Roman"/>
        </w:rPr>
        <w:t xml:space="preserve"> reform envisaged in the proposed EU directive for a preventive restructuring framework.</w:t>
      </w:r>
      <w:r w:rsidR="00E770F8" w:rsidRPr="00AA2F39">
        <w:rPr>
          <w:rStyle w:val="FootnoteReference"/>
          <w:rFonts w:cs="Times New Roman"/>
        </w:rPr>
        <w:footnoteReference w:id="2"/>
      </w:r>
      <w:r w:rsidRPr="00AA2F39">
        <w:rPr>
          <w:rFonts w:cs="Times New Roman"/>
        </w:rPr>
        <w:t xml:space="preserve"> For decades, the (continental) European understanding of insolvency was merciless. The troubled debtor’s directors were threatened with strict liability </w:t>
      </w:r>
      <w:r w:rsidR="00700A2F" w:rsidRPr="00AA2F39">
        <w:rPr>
          <w:rFonts w:cs="Times New Roman"/>
        </w:rPr>
        <w:t>and</w:t>
      </w:r>
      <w:r w:rsidR="0012319B" w:rsidRPr="00AA2F39">
        <w:rPr>
          <w:rFonts w:cs="Times New Roman"/>
        </w:rPr>
        <w:t>, in some jurisdictions,</w:t>
      </w:r>
      <w:r w:rsidR="00700A2F" w:rsidRPr="00AA2F39">
        <w:rPr>
          <w:rFonts w:cs="Times New Roman"/>
        </w:rPr>
        <w:t xml:space="preserve"> even criminal punishment </w:t>
      </w:r>
      <w:r w:rsidR="007524C2" w:rsidRPr="00AA2F39">
        <w:rPr>
          <w:rFonts w:cs="Times New Roman"/>
        </w:rPr>
        <w:t>for a failure to</w:t>
      </w:r>
      <w:r w:rsidR="00700A2F" w:rsidRPr="00AA2F39">
        <w:rPr>
          <w:rFonts w:cs="Times New Roman"/>
        </w:rPr>
        <w:t xml:space="preserve"> </w:t>
      </w:r>
      <w:r w:rsidR="007524C2" w:rsidRPr="00AA2F39">
        <w:rPr>
          <w:rFonts w:cs="Times New Roman"/>
        </w:rPr>
        <w:t xml:space="preserve">file </w:t>
      </w:r>
      <w:r w:rsidR="00700A2F" w:rsidRPr="00AA2F39">
        <w:rPr>
          <w:rFonts w:cs="Times New Roman"/>
        </w:rPr>
        <w:t>for an insolvency procedure</w:t>
      </w:r>
      <w:r w:rsidR="0012319B" w:rsidRPr="00AA2F39">
        <w:rPr>
          <w:rFonts w:cs="Times New Roman"/>
        </w:rPr>
        <w:t xml:space="preserve">. This </w:t>
      </w:r>
      <w:r w:rsidR="00700A2F" w:rsidRPr="00AA2F39">
        <w:rPr>
          <w:rFonts w:cs="Times New Roman"/>
        </w:rPr>
        <w:t xml:space="preserve">would almost always lead to the dissolution of the debtor and the </w:t>
      </w:r>
      <w:r w:rsidR="00AA476F" w:rsidRPr="00AA2F39">
        <w:rPr>
          <w:rFonts w:cs="Times New Roman"/>
        </w:rPr>
        <w:t>(piece</w:t>
      </w:r>
      <w:r w:rsidR="00076314" w:rsidRPr="00AA2F39">
        <w:rPr>
          <w:rFonts w:cs="Times New Roman"/>
        </w:rPr>
        <w:t>-</w:t>
      </w:r>
      <w:r w:rsidR="00AA476F" w:rsidRPr="00AA2F39">
        <w:rPr>
          <w:rFonts w:cs="Times New Roman"/>
        </w:rPr>
        <w:t xml:space="preserve">meal) </w:t>
      </w:r>
      <w:r w:rsidR="00700A2F" w:rsidRPr="00AA2F39">
        <w:rPr>
          <w:rFonts w:cs="Times New Roman"/>
        </w:rPr>
        <w:t>liquidation of its assets. The stigma of insolvency was firmly attached to the insolvent debtor.</w:t>
      </w:r>
    </w:p>
    <w:p w14:paraId="6B32677D" w14:textId="1462B768" w:rsidR="00700A2F" w:rsidRPr="00AA2F39" w:rsidRDefault="00EA316D" w:rsidP="00F04954">
      <w:pPr>
        <w:spacing w:before="120" w:after="120"/>
        <w:jc w:val="both"/>
        <w:rPr>
          <w:rFonts w:cs="Times New Roman"/>
        </w:rPr>
      </w:pPr>
      <w:r w:rsidRPr="00AA2F39">
        <w:rPr>
          <w:rFonts w:cs="Times New Roman"/>
        </w:rPr>
        <w:t>Compared to the United States</w:t>
      </w:r>
      <w:r w:rsidR="00E770F8" w:rsidRPr="00AA2F39">
        <w:rPr>
          <w:rFonts w:cs="Times New Roman"/>
        </w:rPr>
        <w:t>,</w:t>
      </w:r>
      <w:r w:rsidR="00E770F8" w:rsidRPr="00AA2F39">
        <w:rPr>
          <w:rStyle w:val="FootnoteReference"/>
          <w:rFonts w:cs="Times New Roman"/>
        </w:rPr>
        <w:footnoteReference w:id="3"/>
      </w:r>
      <w:r w:rsidRPr="00AA2F39">
        <w:rPr>
          <w:rFonts w:cs="Times New Roman"/>
        </w:rPr>
        <w:t xml:space="preserve"> it has taken </w:t>
      </w:r>
      <w:r w:rsidR="00C80B03" w:rsidRPr="00AA2F39">
        <w:rPr>
          <w:rFonts w:cs="Times New Roman"/>
        </w:rPr>
        <w:t>some time</w:t>
      </w:r>
      <w:r w:rsidR="009D541C" w:rsidRPr="00AA2F39">
        <w:rPr>
          <w:rFonts w:cs="Times New Roman"/>
        </w:rPr>
        <w:t xml:space="preserve"> </w:t>
      </w:r>
      <w:r w:rsidR="00E770F8" w:rsidRPr="00AA2F39">
        <w:rPr>
          <w:rFonts w:cs="Times New Roman"/>
        </w:rPr>
        <w:t xml:space="preserve">for </w:t>
      </w:r>
      <w:r w:rsidR="009D541C" w:rsidRPr="00AA2F39">
        <w:rPr>
          <w:rFonts w:cs="Times New Roman"/>
        </w:rPr>
        <w:t>the</w:t>
      </w:r>
      <w:r w:rsidR="00E770F8" w:rsidRPr="00AA2F39">
        <w:rPr>
          <w:rFonts w:cs="Times New Roman"/>
        </w:rPr>
        <w:t xml:space="preserve"> European paradigm </w:t>
      </w:r>
      <w:r w:rsidR="009D541C" w:rsidRPr="00AA2F39">
        <w:rPr>
          <w:rFonts w:cs="Times New Roman"/>
        </w:rPr>
        <w:t xml:space="preserve">of insolvency and restructuring </w:t>
      </w:r>
      <w:r w:rsidR="008032FB" w:rsidRPr="00AA2F39">
        <w:rPr>
          <w:rFonts w:cs="Times New Roman"/>
        </w:rPr>
        <w:t xml:space="preserve">procedures to </w:t>
      </w:r>
      <w:r w:rsidR="00E770F8" w:rsidRPr="00AA2F39">
        <w:rPr>
          <w:rFonts w:cs="Times New Roman"/>
        </w:rPr>
        <w:t xml:space="preserve">accept that they should be </w:t>
      </w:r>
      <w:r w:rsidR="009D541C" w:rsidRPr="00AA2F39">
        <w:rPr>
          <w:rFonts w:cs="Times New Roman"/>
        </w:rPr>
        <w:t xml:space="preserve">a tool </w:t>
      </w:r>
      <w:r w:rsidR="005C05E4" w:rsidRPr="00AA2F39">
        <w:rPr>
          <w:rFonts w:cs="Times New Roman"/>
        </w:rPr>
        <w:t xml:space="preserve">to facilitate a going-concern </w:t>
      </w:r>
      <w:r w:rsidR="00E770F8" w:rsidRPr="00AA2F39">
        <w:rPr>
          <w:rFonts w:cs="Times New Roman"/>
        </w:rPr>
        <w:t xml:space="preserve">rehabilitation </w:t>
      </w:r>
      <w:r w:rsidR="005C05E4" w:rsidRPr="00AA2F39">
        <w:rPr>
          <w:rFonts w:cs="Times New Roman"/>
        </w:rPr>
        <w:t>of the business and to grant the debtor a second chance for the benefit of value-maximization</w:t>
      </w:r>
      <w:r w:rsidR="00E770F8" w:rsidRPr="00AA2F39">
        <w:rPr>
          <w:rFonts w:cs="Times New Roman"/>
        </w:rPr>
        <w:t>.</w:t>
      </w:r>
      <w:r w:rsidR="005C05E4" w:rsidRPr="00AA2F39">
        <w:rPr>
          <w:rFonts w:cs="Times New Roman"/>
        </w:rPr>
        <w:t xml:space="preserve"> Legal reforms in the recent </w:t>
      </w:r>
      <w:r w:rsidR="00C41CF4" w:rsidRPr="00AA2F39">
        <w:rPr>
          <w:rFonts w:cs="Times New Roman"/>
        </w:rPr>
        <w:t xml:space="preserve">years </w:t>
      </w:r>
      <w:r w:rsidR="005C05E4" w:rsidRPr="00AA2F39">
        <w:rPr>
          <w:rFonts w:cs="Times New Roman"/>
        </w:rPr>
        <w:t xml:space="preserve">were </w:t>
      </w:r>
      <w:r w:rsidR="00E770F8" w:rsidRPr="00AA2F39">
        <w:rPr>
          <w:rFonts w:cs="Times New Roman"/>
        </w:rPr>
        <w:t>aimed at</w:t>
      </w:r>
      <w:r w:rsidR="005C05E4" w:rsidRPr="00AA2F39">
        <w:rPr>
          <w:rFonts w:cs="Times New Roman"/>
        </w:rPr>
        <w:t xml:space="preserve"> establish</w:t>
      </w:r>
      <w:r w:rsidR="00E770F8" w:rsidRPr="00AA2F39">
        <w:rPr>
          <w:rFonts w:cs="Times New Roman"/>
        </w:rPr>
        <w:t>ing</w:t>
      </w:r>
      <w:r w:rsidR="005C05E4" w:rsidRPr="00AA2F39">
        <w:rPr>
          <w:rFonts w:cs="Times New Roman"/>
        </w:rPr>
        <w:t xml:space="preserve"> a more restructuring-friendly culture in Europe</w:t>
      </w:r>
      <w:r w:rsidR="00E770F8" w:rsidRPr="00AA2F39">
        <w:rPr>
          <w:rFonts w:cs="Times New Roman"/>
        </w:rPr>
        <w:t xml:space="preserve">, espousing a rescue culture for insolvency </w:t>
      </w:r>
      <w:r w:rsidR="008032FB" w:rsidRPr="00AA2F39">
        <w:rPr>
          <w:rFonts w:cs="Times New Roman"/>
        </w:rPr>
        <w:t>frameworks</w:t>
      </w:r>
      <w:r w:rsidR="005C05E4" w:rsidRPr="00AA2F39">
        <w:rPr>
          <w:rFonts w:cs="Times New Roman"/>
        </w:rPr>
        <w:t>.</w:t>
      </w:r>
      <w:r w:rsidR="00E770F8" w:rsidRPr="00AA2F39">
        <w:rPr>
          <w:rStyle w:val="FootnoteReference"/>
          <w:rFonts w:cs="Times New Roman"/>
        </w:rPr>
        <w:footnoteReference w:id="4"/>
      </w:r>
      <w:r w:rsidR="005C05E4" w:rsidRPr="00AA2F39">
        <w:rPr>
          <w:rFonts w:cs="Times New Roman"/>
        </w:rPr>
        <w:t xml:space="preserve"> The underlying proposition is that a timely and cooperative restructuring, incentivized by carrots rather than sticks, </w:t>
      </w:r>
      <w:r w:rsidR="00207F94" w:rsidRPr="00AA2F39">
        <w:rPr>
          <w:rFonts w:cs="Times New Roman"/>
        </w:rPr>
        <w:t xml:space="preserve">should create a surplus </w:t>
      </w:r>
      <w:r w:rsidR="00C80B03" w:rsidRPr="00AA2F39">
        <w:rPr>
          <w:rFonts w:cs="Times New Roman"/>
        </w:rPr>
        <w:t>in contrast</w:t>
      </w:r>
      <w:r w:rsidR="00207F94" w:rsidRPr="00AA2F39">
        <w:rPr>
          <w:rFonts w:cs="Times New Roman"/>
        </w:rPr>
        <w:t xml:space="preserve"> to a delayed in-court insolvency procedure; a surplus </w:t>
      </w:r>
      <w:r w:rsidR="00C80B03" w:rsidRPr="00AA2F39">
        <w:rPr>
          <w:rFonts w:cs="Times New Roman"/>
        </w:rPr>
        <w:t>that</w:t>
      </w:r>
      <w:r w:rsidR="00207F94" w:rsidRPr="00AA2F39">
        <w:rPr>
          <w:rFonts w:cs="Times New Roman"/>
        </w:rPr>
        <w:t xml:space="preserve"> could be shared amongst the debtor and its creditors.</w:t>
      </w:r>
    </w:p>
    <w:p w14:paraId="144DDBF4" w14:textId="487DE7FA" w:rsidR="00A30B66" w:rsidRPr="00AA2F39" w:rsidRDefault="00244BA5" w:rsidP="00F04954">
      <w:pPr>
        <w:spacing w:before="120" w:after="120"/>
        <w:jc w:val="both"/>
        <w:rPr>
          <w:rFonts w:cs="Times New Roman"/>
        </w:rPr>
      </w:pPr>
      <w:r w:rsidRPr="00AA2F39">
        <w:rPr>
          <w:rFonts w:cs="Times New Roman"/>
        </w:rPr>
        <w:t xml:space="preserve">In this article, </w:t>
      </w:r>
      <w:r w:rsidR="008716FA" w:rsidRPr="00AA2F39">
        <w:rPr>
          <w:rFonts w:cs="Times New Roman"/>
        </w:rPr>
        <w:t>following a short description of the</w:t>
      </w:r>
      <w:r w:rsidR="00B96978" w:rsidRPr="00AA2F39">
        <w:rPr>
          <w:rFonts w:cs="Times New Roman"/>
        </w:rPr>
        <w:t xml:space="preserve"> background of the </w:t>
      </w:r>
      <w:r w:rsidR="00C80B03" w:rsidRPr="00AA2F39">
        <w:rPr>
          <w:rFonts w:cs="Times New Roman"/>
        </w:rPr>
        <w:t xml:space="preserve">Proposal </w:t>
      </w:r>
      <w:r w:rsidR="008716FA" w:rsidRPr="00AA2F39">
        <w:rPr>
          <w:rFonts w:cs="Times New Roman"/>
        </w:rPr>
        <w:t xml:space="preserve">in </w:t>
      </w:r>
      <w:r w:rsidR="00B428BD" w:rsidRPr="00AA2F39">
        <w:rPr>
          <w:rFonts w:cs="Times New Roman"/>
        </w:rPr>
        <w:t xml:space="preserve">section </w:t>
      </w:r>
      <w:r w:rsidR="008716FA" w:rsidRPr="00AA2F39">
        <w:rPr>
          <w:rFonts w:cs="Times New Roman"/>
        </w:rPr>
        <w:t xml:space="preserve">2, </w:t>
      </w:r>
      <w:r w:rsidRPr="00AA2F39">
        <w:rPr>
          <w:rFonts w:cs="Times New Roman"/>
        </w:rPr>
        <w:t xml:space="preserve">an analytical overview of the state of the art </w:t>
      </w:r>
      <w:r w:rsidR="00C40BE3" w:rsidRPr="00AA2F39">
        <w:rPr>
          <w:rFonts w:cs="Times New Roman"/>
        </w:rPr>
        <w:t>of restructuring practice in f</w:t>
      </w:r>
      <w:r w:rsidR="00A37160" w:rsidRPr="00AA2F39">
        <w:rPr>
          <w:rFonts w:cs="Times New Roman"/>
        </w:rPr>
        <w:t>ive</w:t>
      </w:r>
      <w:r w:rsidR="00C40BE3" w:rsidRPr="00AA2F39">
        <w:rPr>
          <w:rFonts w:cs="Times New Roman"/>
        </w:rPr>
        <w:t xml:space="preserve"> European countries</w:t>
      </w:r>
      <w:r w:rsidR="006C3C8A" w:rsidRPr="00AA2F39">
        <w:rPr>
          <w:rFonts w:cs="Times New Roman"/>
        </w:rPr>
        <w:t xml:space="preserve"> (Denmark, France, Germany, The Netherlands, and the UK)</w:t>
      </w:r>
      <w:r w:rsidR="00C80B03" w:rsidRPr="00AA2F39">
        <w:rPr>
          <w:rFonts w:cs="Times New Roman"/>
        </w:rPr>
        <w:t xml:space="preserve"> will be provided</w:t>
      </w:r>
      <w:r w:rsidR="008716FA" w:rsidRPr="00AA2F39">
        <w:rPr>
          <w:rFonts w:cs="Times New Roman"/>
        </w:rPr>
        <w:t xml:space="preserve"> in </w:t>
      </w:r>
      <w:r w:rsidR="00B428BD" w:rsidRPr="00AA2F39">
        <w:rPr>
          <w:rFonts w:cs="Times New Roman"/>
        </w:rPr>
        <w:t xml:space="preserve">section </w:t>
      </w:r>
      <w:r w:rsidR="008716FA" w:rsidRPr="00AA2F39">
        <w:rPr>
          <w:rFonts w:cs="Times New Roman"/>
        </w:rPr>
        <w:t>3</w:t>
      </w:r>
      <w:r w:rsidR="00C40BE3" w:rsidRPr="00AA2F39">
        <w:rPr>
          <w:rFonts w:cs="Times New Roman"/>
        </w:rPr>
        <w:t xml:space="preserve">, </w:t>
      </w:r>
      <w:r w:rsidR="00C80B03" w:rsidRPr="00AA2F39">
        <w:rPr>
          <w:rFonts w:cs="Times New Roman"/>
        </w:rPr>
        <w:t xml:space="preserve">prior to which the </w:t>
      </w:r>
      <w:r w:rsidR="00A30B66" w:rsidRPr="00AA2F39">
        <w:rPr>
          <w:rFonts w:cs="Times New Roman"/>
        </w:rPr>
        <w:t>key elements necessary for a successful restructuring</w:t>
      </w:r>
      <w:r w:rsidR="00C80B03" w:rsidRPr="00AA2F39">
        <w:rPr>
          <w:rFonts w:cs="Times New Roman"/>
        </w:rPr>
        <w:t xml:space="preserve"> will be extracted and explained. These key elements also reflect </w:t>
      </w:r>
      <w:r w:rsidR="00A30B66" w:rsidRPr="00AA2F39">
        <w:rPr>
          <w:rFonts w:cs="Times New Roman"/>
        </w:rPr>
        <w:t xml:space="preserve">the main obstacles to be overcome </w:t>
      </w:r>
      <w:r w:rsidR="00C80B03" w:rsidRPr="00AA2F39">
        <w:rPr>
          <w:rFonts w:cs="Times New Roman"/>
        </w:rPr>
        <w:t xml:space="preserve">in agreeing the contents and approach in the Proposal and its eventual legislative counterpart as is </w:t>
      </w:r>
      <w:r w:rsidR="00C80B03" w:rsidRPr="00AA2F39">
        <w:rPr>
          <w:rFonts w:cs="Times New Roman"/>
        </w:rPr>
        <w:lastRenderedPageBreak/>
        <w:t xml:space="preserve">demonstrated </w:t>
      </w:r>
      <w:r w:rsidR="00A30B66" w:rsidRPr="00AA2F39">
        <w:rPr>
          <w:rFonts w:cs="Times New Roman"/>
        </w:rPr>
        <w:t>in a</w:t>
      </w:r>
      <w:r w:rsidR="008716FA" w:rsidRPr="00AA2F39">
        <w:rPr>
          <w:rFonts w:cs="Times New Roman"/>
        </w:rPr>
        <w:t xml:space="preserve"> comparative review </w:t>
      </w:r>
      <w:r w:rsidR="00C80B03" w:rsidRPr="00AA2F39">
        <w:rPr>
          <w:rFonts w:cs="Times New Roman"/>
        </w:rPr>
        <w:t xml:space="preserve">of the position </w:t>
      </w:r>
      <w:r w:rsidR="008716FA" w:rsidRPr="00AA2F39">
        <w:rPr>
          <w:rFonts w:cs="Times New Roman"/>
        </w:rPr>
        <w:t xml:space="preserve">in </w:t>
      </w:r>
      <w:r w:rsidR="00B428BD" w:rsidRPr="00AA2F39">
        <w:rPr>
          <w:rFonts w:cs="Times New Roman"/>
        </w:rPr>
        <w:t xml:space="preserve">section </w:t>
      </w:r>
      <w:r w:rsidR="008716FA" w:rsidRPr="00AA2F39">
        <w:rPr>
          <w:rFonts w:cs="Times New Roman"/>
        </w:rPr>
        <w:t>4</w:t>
      </w:r>
      <w:r w:rsidR="00C40BE3" w:rsidRPr="00AA2F39">
        <w:rPr>
          <w:rFonts w:cs="Times New Roman"/>
        </w:rPr>
        <w:t>.</w:t>
      </w:r>
      <w:r w:rsidR="008716FA" w:rsidRPr="00AA2F39">
        <w:rPr>
          <w:rFonts w:cs="Times New Roman"/>
        </w:rPr>
        <w:t xml:space="preserve"> In </w:t>
      </w:r>
      <w:r w:rsidR="00B428BD" w:rsidRPr="00AA2F39">
        <w:rPr>
          <w:rFonts w:cs="Times New Roman"/>
        </w:rPr>
        <w:t xml:space="preserve">section </w:t>
      </w:r>
      <w:r w:rsidR="008716FA" w:rsidRPr="00AA2F39">
        <w:rPr>
          <w:rFonts w:cs="Times New Roman"/>
        </w:rPr>
        <w:t>5</w:t>
      </w:r>
      <w:r w:rsidR="00A30B66" w:rsidRPr="00AA2F39">
        <w:rPr>
          <w:rFonts w:cs="Times New Roman"/>
        </w:rPr>
        <w:t xml:space="preserve">, </w:t>
      </w:r>
      <w:r w:rsidR="00C80B03" w:rsidRPr="00AA2F39">
        <w:rPr>
          <w:rFonts w:cs="Times New Roman"/>
        </w:rPr>
        <w:t xml:space="preserve">an analysis of the findings set out herein linked to </w:t>
      </w:r>
      <w:r w:rsidR="00FF54CD" w:rsidRPr="00AA2F39">
        <w:rPr>
          <w:rFonts w:cs="Times New Roman"/>
        </w:rPr>
        <w:t>the</w:t>
      </w:r>
      <w:r w:rsidR="00A30B66" w:rsidRPr="00AA2F39">
        <w:rPr>
          <w:rFonts w:cs="Times New Roman"/>
        </w:rPr>
        <w:t xml:space="preserve"> </w:t>
      </w:r>
      <w:r w:rsidR="00C80B03" w:rsidRPr="00AA2F39">
        <w:rPr>
          <w:rFonts w:cs="Times New Roman"/>
        </w:rPr>
        <w:t>Proposal</w:t>
      </w:r>
      <w:r w:rsidR="00FF54CD" w:rsidRPr="00AA2F39">
        <w:rPr>
          <w:rFonts w:cs="Times New Roman"/>
        </w:rPr>
        <w:t xml:space="preserve"> is given, followed by a brief conclusion and commentary on the issues present as seen from the authors’ points of view.</w:t>
      </w:r>
    </w:p>
    <w:p w14:paraId="27FBD379" w14:textId="77777777" w:rsidR="00CC7D85" w:rsidRDefault="00CC7D85" w:rsidP="00F04954">
      <w:pPr>
        <w:spacing w:before="120" w:after="120"/>
        <w:jc w:val="both"/>
        <w:rPr>
          <w:rFonts w:cs="Times New Roman"/>
          <w:b/>
        </w:rPr>
      </w:pPr>
    </w:p>
    <w:p w14:paraId="72817245" w14:textId="2A2CABA5" w:rsidR="00085D08" w:rsidRPr="00AA2F39" w:rsidRDefault="00D055B5" w:rsidP="00F04954">
      <w:pPr>
        <w:spacing w:before="120" w:after="120"/>
        <w:jc w:val="both"/>
        <w:rPr>
          <w:rFonts w:cs="Times New Roman"/>
          <w:b/>
        </w:rPr>
      </w:pPr>
      <w:r w:rsidRPr="00AA2F39">
        <w:rPr>
          <w:rFonts w:cs="Times New Roman"/>
          <w:b/>
        </w:rPr>
        <w:t>2.</w:t>
      </w:r>
      <w:r w:rsidRPr="00AA2F39">
        <w:rPr>
          <w:rFonts w:cs="Times New Roman"/>
          <w:b/>
        </w:rPr>
        <w:tab/>
        <w:t>The Proposed EU Directive on a Preventive Restructuring Framework</w:t>
      </w:r>
    </w:p>
    <w:p w14:paraId="5CC2C602" w14:textId="43037447" w:rsidR="00F91CE5" w:rsidRPr="00AA2F39" w:rsidRDefault="00F91CE5" w:rsidP="00F91CE5">
      <w:pPr>
        <w:spacing w:before="120" w:after="120"/>
        <w:jc w:val="both"/>
        <w:rPr>
          <w:rFonts w:cs="Times New Roman"/>
        </w:rPr>
      </w:pPr>
      <w:r w:rsidRPr="00AA2F39">
        <w:rPr>
          <w:rFonts w:cs="Times New Roman"/>
        </w:rPr>
        <w:t xml:space="preserve">Improving the ability of companies to restructure at an early stage has been a focus of the rescue culture since it was introduced. The financial crisis of 2007/2008 brought this into sharp relief as corporate insolvency became rampant, with a high attrition rate across the EU of businesses failing to recover from their financial difficulties. The years that followed saw </w:t>
      </w:r>
      <w:r w:rsidR="00FF54CD" w:rsidRPr="00AA2F39">
        <w:rPr>
          <w:rFonts w:cs="Times New Roman"/>
        </w:rPr>
        <w:t>many</w:t>
      </w:r>
      <w:r w:rsidRPr="00AA2F39">
        <w:rPr>
          <w:rFonts w:cs="Times New Roman"/>
        </w:rPr>
        <w:t xml:space="preserve"> reforms among the member states, leading to divergences in the approach to restructuring, preventive or otherwise. In 2014, the EU was “facing the biggest economic crisis in its history leading to record numbers of bankruptcies in most Member States</w:t>
      </w:r>
      <w:r w:rsidR="00FF54CD" w:rsidRPr="00AA2F39">
        <w:rPr>
          <w:rFonts w:cs="Times New Roman"/>
        </w:rPr>
        <w:t>”,</w:t>
      </w:r>
      <w:r w:rsidR="000423EA">
        <w:rPr>
          <w:rStyle w:val="FootnoteReference"/>
          <w:rFonts w:cs="Times New Roman"/>
        </w:rPr>
        <w:footnoteReference w:id="5"/>
      </w:r>
      <w:r w:rsidR="00FF54CD" w:rsidRPr="00AA2F39">
        <w:rPr>
          <w:rFonts w:cs="Times New Roman"/>
        </w:rPr>
        <w:t xml:space="preserve"> justifying</w:t>
      </w:r>
      <w:r w:rsidRPr="00AA2F39">
        <w:rPr>
          <w:rFonts w:cs="Times New Roman"/>
        </w:rPr>
        <w:t xml:space="preserve"> the need to reinforce the rescue and recovery culture to support economic recovery</w:t>
      </w:r>
      <w:r w:rsidR="00681DF1">
        <w:rPr>
          <w:rFonts w:cs="Times New Roman"/>
        </w:rPr>
        <w:t xml:space="preserve"> which resulted in the publication of a Recommendation</w:t>
      </w:r>
      <w:r w:rsidRPr="00AA2F39">
        <w:rPr>
          <w:rFonts w:cs="Times New Roman"/>
        </w:rPr>
        <w:t>.</w:t>
      </w:r>
      <w:r w:rsidR="000423EA" w:rsidRPr="00AA2F39">
        <w:rPr>
          <w:rStyle w:val="FootnoteReference"/>
          <w:rFonts w:cs="Times New Roman"/>
        </w:rPr>
        <w:footnoteReference w:id="6"/>
      </w:r>
      <w:r w:rsidR="000423EA" w:rsidRPr="00AA2F39">
        <w:rPr>
          <w:rFonts w:cs="Times New Roman"/>
        </w:rPr>
        <w:t xml:space="preserve"> </w:t>
      </w:r>
      <w:r w:rsidRPr="00AA2F39">
        <w:rPr>
          <w:rFonts w:cs="Times New Roman"/>
        </w:rPr>
        <w:t xml:space="preserve">The 2014 Recommendation aims at improving conditions and incentives for preventive restructuring of viable businesses and firms. </w:t>
      </w:r>
    </w:p>
    <w:p w14:paraId="37331F6E" w14:textId="0F867177" w:rsidR="00F91CE5" w:rsidRPr="00AA2F39" w:rsidRDefault="00F91CE5" w:rsidP="00F91CE5">
      <w:pPr>
        <w:spacing w:before="120" w:after="120"/>
        <w:jc w:val="both"/>
        <w:rPr>
          <w:rFonts w:cs="Times New Roman"/>
        </w:rPr>
      </w:pPr>
      <w:r w:rsidRPr="00AA2F39">
        <w:rPr>
          <w:rFonts w:cs="Times New Roman"/>
        </w:rPr>
        <w:t xml:space="preserve">The Recommendation was based largely on a stakeholder approach, citing the need to protect not only the secured creditor, but also </w:t>
      </w:r>
      <w:r w:rsidR="00734095" w:rsidRPr="00AA2F39">
        <w:rPr>
          <w:rFonts w:cs="Times New Roman"/>
        </w:rPr>
        <w:t xml:space="preserve">unsecured </w:t>
      </w:r>
      <w:r w:rsidRPr="00AA2F39">
        <w:rPr>
          <w:rFonts w:cs="Times New Roman"/>
        </w:rPr>
        <w:t>creditors, employees, owners, and the economy as a whole. The aim was to try to bring alignment between the diverse preventive restructuring procedures among the member states, but it was not seen as effective as few member states appeared to make any changes as a result of its passing.</w:t>
      </w:r>
      <w:r w:rsidR="00734095" w:rsidRPr="00AA2F39">
        <w:rPr>
          <w:rStyle w:val="FootnoteReference"/>
          <w:rFonts w:cs="Times New Roman"/>
        </w:rPr>
        <w:footnoteReference w:id="7"/>
      </w:r>
      <w:r w:rsidR="00F86CDD">
        <w:rPr>
          <w:rFonts w:cs="Times New Roman"/>
        </w:rPr>
        <w:t xml:space="preserve"> </w:t>
      </w:r>
      <w:r w:rsidRPr="00AA2F39">
        <w:rPr>
          <w:rFonts w:cs="Times New Roman"/>
        </w:rPr>
        <w:t>Thus, a more robust approach was needed to encourage substantive harmonisation among the member states</w:t>
      </w:r>
      <w:r w:rsidR="00734095" w:rsidRPr="00AA2F39">
        <w:rPr>
          <w:rFonts w:cs="Times New Roman"/>
        </w:rPr>
        <w:t xml:space="preserve">, leading to the Proposal </w:t>
      </w:r>
      <w:r w:rsidR="00F86CDD">
        <w:rPr>
          <w:rFonts w:cs="Times New Roman"/>
        </w:rPr>
        <w:t xml:space="preserve">in 2016. </w:t>
      </w:r>
      <w:r w:rsidRPr="00AA2F39">
        <w:rPr>
          <w:rFonts w:cs="Times New Roman"/>
        </w:rPr>
        <w:t>Since then, the EU institutions</w:t>
      </w:r>
      <w:r w:rsidR="00734095" w:rsidRPr="00AA2F39">
        <w:rPr>
          <w:rStyle w:val="FootnoteReference"/>
          <w:sz w:val="22"/>
        </w:rPr>
        <w:footnoteReference w:id="8"/>
      </w:r>
      <w:r w:rsidR="00734095" w:rsidRPr="00AA2F39">
        <w:rPr>
          <w:sz w:val="22"/>
        </w:rPr>
        <w:t xml:space="preserve"> </w:t>
      </w:r>
      <w:r w:rsidRPr="00AA2F39">
        <w:rPr>
          <w:rFonts w:cs="Times New Roman"/>
        </w:rPr>
        <w:t>and experts</w:t>
      </w:r>
      <w:r w:rsidR="00734095" w:rsidRPr="00AA2F39">
        <w:rPr>
          <w:rFonts w:cs="Times New Roman"/>
        </w:rPr>
        <w:t>’</w:t>
      </w:r>
      <w:r w:rsidRPr="00AA2F39">
        <w:rPr>
          <w:rFonts w:cs="Times New Roman"/>
        </w:rPr>
        <w:t xml:space="preserve"> groups both at EU level hosted by the EU institutions, and at member state level, have discussed the contents of the proposal and in particular the nature of its main foci: the encouragement of early restructuring; the moratorium; the possibility of debtor in possession procedures; the cram-down; new financing; and reducing court formalities. </w:t>
      </w:r>
    </w:p>
    <w:p w14:paraId="09BF79EF" w14:textId="342F3B84" w:rsidR="00BB6AB6" w:rsidRPr="00AA2F39" w:rsidRDefault="00BB6AB6" w:rsidP="00BB6AB6">
      <w:pPr>
        <w:spacing w:before="120" w:after="120"/>
        <w:jc w:val="both"/>
        <w:rPr>
          <w:rFonts w:cs="Times New Roman"/>
        </w:rPr>
      </w:pPr>
      <w:r w:rsidRPr="00AA2F39">
        <w:t xml:space="preserve">This Proposal also shifted in its underpinning justification to wording that reflects the </w:t>
      </w:r>
      <w:r w:rsidRPr="00AA2F39">
        <w:rPr>
          <w:rFonts w:cs="Times New Roman"/>
        </w:rPr>
        <w:t>Action Plan on Building a Capital Markets Union,</w:t>
      </w:r>
      <w:r w:rsidRPr="00AA2F39">
        <w:rPr>
          <w:rStyle w:val="FootnoteReference"/>
          <w:rFonts w:cs="Times New Roman"/>
        </w:rPr>
        <w:footnoteReference w:id="9"/>
      </w:r>
      <w:r w:rsidRPr="00AA2F39">
        <w:rPr>
          <w:rFonts w:cs="Times New Roman"/>
        </w:rPr>
        <w:t xml:space="preserve"> which is evident in </w:t>
      </w:r>
      <w:r w:rsidR="00741698" w:rsidRPr="00AA2F39">
        <w:rPr>
          <w:rFonts w:cs="Times New Roman"/>
        </w:rPr>
        <w:t>its</w:t>
      </w:r>
      <w:r w:rsidRPr="00AA2F39">
        <w:rPr>
          <w:rFonts w:cs="Times New Roman"/>
        </w:rPr>
        <w:t xml:space="preserve"> statement that “a higher degree of harmonisation in insolvency law is thus essential for a well-functioning single market and for a true Capital Markets Union”.</w:t>
      </w:r>
      <w:r w:rsidRPr="00AA2F39">
        <w:rPr>
          <w:rFonts w:cs="Times New Roman"/>
          <w:vertAlign w:val="superscript"/>
        </w:rPr>
        <w:footnoteReference w:id="10"/>
      </w:r>
      <w:r w:rsidRPr="00AA2F39">
        <w:rPr>
          <w:rFonts w:cs="Times New Roman"/>
        </w:rPr>
        <w:t xml:space="preserve"> This shift goes from the benefits to the economy and economic stakeholders as well as a general focus on promoting the rescue culture, to justifying these goals by reference to capital investment, the support of stronger and more liquid capital markets, and diversified sources of funding for EU businesses with a </w:t>
      </w:r>
      <w:r w:rsidRPr="00AA2F39">
        <w:rPr>
          <w:rFonts w:cs="Times New Roman"/>
        </w:rPr>
        <w:lastRenderedPageBreak/>
        <w:t>view to deepening financial integration, lower costs of credit, and an increase in the EU’s competitiveness.</w:t>
      </w:r>
      <w:r w:rsidR="00741698" w:rsidRPr="00AA2F39">
        <w:rPr>
          <w:rStyle w:val="FootnoteReference"/>
          <w:rFonts w:cs="Times New Roman"/>
        </w:rPr>
        <w:footnoteReference w:id="11"/>
      </w:r>
      <w:r w:rsidRPr="00AA2F39">
        <w:rPr>
          <w:rFonts w:cs="Times New Roman"/>
        </w:rPr>
        <w:t xml:space="preserve"> This shift demonstrates a lean toward a more neo-liberal economic underpinning justification for financial and commercial regulation in the EU.</w:t>
      </w:r>
    </w:p>
    <w:p w14:paraId="6C9048F5" w14:textId="4039DD9B" w:rsidR="00F04954" w:rsidRPr="00AA2F39" w:rsidRDefault="00F91CE5" w:rsidP="00F04954">
      <w:pPr>
        <w:spacing w:before="120" w:after="120"/>
        <w:jc w:val="both"/>
        <w:rPr>
          <w:rFonts w:cs="Times New Roman"/>
        </w:rPr>
      </w:pPr>
      <w:r w:rsidRPr="00AA2F39">
        <w:rPr>
          <w:rFonts w:cs="Times New Roman"/>
        </w:rPr>
        <w:t xml:space="preserve">The most recent iteration of the </w:t>
      </w:r>
      <w:r w:rsidR="00681DF1">
        <w:rPr>
          <w:rFonts w:cs="Times New Roman"/>
        </w:rPr>
        <w:t>Proposal</w:t>
      </w:r>
      <w:r w:rsidR="00B71786">
        <w:rPr>
          <w:rStyle w:val="FootnoteReference"/>
          <w:rFonts w:cs="Times New Roman"/>
        </w:rPr>
        <w:footnoteReference w:id="12"/>
      </w:r>
      <w:r w:rsidRPr="00AA2F39">
        <w:rPr>
          <w:rFonts w:cs="Times New Roman"/>
        </w:rPr>
        <w:t xml:space="preserve"> is a confirmation of the final compromise text between the Council and the European Parliament with a view to an agreement and its p</w:t>
      </w:r>
      <w:r w:rsidR="00F86CDD">
        <w:rPr>
          <w:rFonts w:cs="Times New Roman"/>
        </w:rPr>
        <w:t>assing among the member states.</w:t>
      </w:r>
      <w:r w:rsidRPr="00AA2F39">
        <w:rPr>
          <w:rFonts w:cs="Times New Roman"/>
        </w:rPr>
        <w:t xml:space="preserve"> While some of the European Parliament’s requests have been accepted, </w:t>
      </w:r>
      <w:r w:rsidR="00BB6AB6" w:rsidRPr="00AA2F39">
        <w:rPr>
          <w:rFonts w:cs="Times New Roman"/>
        </w:rPr>
        <w:t xml:space="preserve">many of which attempted to dial back from the neo-liberal economic influence, </w:t>
      </w:r>
      <w:r w:rsidRPr="00AA2F39">
        <w:rPr>
          <w:rFonts w:cs="Times New Roman"/>
        </w:rPr>
        <w:t>the General Approach</w:t>
      </w:r>
      <w:r w:rsidR="00741698" w:rsidRPr="00AA2F39">
        <w:rPr>
          <w:rStyle w:val="FootnoteReference"/>
          <w:rFonts w:cs="Times New Roman"/>
        </w:rPr>
        <w:footnoteReference w:id="13"/>
      </w:r>
      <w:r w:rsidRPr="00AA2F39">
        <w:rPr>
          <w:rFonts w:cs="Times New Roman"/>
        </w:rPr>
        <w:t xml:space="preserve"> from the Member States of the Council have largely been respected.</w:t>
      </w:r>
      <w:r w:rsidR="00741698" w:rsidRPr="00AA2F39">
        <w:rPr>
          <w:rStyle w:val="FootnoteReference"/>
          <w:rFonts w:cs="Times New Roman"/>
        </w:rPr>
        <w:footnoteReference w:id="14"/>
      </w:r>
      <w:r w:rsidRPr="00AA2F39">
        <w:rPr>
          <w:rFonts w:cs="Times New Roman"/>
        </w:rPr>
        <w:t xml:space="preserve"> There were several key points of compromise. Firstly, the debtor in possession aspect faced challenges by the European Parliament, which wanted the mandatory appointment of an insolvency practitioner in at least some cases. This wish has been included in the compromise text, while trying to give member states the greatest flexibility possible in its transposition. The moratorium, cross-class cramdown, and protection for new financing, despite some initial resistance by the European Parliament, have largely been kept</w:t>
      </w:r>
      <w:r w:rsidR="00E717DB" w:rsidRPr="00AA2F39">
        <w:rPr>
          <w:rFonts w:cs="Times New Roman"/>
        </w:rPr>
        <w:t xml:space="preserve">. These three aspects of the Proposal will be discussed in the country reports below. </w:t>
      </w:r>
      <w:r w:rsidRPr="00AA2F39">
        <w:rPr>
          <w:rFonts w:cs="Times New Roman"/>
        </w:rPr>
        <w:t xml:space="preserve">The confirmed text has aimed to give member states sufficient flexibility to choose their approach to implementing the agreed principles, though time will tell as the confirmed text wends its way through to final approval and passage as a Directive to be implemented. </w:t>
      </w:r>
    </w:p>
    <w:p w14:paraId="55AB7325" w14:textId="77777777" w:rsidR="00910614" w:rsidRPr="00AA2F39" w:rsidRDefault="00910614" w:rsidP="00F04954">
      <w:pPr>
        <w:spacing w:before="120" w:after="120"/>
        <w:jc w:val="both"/>
        <w:rPr>
          <w:rFonts w:cs="Times New Roman"/>
          <w:b/>
        </w:rPr>
      </w:pPr>
    </w:p>
    <w:p w14:paraId="6B09B73A" w14:textId="4A98741E" w:rsidR="00CA3253" w:rsidRDefault="00D055B5" w:rsidP="00F04954">
      <w:pPr>
        <w:spacing w:before="120" w:after="120"/>
        <w:jc w:val="both"/>
        <w:rPr>
          <w:rFonts w:cs="Times New Roman"/>
          <w:b/>
        </w:rPr>
      </w:pPr>
      <w:r w:rsidRPr="00AA2F39">
        <w:rPr>
          <w:rFonts w:cs="Times New Roman"/>
          <w:b/>
        </w:rPr>
        <w:t>3</w:t>
      </w:r>
      <w:r w:rsidR="00CA3253" w:rsidRPr="00AA2F39">
        <w:rPr>
          <w:rFonts w:cs="Times New Roman"/>
          <w:b/>
        </w:rPr>
        <w:t xml:space="preserve">. </w:t>
      </w:r>
      <w:r w:rsidR="00CA3253" w:rsidRPr="00AA2F39">
        <w:rPr>
          <w:rFonts w:cs="Times New Roman"/>
          <w:b/>
        </w:rPr>
        <w:tab/>
        <w:t>Country Reports</w:t>
      </w:r>
    </w:p>
    <w:p w14:paraId="3620CB3A" w14:textId="72E90FA6" w:rsidR="00F86CDD" w:rsidRDefault="00F86CDD" w:rsidP="00F04954">
      <w:pPr>
        <w:spacing w:before="120" w:after="120"/>
        <w:jc w:val="both"/>
        <w:rPr>
          <w:rFonts w:cs="Times New Roman"/>
        </w:rPr>
      </w:pPr>
      <w:r>
        <w:rPr>
          <w:rFonts w:cs="Times New Roman"/>
        </w:rPr>
        <w:t xml:space="preserve">Once adopted, the Proposal will have impact on substantive insolvency laws across the EU. In order to establish how it will impact legislation in member states, this section will introduce the </w:t>
      </w:r>
      <w:r w:rsidRPr="00AA2F39">
        <w:rPr>
          <w:rFonts w:cs="Times New Roman"/>
        </w:rPr>
        <w:t xml:space="preserve">“state of the art” </w:t>
      </w:r>
      <w:r>
        <w:rPr>
          <w:rFonts w:cs="Times New Roman"/>
        </w:rPr>
        <w:t>with regard to restructuring of distressed businesses. The country reports will elaborate for its jurisdiction(s) on (1) the development of the restructuring culture, (2) the available legal tools to support the restructuring of insolvent companies, and (3) venues for improvement of restructuring laws. We will discuss country reports for Denmark, Germany, France, The Netherlands</w:t>
      </w:r>
      <w:r w:rsidR="00A008DB">
        <w:rPr>
          <w:rFonts w:cs="Times New Roman"/>
        </w:rPr>
        <w:t>,</w:t>
      </w:r>
      <w:r>
        <w:rPr>
          <w:rFonts w:cs="Times New Roman"/>
        </w:rPr>
        <w:t xml:space="preserve"> and the United Kingdom.</w:t>
      </w:r>
    </w:p>
    <w:p w14:paraId="02EC8355" w14:textId="77777777" w:rsidR="00CC7D85" w:rsidRPr="00093C6B" w:rsidRDefault="00CC7D85" w:rsidP="00F04954">
      <w:pPr>
        <w:spacing w:before="120" w:after="120"/>
        <w:jc w:val="both"/>
        <w:rPr>
          <w:rFonts w:cs="Times New Roman"/>
        </w:rPr>
      </w:pPr>
    </w:p>
    <w:p w14:paraId="6D906B8F" w14:textId="77777777" w:rsidR="006E6B19" w:rsidRPr="00AA2F39" w:rsidRDefault="006E6B19" w:rsidP="00F04954">
      <w:pPr>
        <w:spacing w:before="120" w:after="120"/>
        <w:jc w:val="both"/>
        <w:rPr>
          <w:rFonts w:cs="Times New Roman"/>
          <w:b/>
        </w:rPr>
      </w:pPr>
      <w:r w:rsidRPr="00AA2F39">
        <w:rPr>
          <w:rFonts w:cs="Times New Roman"/>
          <w:b/>
        </w:rPr>
        <w:t>3.1</w:t>
      </w:r>
      <w:r w:rsidRPr="00AA2F39">
        <w:rPr>
          <w:rFonts w:cs="Times New Roman"/>
          <w:b/>
        </w:rPr>
        <w:tab/>
        <w:t>Denmark</w:t>
      </w:r>
    </w:p>
    <w:p w14:paraId="59953395" w14:textId="424C8D82" w:rsidR="00A6424B" w:rsidRPr="00AA2F39" w:rsidRDefault="35B6F049" w:rsidP="35B6F049">
      <w:pPr>
        <w:spacing w:before="120" w:after="120"/>
        <w:jc w:val="both"/>
        <w:rPr>
          <w:rFonts w:cs="Times New Roman"/>
        </w:rPr>
      </w:pPr>
      <w:r w:rsidRPr="35B6F049">
        <w:rPr>
          <w:rFonts w:cs="Times New Roman"/>
        </w:rPr>
        <w:t>The Danish insolvency regime was introduced in 1872 as a debt collection tool and is still – in 2019 – mostly functioning as an enforcement measure more than a tool for rescuing viab</w:t>
      </w:r>
      <w:r w:rsidR="00F86CDD">
        <w:rPr>
          <w:rFonts w:cs="Times New Roman"/>
        </w:rPr>
        <w:t>le, yet insolvent, businesses.</w:t>
      </w:r>
    </w:p>
    <w:p w14:paraId="4BE8C65A" w14:textId="1300580C" w:rsidR="00A6424B" w:rsidRPr="00AA2F39" w:rsidRDefault="00A6424B" w:rsidP="00A6424B">
      <w:pPr>
        <w:spacing w:before="120" w:after="120"/>
        <w:jc w:val="both"/>
        <w:rPr>
          <w:rFonts w:cs="Times New Roman"/>
        </w:rPr>
      </w:pPr>
      <w:r w:rsidRPr="00AA2F39">
        <w:rPr>
          <w:rFonts w:cs="Times New Roman"/>
        </w:rPr>
        <w:t>Danish Insolvency Law provides for two formal insolvency proceedings. The traditional liquidation procedure (</w:t>
      </w:r>
      <w:proofErr w:type="spellStart"/>
      <w:r w:rsidRPr="00AA2F39">
        <w:rPr>
          <w:rFonts w:cs="Times New Roman"/>
          <w:i/>
        </w:rPr>
        <w:t>konkurs</w:t>
      </w:r>
      <w:proofErr w:type="spellEnd"/>
      <w:r w:rsidRPr="00AA2F39">
        <w:rPr>
          <w:rFonts w:cs="Times New Roman"/>
          <w:i/>
        </w:rPr>
        <w:t>)</w:t>
      </w:r>
      <w:r w:rsidR="00E717DB" w:rsidRPr="00AA2F39">
        <w:rPr>
          <w:rFonts w:cs="Times New Roman"/>
          <w:i/>
        </w:rPr>
        <w:t>,</w:t>
      </w:r>
      <w:r w:rsidRPr="00AA2F39">
        <w:rPr>
          <w:rFonts w:cs="Times New Roman"/>
        </w:rPr>
        <w:t xml:space="preserve"> </w:t>
      </w:r>
      <w:r w:rsidR="00E717DB" w:rsidRPr="00AA2F39">
        <w:rPr>
          <w:rFonts w:cs="Times New Roman"/>
        </w:rPr>
        <w:t>which</w:t>
      </w:r>
      <w:r w:rsidRPr="00AA2F39">
        <w:rPr>
          <w:rFonts w:cs="Times New Roman"/>
        </w:rPr>
        <w:t xml:space="preserve"> has existed since 1872</w:t>
      </w:r>
      <w:r w:rsidR="00E717DB" w:rsidRPr="00AA2F39">
        <w:rPr>
          <w:rFonts w:cs="Times New Roman"/>
        </w:rPr>
        <w:t>,</w:t>
      </w:r>
      <w:r w:rsidRPr="00AA2F39">
        <w:rPr>
          <w:rFonts w:cs="Times New Roman"/>
        </w:rPr>
        <w:t xml:space="preserve"> and a plan proceeding </w:t>
      </w:r>
      <w:r w:rsidRPr="00AA2F39">
        <w:rPr>
          <w:rFonts w:cs="Times New Roman"/>
        </w:rPr>
        <w:lastRenderedPageBreak/>
        <w:t>(</w:t>
      </w:r>
      <w:proofErr w:type="spellStart"/>
      <w:r w:rsidRPr="00AA2F39">
        <w:rPr>
          <w:rFonts w:cs="Times New Roman"/>
          <w:i/>
        </w:rPr>
        <w:t>Rekonstruktion</w:t>
      </w:r>
      <w:proofErr w:type="spellEnd"/>
      <w:r w:rsidRPr="00AA2F39">
        <w:rPr>
          <w:rFonts w:cs="Times New Roman"/>
          <w:i/>
        </w:rPr>
        <w:t>).</w:t>
      </w:r>
      <w:r w:rsidRPr="00AA2F39">
        <w:rPr>
          <w:rStyle w:val="FootnoteReference"/>
          <w:rFonts w:cs="Times New Roman"/>
        </w:rPr>
        <w:footnoteReference w:id="15"/>
      </w:r>
      <w:r w:rsidRPr="00AA2F39">
        <w:rPr>
          <w:rFonts w:cs="Times New Roman"/>
        </w:rPr>
        <w:t xml:space="preserve"> The plan proceeding was introduced in 2011 and succeeded the former </w:t>
      </w:r>
      <w:r w:rsidRPr="00AA2F39">
        <w:rPr>
          <w:rFonts w:cs="Times New Roman"/>
          <w:i/>
        </w:rPr>
        <w:t>suspension of payments</w:t>
      </w:r>
      <w:r w:rsidRPr="00AA2F39">
        <w:rPr>
          <w:rFonts w:cs="Times New Roman"/>
        </w:rPr>
        <w:t xml:space="preserve">, which had provided for a formal in-court debtor-in-possession procedure since 1975. </w:t>
      </w:r>
      <w:r w:rsidR="00E717DB" w:rsidRPr="00AA2F39">
        <w:rPr>
          <w:rFonts w:cs="Times New Roman"/>
        </w:rPr>
        <w:t>In contrast to</w:t>
      </w:r>
      <w:r w:rsidRPr="00AA2F39">
        <w:rPr>
          <w:rFonts w:cs="Times New Roman"/>
        </w:rPr>
        <w:t xml:space="preserve"> the </w:t>
      </w:r>
      <w:r w:rsidRPr="00AA2F39">
        <w:rPr>
          <w:rFonts w:cs="Times New Roman"/>
          <w:i/>
        </w:rPr>
        <w:t xml:space="preserve">suspension of payments, </w:t>
      </w:r>
      <w:r w:rsidRPr="00AA2F39">
        <w:rPr>
          <w:rFonts w:cs="Times New Roman"/>
        </w:rPr>
        <w:t>the primary goal of the plan proceeding is to rescue viable business, however not necessarily to “save the debtor”</w:t>
      </w:r>
      <w:r w:rsidRPr="00AA2F39">
        <w:rPr>
          <w:rFonts w:cs="Times New Roman"/>
          <w:i/>
        </w:rPr>
        <w:t>.</w:t>
      </w:r>
      <w:r w:rsidRPr="00AA2F39">
        <w:rPr>
          <w:rStyle w:val="FootnoteReference"/>
          <w:rFonts w:cs="Times New Roman"/>
        </w:rPr>
        <w:footnoteReference w:id="16"/>
      </w:r>
      <w:r w:rsidRPr="00AA2F39">
        <w:rPr>
          <w:rFonts w:cs="Times New Roman"/>
        </w:rPr>
        <w:t xml:space="preserve"> In 2015 a simplified business transfer “fast track”-procedure was proposed, to </w:t>
      </w:r>
      <w:r w:rsidR="00E717DB" w:rsidRPr="00AA2F39">
        <w:rPr>
          <w:rFonts w:cs="Times New Roman"/>
        </w:rPr>
        <w:t>encourage</w:t>
      </w:r>
      <w:r w:rsidRPr="00AA2F39">
        <w:rPr>
          <w:rFonts w:cs="Times New Roman"/>
        </w:rPr>
        <w:t xml:space="preserve"> efficient and cheaper business rescues in </w:t>
      </w:r>
      <w:r w:rsidR="00E717DB" w:rsidRPr="00AA2F39">
        <w:rPr>
          <w:rFonts w:cs="Times New Roman"/>
        </w:rPr>
        <w:t xml:space="preserve">the </w:t>
      </w:r>
      <w:r w:rsidRPr="00AA2F39">
        <w:rPr>
          <w:rFonts w:cs="Times New Roman"/>
        </w:rPr>
        <w:t>form of business transfers.</w:t>
      </w:r>
      <w:r w:rsidRPr="00AA2F39">
        <w:rPr>
          <w:rStyle w:val="FootnoteReference"/>
          <w:rFonts w:cs="Times New Roman"/>
        </w:rPr>
        <w:footnoteReference w:id="17"/>
      </w:r>
      <w:r w:rsidRPr="00AA2F39">
        <w:rPr>
          <w:rFonts w:cs="Times New Roman"/>
        </w:rPr>
        <w:t xml:space="preserve"> </w:t>
      </w:r>
      <w:r w:rsidR="00E717DB" w:rsidRPr="00AA2F39">
        <w:rPr>
          <w:rFonts w:cs="Times New Roman"/>
        </w:rPr>
        <w:t>Despite reasonable arguments, t</w:t>
      </w:r>
      <w:r w:rsidRPr="00AA2F39">
        <w:rPr>
          <w:rFonts w:cs="Times New Roman"/>
        </w:rPr>
        <w:t xml:space="preserve">he proposal has not been approved by the Danish Parliament. </w:t>
      </w:r>
    </w:p>
    <w:p w14:paraId="64AB337C" w14:textId="5B84844F" w:rsidR="00A6424B" w:rsidRPr="00AA2F39" w:rsidRDefault="00A6424B" w:rsidP="00A6424B">
      <w:pPr>
        <w:spacing w:before="120" w:after="120"/>
        <w:jc w:val="both"/>
        <w:rPr>
          <w:rFonts w:cs="Times New Roman"/>
        </w:rPr>
      </w:pPr>
      <w:proofErr w:type="spellStart"/>
      <w:r w:rsidRPr="00AA2F39">
        <w:rPr>
          <w:rFonts w:cs="Times New Roman"/>
          <w:i/>
        </w:rPr>
        <w:t>Rekonstruktion</w:t>
      </w:r>
      <w:proofErr w:type="spellEnd"/>
      <w:r w:rsidRPr="00AA2F39">
        <w:rPr>
          <w:rFonts w:cs="Times New Roman"/>
          <w:i/>
        </w:rPr>
        <w:t xml:space="preserve"> </w:t>
      </w:r>
      <w:r w:rsidRPr="00AA2F39">
        <w:rPr>
          <w:rFonts w:cs="Times New Roman"/>
        </w:rPr>
        <w:t>is a “plan proceeding” whereupon opening all individual enforcement measures</w:t>
      </w:r>
      <w:r w:rsidR="00E717DB" w:rsidRPr="00AA2F39">
        <w:rPr>
          <w:rFonts w:cs="Times New Roman"/>
        </w:rPr>
        <w:t>,</w:t>
      </w:r>
      <w:r w:rsidRPr="00AA2F39">
        <w:rPr>
          <w:rFonts w:cs="Times New Roman"/>
        </w:rPr>
        <w:t xml:space="preserve"> including enforcement of secured credi</w:t>
      </w:r>
      <w:r w:rsidR="00E717DB" w:rsidRPr="00AA2F39">
        <w:rPr>
          <w:rFonts w:cs="Times New Roman"/>
        </w:rPr>
        <w:t xml:space="preserve">t, </w:t>
      </w:r>
      <w:r w:rsidRPr="00AA2F39">
        <w:rPr>
          <w:rFonts w:cs="Times New Roman"/>
        </w:rPr>
        <w:t>are stayed.</w:t>
      </w:r>
      <w:r w:rsidRPr="00AA2F39">
        <w:rPr>
          <w:rFonts w:cs="Times New Roman"/>
          <w:sz w:val="20"/>
          <w:szCs w:val="20"/>
          <w:vertAlign w:val="superscript"/>
        </w:rPr>
        <w:footnoteReference w:id="18"/>
      </w:r>
      <w:r w:rsidRPr="00AA2F39">
        <w:rPr>
          <w:rFonts w:cs="Times New Roman"/>
        </w:rPr>
        <w:t xml:space="preserve"> The stay provides time for the debtor</w:t>
      </w:r>
      <w:r w:rsidR="00E717DB" w:rsidRPr="00AA2F39">
        <w:rPr>
          <w:rFonts w:cs="Times New Roman"/>
        </w:rPr>
        <w:t>,</w:t>
      </w:r>
      <w:r w:rsidRPr="00AA2F39">
        <w:rPr>
          <w:rFonts w:cs="Times New Roman"/>
        </w:rPr>
        <w:t xml:space="preserve"> along with an appointed restructuring administrator and appointed accountant</w:t>
      </w:r>
      <w:r w:rsidR="00E717DB" w:rsidRPr="00AA2F39">
        <w:rPr>
          <w:rFonts w:cs="Times New Roman"/>
        </w:rPr>
        <w:t>,</w:t>
      </w:r>
      <w:r w:rsidRPr="00AA2F39">
        <w:rPr>
          <w:rFonts w:cs="Times New Roman"/>
        </w:rPr>
        <w:t xml:space="preserve"> to draft the restructuring plan, which must include at least one of the following elements: a sale of the business, a compulsory composition, a suspension of payments, or a combination of the three.</w:t>
      </w:r>
      <w:r w:rsidRPr="00AA2F39">
        <w:rPr>
          <w:rStyle w:val="FootnoteReference"/>
          <w:rFonts w:cs="Times New Roman"/>
        </w:rPr>
        <w:footnoteReference w:id="19"/>
      </w:r>
      <w:r w:rsidRPr="00AA2F39">
        <w:rPr>
          <w:rFonts w:cs="Times New Roman"/>
        </w:rPr>
        <w:t xml:space="preserve"> The plan may include many other elements such as debt for equity swaps, operational changes, or individual sales of assets, but such elements cannot stand alone in the formal proceeding. </w:t>
      </w:r>
    </w:p>
    <w:p w14:paraId="16E302C7" w14:textId="0D4C06A2" w:rsidR="00A6424B" w:rsidRPr="00AA2F39" w:rsidRDefault="00A6424B" w:rsidP="00A6424B">
      <w:pPr>
        <w:spacing w:before="120" w:after="120"/>
        <w:jc w:val="both"/>
        <w:rPr>
          <w:rFonts w:cs="Times New Roman"/>
        </w:rPr>
      </w:pPr>
      <w:r w:rsidRPr="00AA2F39" w:rsidDel="00FE4BDD">
        <w:rPr>
          <w:rFonts w:cs="Times New Roman"/>
        </w:rPr>
        <w:t xml:space="preserve">Opening of the </w:t>
      </w:r>
      <w:proofErr w:type="spellStart"/>
      <w:r w:rsidRPr="00AA2F39" w:rsidDel="00FE4BDD">
        <w:rPr>
          <w:rFonts w:cs="Times New Roman"/>
          <w:i/>
        </w:rPr>
        <w:t>rekonstruktion</w:t>
      </w:r>
      <w:proofErr w:type="spellEnd"/>
      <w:r w:rsidRPr="00AA2F39" w:rsidDel="00FE4BDD">
        <w:rPr>
          <w:rFonts w:cs="Times New Roman"/>
          <w:i/>
        </w:rPr>
        <w:t xml:space="preserve"> </w:t>
      </w:r>
      <w:r w:rsidRPr="00AA2F39" w:rsidDel="00FE4BDD">
        <w:rPr>
          <w:rFonts w:cs="Times New Roman"/>
        </w:rPr>
        <w:t xml:space="preserve">proceeding requires </w:t>
      </w:r>
      <w:r w:rsidR="004F03EC" w:rsidRPr="00AA2F39">
        <w:rPr>
          <w:rFonts w:cs="Times New Roman"/>
        </w:rPr>
        <w:t>a company to be insolvent</w:t>
      </w:r>
      <w:r w:rsidRPr="00AA2F39" w:rsidDel="00FE4BDD">
        <w:rPr>
          <w:rFonts w:cs="Times New Roman"/>
        </w:rPr>
        <w:t xml:space="preserve">. Insolvency is proven by a simple cash flow test, but </w:t>
      </w:r>
      <w:r w:rsidR="004F03EC" w:rsidRPr="00AA2F39">
        <w:rPr>
          <w:rFonts w:cs="Times New Roman"/>
        </w:rPr>
        <w:t>it</w:t>
      </w:r>
      <w:r w:rsidRPr="00AA2F39" w:rsidDel="00FE4BDD">
        <w:rPr>
          <w:rFonts w:cs="Times New Roman"/>
        </w:rPr>
        <w:t xml:space="preserve"> occurs from the time there is a qualified likelihood that the debtor will become unable to pay future debt.</w:t>
      </w:r>
      <w:r w:rsidR="00F86CDD">
        <w:rPr>
          <w:rFonts w:cs="Times New Roman"/>
        </w:rPr>
        <w:t xml:space="preserve"> </w:t>
      </w:r>
      <w:r w:rsidRPr="00AA2F39" w:rsidDel="00FE4BDD">
        <w:rPr>
          <w:rFonts w:cs="Times New Roman"/>
        </w:rPr>
        <w:t xml:space="preserve">The proceeding is therefore theoretically available to the debtor at a relatively early stage. </w:t>
      </w:r>
    </w:p>
    <w:p w14:paraId="1DEE40E5" w14:textId="1B549B6F" w:rsidR="00A6424B" w:rsidRPr="00AA2F39" w:rsidRDefault="00A6424B" w:rsidP="00A6424B">
      <w:pPr>
        <w:spacing w:before="120" w:after="120"/>
        <w:jc w:val="both"/>
        <w:rPr>
          <w:rFonts w:cs="Times New Roman"/>
        </w:rPr>
      </w:pPr>
      <w:r w:rsidRPr="00AA2F39">
        <w:rPr>
          <w:rFonts w:cs="Times New Roman"/>
        </w:rPr>
        <w:t>A restructuring plan is binding upon all creditors unless a majority of the affected creditors vote against it and provided the bankruptcy court confirms the plan.</w:t>
      </w:r>
      <w:r w:rsidRPr="00AA2F39">
        <w:rPr>
          <w:rStyle w:val="FootnoteReference"/>
          <w:rFonts w:cs="Times New Roman"/>
        </w:rPr>
        <w:footnoteReference w:id="20"/>
      </w:r>
      <w:r w:rsidRPr="00AA2F39">
        <w:rPr>
          <w:rFonts w:cs="Times New Roman"/>
        </w:rPr>
        <w:t xml:space="preserve"> However the framework provides no possibility to ‘cram</w:t>
      </w:r>
      <w:r w:rsidR="004F03EC" w:rsidRPr="00AA2F39">
        <w:rPr>
          <w:rFonts w:cs="Times New Roman"/>
        </w:rPr>
        <w:t>-</w:t>
      </w:r>
      <w:r w:rsidRPr="00AA2F39">
        <w:rPr>
          <w:rFonts w:cs="Times New Roman"/>
        </w:rPr>
        <w:t>down’ fully secured or preferential credit</w:t>
      </w:r>
      <w:r w:rsidR="004F03EC" w:rsidRPr="00AA2F39">
        <w:rPr>
          <w:rFonts w:cs="Times New Roman"/>
        </w:rPr>
        <w:t>ors</w:t>
      </w:r>
      <w:r w:rsidRPr="00AA2F39">
        <w:rPr>
          <w:rFonts w:cs="Times New Roman"/>
        </w:rPr>
        <w:t xml:space="preserve"> and in practice the compulsory element of the plan </w:t>
      </w:r>
      <w:r w:rsidR="004F03EC" w:rsidRPr="00AA2F39">
        <w:rPr>
          <w:rFonts w:cs="Times New Roman"/>
        </w:rPr>
        <w:t>mostly affects</w:t>
      </w:r>
      <w:r w:rsidRPr="00AA2F39">
        <w:rPr>
          <w:rFonts w:cs="Times New Roman"/>
        </w:rPr>
        <w:t xml:space="preserve"> small ordinary creditors</w:t>
      </w:r>
      <w:r w:rsidR="004F03EC" w:rsidRPr="00AA2F39">
        <w:rPr>
          <w:rFonts w:cs="Times New Roman"/>
        </w:rPr>
        <w:t>,</w:t>
      </w:r>
      <w:r w:rsidRPr="00AA2F39">
        <w:rPr>
          <w:rFonts w:cs="Times New Roman"/>
        </w:rPr>
        <w:t xml:space="preserve"> i.e. suppliers.</w:t>
      </w:r>
      <w:r w:rsidRPr="00AA2F39">
        <w:rPr>
          <w:rStyle w:val="FootnoteReference"/>
          <w:rFonts w:cs="Times New Roman"/>
        </w:rPr>
        <w:footnoteReference w:id="21"/>
      </w:r>
      <w:r w:rsidRPr="00AA2F39">
        <w:rPr>
          <w:rFonts w:cs="Times New Roman"/>
        </w:rPr>
        <w:t xml:space="preserve"> Secured credit can</w:t>
      </w:r>
      <w:r w:rsidR="004F03EC" w:rsidRPr="00AA2F39">
        <w:rPr>
          <w:rFonts w:cs="Times New Roman"/>
        </w:rPr>
        <w:t>,</w:t>
      </w:r>
      <w:r w:rsidRPr="00AA2F39">
        <w:rPr>
          <w:rFonts w:cs="Times New Roman"/>
        </w:rPr>
        <w:t xml:space="preserve"> however</w:t>
      </w:r>
      <w:r w:rsidR="004F03EC" w:rsidRPr="00AA2F39">
        <w:rPr>
          <w:rFonts w:cs="Times New Roman"/>
        </w:rPr>
        <w:t>,</w:t>
      </w:r>
      <w:r w:rsidRPr="00AA2F39">
        <w:rPr>
          <w:rFonts w:cs="Times New Roman"/>
        </w:rPr>
        <w:t xml:space="preserve"> be transferred to the buyer of the business without consent of the secured creditor if the </w:t>
      </w:r>
      <w:r w:rsidR="004F03EC" w:rsidRPr="00AA2F39">
        <w:rPr>
          <w:rFonts w:cs="Times New Roman"/>
        </w:rPr>
        <w:t>transferal</w:t>
      </w:r>
      <w:r w:rsidRPr="00AA2F39">
        <w:rPr>
          <w:rFonts w:cs="Times New Roman"/>
        </w:rPr>
        <w:t xml:space="preserve"> of the business is based on a court-based valuation of the secured asset.</w:t>
      </w:r>
      <w:r w:rsidRPr="00AA2F39">
        <w:rPr>
          <w:rStyle w:val="FootnoteReference"/>
          <w:rFonts w:cs="Times New Roman"/>
        </w:rPr>
        <w:footnoteReference w:id="22"/>
      </w:r>
      <w:r w:rsidRPr="00AA2F39">
        <w:rPr>
          <w:rFonts w:cs="Times New Roman"/>
        </w:rPr>
        <w:t xml:space="preserve"> </w:t>
      </w:r>
    </w:p>
    <w:p w14:paraId="583C584C" w14:textId="4C5F266B" w:rsidR="00A6424B" w:rsidRPr="00AA2F39" w:rsidRDefault="00A6424B" w:rsidP="00A6424B">
      <w:pPr>
        <w:spacing w:before="120" w:after="120"/>
        <w:jc w:val="both"/>
        <w:rPr>
          <w:rFonts w:cs="Times New Roman"/>
        </w:rPr>
      </w:pPr>
      <w:r w:rsidRPr="00AA2F39">
        <w:rPr>
          <w:rFonts w:cs="Times New Roman"/>
        </w:rPr>
        <w:t>The amendments in 2011 were greatly anticipated by practi</w:t>
      </w:r>
      <w:r w:rsidR="004F03EC" w:rsidRPr="00AA2F39">
        <w:rPr>
          <w:rFonts w:cs="Times New Roman"/>
        </w:rPr>
        <w:t>ti</w:t>
      </w:r>
      <w:r w:rsidRPr="00AA2F39">
        <w:rPr>
          <w:rFonts w:cs="Times New Roman"/>
        </w:rPr>
        <w:t>oners</w:t>
      </w:r>
      <w:r w:rsidR="004F03EC" w:rsidRPr="00AA2F39">
        <w:rPr>
          <w:rFonts w:cs="Times New Roman"/>
        </w:rPr>
        <w:t>. N</w:t>
      </w:r>
      <w:r w:rsidRPr="00AA2F39">
        <w:rPr>
          <w:rFonts w:cs="Times New Roman"/>
        </w:rPr>
        <w:t>ew provisions on compulsory transfer of executory contracts, annulment of a former repealed contract, possibility of avoidance actions within the restructuring proceeding</w:t>
      </w:r>
      <w:r w:rsidR="004F03EC" w:rsidRPr="00AA2F39">
        <w:rPr>
          <w:rFonts w:cs="Times New Roman"/>
        </w:rPr>
        <w:t>,</w:t>
      </w:r>
      <w:r w:rsidRPr="00AA2F39">
        <w:rPr>
          <w:rFonts w:cs="Times New Roman"/>
        </w:rPr>
        <w:t xml:space="preserve"> and abandoning the requirement of minimum percentages in compulsory compositions were seen as keystones for future successful restructurings.</w:t>
      </w:r>
      <w:r w:rsidRPr="00AA2F39">
        <w:rPr>
          <w:rStyle w:val="FootnoteReference"/>
          <w:rFonts w:cs="Times New Roman"/>
        </w:rPr>
        <w:footnoteReference w:id="23"/>
      </w:r>
      <w:r w:rsidRPr="00AA2F39">
        <w:rPr>
          <w:rFonts w:cs="Times New Roman"/>
        </w:rPr>
        <w:t xml:space="preserve"> Despite good intentions, the new framework has</w:t>
      </w:r>
      <w:r w:rsidR="004F03EC" w:rsidRPr="00AA2F39">
        <w:rPr>
          <w:rFonts w:cs="Times New Roman"/>
        </w:rPr>
        <w:t>,</w:t>
      </w:r>
      <w:r w:rsidRPr="00AA2F39">
        <w:rPr>
          <w:rFonts w:cs="Times New Roman"/>
        </w:rPr>
        <w:t xml:space="preserve"> however</w:t>
      </w:r>
      <w:r w:rsidR="004F03EC" w:rsidRPr="00AA2F39">
        <w:rPr>
          <w:rFonts w:cs="Times New Roman"/>
        </w:rPr>
        <w:t>,</w:t>
      </w:r>
      <w:r w:rsidRPr="00AA2F39">
        <w:rPr>
          <w:rFonts w:cs="Times New Roman"/>
        </w:rPr>
        <w:t xml:space="preserve"> not been as successful as expected. Less than 3 percent of all formal insolvency procedures opened in Denmark are restructuring procedures.</w:t>
      </w:r>
      <w:r w:rsidRPr="00AA2F39">
        <w:rPr>
          <w:rStyle w:val="FootnoteReference"/>
          <w:rFonts w:cs="Times New Roman"/>
        </w:rPr>
        <w:footnoteReference w:id="24"/>
      </w:r>
    </w:p>
    <w:p w14:paraId="1E1443E9" w14:textId="13ED5923" w:rsidR="00A6424B" w:rsidRPr="00AA2F39" w:rsidRDefault="00A6424B" w:rsidP="35B6F049">
      <w:pPr>
        <w:spacing w:before="120" w:after="120"/>
        <w:jc w:val="both"/>
        <w:rPr>
          <w:rFonts w:cs="Times New Roman"/>
        </w:rPr>
      </w:pPr>
      <w:r w:rsidRPr="00AA2F39">
        <w:rPr>
          <w:rFonts w:cs="Times New Roman"/>
        </w:rPr>
        <w:lastRenderedPageBreak/>
        <w:t xml:space="preserve">One of the reasons </w:t>
      </w:r>
      <w:r w:rsidR="004F03EC" w:rsidRPr="00AA2F39">
        <w:rPr>
          <w:rFonts w:cs="Times New Roman"/>
        </w:rPr>
        <w:t>for</w:t>
      </w:r>
      <w:r w:rsidRPr="00AA2F39">
        <w:rPr>
          <w:rFonts w:cs="Times New Roman"/>
        </w:rPr>
        <w:t xml:space="preserve"> the limited success is the in-built deadlines and associated costs. The process of drafting the plan is often a lengthy and costly process.</w:t>
      </w:r>
      <w:r w:rsidRPr="00AA2F39">
        <w:rPr>
          <w:rStyle w:val="FootnoteReference"/>
          <w:rFonts w:cs="Times New Roman"/>
        </w:rPr>
        <w:footnoteReference w:id="25"/>
      </w:r>
      <w:r w:rsidRPr="00AA2F39">
        <w:rPr>
          <w:rFonts w:cs="Times New Roman"/>
        </w:rPr>
        <w:t xml:space="preserve"> The legislative framework allows the procedure to last up to a year. Within this timeline a preliminary </w:t>
      </w:r>
      <w:r w:rsidRPr="35B6F049">
        <w:rPr>
          <w:rFonts w:cs="Times New Roman"/>
          <w:i/>
          <w:iCs/>
        </w:rPr>
        <w:t>proposal</w:t>
      </w:r>
      <w:r w:rsidRPr="00AA2F39">
        <w:rPr>
          <w:rFonts w:cs="Times New Roman"/>
        </w:rPr>
        <w:t xml:space="preserve"> of the plan should be presented four weeks after the opening and the </w:t>
      </w:r>
      <w:r w:rsidRPr="35B6F049">
        <w:rPr>
          <w:rFonts w:cs="Times New Roman"/>
          <w:i/>
          <w:iCs/>
        </w:rPr>
        <w:t>actual</w:t>
      </w:r>
      <w:r w:rsidRPr="00AA2F39">
        <w:rPr>
          <w:rFonts w:cs="Times New Roman"/>
        </w:rPr>
        <w:t xml:space="preserve"> plan must be presented and approved at a creditors’ meeting at the bankruptcy court. The Danish Bankruptcy Act requires that the proposal must be available for the creditors at least 14 days in advance and this mandatory deadline and mandatory meetings</w:t>
      </w:r>
      <w:r w:rsidR="004F03EC" w:rsidRPr="00AA2F39">
        <w:rPr>
          <w:rFonts w:cs="Times New Roman"/>
        </w:rPr>
        <w:t>,</w:t>
      </w:r>
      <w:r w:rsidRPr="00AA2F39">
        <w:rPr>
          <w:rFonts w:cs="Times New Roman"/>
        </w:rPr>
        <w:t xml:space="preserve"> along with the formal requirement</w:t>
      </w:r>
      <w:r w:rsidR="004F03EC" w:rsidRPr="00AA2F39">
        <w:rPr>
          <w:rFonts w:cs="Times New Roman"/>
        </w:rPr>
        <w:t xml:space="preserve">s of </w:t>
      </w:r>
      <w:r w:rsidRPr="00AA2F39">
        <w:rPr>
          <w:rFonts w:cs="Times New Roman"/>
        </w:rPr>
        <w:t>the plan</w:t>
      </w:r>
      <w:r w:rsidR="004F03EC" w:rsidRPr="00AA2F39">
        <w:rPr>
          <w:rFonts w:cs="Times New Roman"/>
        </w:rPr>
        <w:t>,</w:t>
      </w:r>
      <w:r w:rsidRPr="00AA2F39">
        <w:rPr>
          <w:rFonts w:cs="Times New Roman"/>
        </w:rPr>
        <w:t xml:space="preserve"> have been criticized </w:t>
      </w:r>
      <w:r w:rsidR="004F03EC" w:rsidRPr="00AA2F39">
        <w:rPr>
          <w:rFonts w:cs="Times New Roman"/>
        </w:rPr>
        <w:t>as</w:t>
      </w:r>
      <w:r w:rsidRPr="00AA2F39">
        <w:rPr>
          <w:rFonts w:cs="Times New Roman"/>
        </w:rPr>
        <w:t xml:space="preserve"> hindering a fast and efficient business transfer since the transfer cannot be effectuated before the creditor and court approval meetings. This risk of delaying the transfer potentially results in higher cost</w:t>
      </w:r>
      <w:r w:rsidR="004F03EC" w:rsidRPr="00AA2F39">
        <w:rPr>
          <w:rFonts w:cs="Times New Roman"/>
        </w:rPr>
        <w:t>s</w:t>
      </w:r>
      <w:r w:rsidRPr="00AA2F39">
        <w:rPr>
          <w:rFonts w:cs="Times New Roman"/>
        </w:rPr>
        <w:t xml:space="preserve"> and a lower price for the business, which is to the detriment of both the debtor and the creditors.</w:t>
      </w:r>
      <w:r w:rsidRPr="00AA2F39">
        <w:rPr>
          <w:rStyle w:val="FootnoteReference"/>
          <w:rFonts w:cs="Times New Roman"/>
        </w:rPr>
        <w:footnoteReference w:id="26"/>
      </w:r>
      <w:r w:rsidRPr="00AA2F39">
        <w:rPr>
          <w:rFonts w:cs="Times New Roman"/>
        </w:rPr>
        <w:t xml:space="preserve"> The mandatory appointment of a supervising and active restructuring administrator and a qualified accountant who must provide new and updated balance sheets and value the debtors’ assets adds to the expenses. </w:t>
      </w:r>
      <w:r w:rsidR="008C182A" w:rsidRPr="00AA2F39">
        <w:rPr>
          <w:rFonts w:cs="Times New Roman"/>
        </w:rPr>
        <w:t>When</w:t>
      </w:r>
      <w:r w:rsidRPr="00AA2F39">
        <w:rPr>
          <w:rFonts w:cs="Times New Roman"/>
        </w:rPr>
        <w:t xml:space="preserve"> restructuring small and medium sized businesses, the expenses are </w:t>
      </w:r>
      <w:r w:rsidR="008C182A" w:rsidRPr="00AA2F39">
        <w:rPr>
          <w:rFonts w:cs="Times New Roman"/>
        </w:rPr>
        <w:t>an especially</w:t>
      </w:r>
      <w:r w:rsidRPr="00AA2F39">
        <w:rPr>
          <w:rFonts w:cs="Times New Roman"/>
        </w:rPr>
        <w:t xml:space="preserve"> major concern and</w:t>
      </w:r>
      <w:r w:rsidR="008C182A" w:rsidRPr="00AA2F39">
        <w:rPr>
          <w:rFonts w:cs="Times New Roman"/>
        </w:rPr>
        <w:t xml:space="preserve"> can be</w:t>
      </w:r>
      <w:r w:rsidRPr="00AA2F39">
        <w:rPr>
          <w:rFonts w:cs="Times New Roman"/>
        </w:rPr>
        <w:t xml:space="preserve"> a sole reason for the debtor not </w:t>
      </w:r>
      <w:r w:rsidR="008C182A" w:rsidRPr="00AA2F39">
        <w:rPr>
          <w:rFonts w:cs="Times New Roman"/>
        </w:rPr>
        <w:t>entering</w:t>
      </w:r>
      <w:r w:rsidRPr="00AA2F39">
        <w:rPr>
          <w:rFonts w:cs="Times New Roman"/>
        </w:rPr>
        <w:t xml:space="preserve"> a formal proceeding.</w:t>
      </w:r>
      <w:r w:rsidRPr="00AA2F39">
        <w:rPr>
          <w:rStyle w:val="FootnoteReference"/>
          <w:rFonts w:cs="Times New Roman"/>
        </w:rPr>
        <w:footnoteReference w:id="27"/>
      </w:r>
    </w:p>
    <w:p w14:paraId="0A7E157E" w14:textId="5864BDC7" w:rsidR="00A6424B" w:rsidRPr="00AA2F39" w:rsidRDefault="00A6424B" w:rsidP="00A6424B">
      <w:pPr>
        <w:spacing w:before="120" w:after="120"/>
        <w:jc w:val="both"/>
        <w:rPr>
          <w:rFonts w:cs="Times New Roman"/>
          <w:i/>
          <w:vertAlign w:val="superscript"/>
        </w:rPr>
      </w:pPr>
      <w:r w:rsidRPr="00AA2F39">
        <w:rPr>
          <w:rFonts w:cs="Times New Roman"/>
        </w:rPr>
        <w:t xml:space="preserve">The failure of </w:t>
      </w:r>
      <w:r w:rsidR="008C182A" w:rsidRPr="00AA2F39">
        <w:rPr>
          <w:rFonts w:cs="Times New Roman"/>
        </w:rPr>
        <w:t>a restructuring procedure</w:t>
      </w:r>
      <w:r w:rsidRPr="00AA2F39">
        <w:rPr>
          <w:rFonts w:cs="Times New Roman"/>
        </w:rPr>
        <w:t xml:space="preserve"> is not only explained </w:t>
      </w:r>
      <w:r w:rsidR="008C182A" w:rsidRPr="00AA2F39">
        <w:rPr>
          <w:rFonts w:cs="Times New Roman"/>
        </w:rPr>
        <w:t>by</w:t>
      </w:r>
      <w:r w:rsidRPr="00AA2F39">
        <w:rPr>
          <w:rFonts w:cs="Times New Roman"/>
        </w:rPr>
        <w:t xml:space="preserve"> the associated high costs and a bureaucratic and lengthy system, but also in </w:t>
      </w:r>
      <w:r w:rsidR="008C182A" w:rsidRPr="00AA2F39">
        <w:rPr>
          <w:rFonts w:cs="Times New Roman"/>
        </w:rPr>
        <w:t>the difficulty of providing</w:t>
      </w:r>
      <w:r w:rsidRPr="00AA2F39">
        <w:rPr>
          <w:rFonts w:cs="Times New Roman"/>
        </w:rPr>
        <w:t xml:space="preserve"> adequate financial means to overcome the liquidity </w:t>
      </w:r>
      <w:r w:rsidR="008C182A" w:rsidRPr="00AA2F39">
        <w:rPr>
          <w:rFonts w:cs="Times New Roman"/>
        </w:rPr>
        <w:t>problems</w:t>
      </w:r>
      <w:r w:rsidRPr="00AA2F39">
        <w:rPr>
          <w:rFonts w:cs="Times New Roman"/>
        </w:rPr>
        <w:t xml:space="preserve"> and </w:t>
      </w:r>
      <w:r w:rsidR="008C182A" w:rsidRPr="00AA2F39">
        <w:rPr>
          <w:rFonts w:cs="Times New Roman"/>
        </w:rPr>
        <w:t>obstacles to accessing</w:t>
      </w:r>
      <w:r w:rsidRPr="00AA2F39">
        <w:rPr>
          <w:rFonts w:cs="Times New Roman"/>
        </w:rPr>
        <w:t xml:space="preserve"> funds for a compulsory composition.</w:t>
      </w:r>
      <w:r w:rsidRPr="00AA2F39">
        <w:rPr>
          <w:rFonts w:cs="Times New Roman"/>
          <w:vertAlign w:val="superscript"/>
        </w:rPr>
        <w:footnoteReference w:id="28"/>
      </w:r>
    </w:p>
    <w:p w14:paraId="220B4011" w14:textId="664B24B0" w:rsidR="00A6424B" w:rsidRPr="00AA2F39" w:rsidRDefault="00A6424B" w:rsidP="00A6424B">
      <w:pPr>
        <w:spacing w:before="120" w:after="120"/>
        <w:jc w:val="both"/>
        <w:rPr>
          <w:rFonts w:cs="Times New Roman"/>
        </w:rPr>
      </w:pPr>
      <w:r w:rsidRPr="00AA2F39">
        <w:rPr>
          <w:rFonts w:cs="Times New Roman"/>
        </w:rPr>
        <w:t xml:space="preserve">These difficulties are at least partly caused by the </w:t>
      </w:r>
      <w:r w:rsidR="008C182A" w:rsidRPr="00AA2F39">
        <w:rPr>
          <w:rFonts w:cs="Times New Roman"/>
        </w:rPr>
        <w:t>option</w:t>
      </w:r>
      <w:r w:rsidRPr="00AA2F39">
        <w:rPr>
          <w:rFonts w:cs="Times New Roman"/>
        </w:rPr>
        <w:t xml:space="preserve"> to secure credit by a general floating charge. Floating charges were introduced as financial collateral in Danish law in 2006 and the floating charge can cover almost all the debtor’s assets</w:t>
      </w:r>
      <w:r w:rsidR="008C182A" w:rsidRPr="00AA2F39">
        <w:rPr>
          <w:rFonts w:cs="Times New Roman"/>
        </w:rPr>
        <w:t>,</w:t>
      </w:r>
      <w:r w:rsidRPr="00AA2F39">
        <w:rPr>
          <w:rFonts w:cs="Times New Roman"/>
        </w:rPr>
        <w:t xml:space="preserve"> i.e. receivables, inventory and intellectual property. The charge crystallizes when insolvency procedures against the </w:t>
      </w:r>
      <w:proofErr w:type="spellStart"/>
      <w:r w:rsidRPr="00AA2F39">
        <w:rPr>
          <w:rFonts w:cs="Times New Roman"/>
        </w:rPr>
        <w:t>chargor</w:t>
      </w:r>
      <w:proofErr w:type="spellEnd"/>
      <w:r w:rsidRPr="00AA2F39">
        <w:rPr>
          <w:rFonts w:cs="Times New Roman"/>
        </w:rPr>
        <w:t xml:space="preserve"> are commenced and from this point the debtor cannot dispose or make use of the secured assets without payment to, or consent from, the charge holder. This leaves the debtor-in-possession and the attempt to restructure the company </w:t>
      </w:r>
      <w:r w:rsidR="008C182A" w:rsidRPr="00AA2F39">
        <w:rPr>
          <w:rFonts w:cs="Times New Roman"/>
        </w:rPr>
        <w:t>at</w:t>
      </w:r>
      <w:r w:rsidRPr="00AA2F39">
        <w:rPr>
          <w:rFonts w:cs="Times New Roman"/>
        </w:rPr>
        <w:t xml:space="preserve"> the mercy of the charge holder. A floating charge does not only restrain the debtor</w:t>
      </w:r>
      <w:r w:rsidR="008C182A" w:rsidRPr="00AA2F39">
        <w:rPr>
          <w:rFonts w:cs="Times New Roman"/>
        </w:rPr>
        <w:t>’</w:t>
      </w:r>
      <w:r w:rsidRPr="00AA2F39">
        <w:rPr>
          <w:rFonts w:cs="Times New Roman"/>
        </w:rPr>
        <w:t>s operations during the insolvency proceeding. In only 7 percent of bankruptcy proceedings commenced over a debtor</w:t>
      </w:r>
      <w:r w:rsidR="008C182A" w:rsidRPr="00AA2F39">
        <w:rPr>
          <w:rFonts w:cs="Times New Roman"/>
        </w:rPr>
        <w:t xml:space="preserve"> that</w:t>
      </w:r>
      <w:r w:rsidRPr="00AA2F39">
        <w:rPr>
          <w:rFonts w:cs="Times New Roman"/>
        </w:rPr>
        <w:t xml:space="preserve"> have granted a floating charge to a charge holder </w:t>
      </w:r>
      <w:r w:rsidR="008C182A" w:rsidRPr="00AA2F39">
        <w:rPr>
          <w:rFonts w:cs="Times New Roman"/>
        </w:rPr>
        <w:t xml:space="preserve">have </w:t>
      </w:r>
      <w:r w:rsidRPr="00AA2F39">
        <w:rPr>
          <w:rFonts w:cs="Times New Roman"/>
        </w:rPr>
        <w:t>the proceeding result</w:t>
      </w:r>
      <w:r w:rsidR="008C182A" w:rsidRPr="00AA2F39">
        <w:rPr>
          <w:rFonts w:cs="Times New Roman"/>
        </w:rPr>
        <w:t>ed</w:t>
      </w:r>
      <w:r w:rsidRPr="00AA2F39">
        <w:rPr>
          <w:rFonts w:cs="Times New Roman"/>
        </w:rPr>
        <w:t xml:space="preserve"> in </w:t>
      </w:r>
      <w:r w:rsidR="008C182A" w:rsidRPr="00AA2F39">
        <w:rPr>
          <w:rFonts w:cs="Times New Roman"/>
        </w:rPr>
        <w:t>distributions</w:t>
      </w:r>
      <w:r w:rsidRPr="00AA2F39">
        <w:rPr>
          <w:rFonts w:cs="Times New Roman"/>
        </w:rPr>
        <w:t xml:space="preserve"> to the non-secured creditors.</w:t>
      </w:r>
      <w:r w:rsidRPr="00AA2F39">
        <w:rPr>
          <w:rFonts w:cs="Times New Roman"/>
          <w:vertAlign w:val="superscript"/>
        </w:rPr>
        <w:footnoteReference w:id="29"/>
      </w:r>
      <w:r w:rsidRPr="00AA2F39">
        <w:rPr>
          <w:rFonts w:cs="Times New Roman"/>
        </w:rPr>
        <w:t xml:space="preserve"> The shortage of liquidity or free assets reduces the chances of providing funds for a composition.</w:t>
      </w:r>
    </w:p>
    <w:p w14:paraId="24A595FB" w14:textId="5BE119C0" w:rsidR="00A6424B" w:rsidRPr="00AA2F39" w:rsidRDefault="00A6424B" w:rsidP="00A6424B">
      <w:pPr>
        <w:spacing w:before="120" w:after="120"/>
        <w:jc w:val="both"/>
        <w:rPr>
          <w:rFonts w:cs="Times New Roman"/>
        </w:rPr>
      </w:pPr>
      <w:r w:rsidRPr="00AA2F39">
        <w:rPr>
          <w:rFonts w:cs="Times New Roman"/>
        </w:rPr>
        <w:t xml:space="preserve">Regardless of the failure to provide a legal framework </w:t>
      </w:r>
      <w:r w:rsidR="008C182A" w:rsidRPr="00AA2F39">
        <w:rPr>
          <w:rFonts w:cs="Times New Roman"/>
        </w:rPr>
        <w:t>that</w:t>
      </w:r>
      <w:r w:rsidRPr="00AA2F39">
        <w:rPr>
          <w:rFonts w:cs="Times New Roman"/>
        </w:rPr>
        <w:t xml:space="preserve"> not only theoretically facilitates business rescue, viable businesses do survive</w:t>
      </w:r>
      <w:r w:rsidR="008C182A" w:rsidRPr="00AA2F39">
        <w:rPr>
          <w:rFonts w:cs="Times New Roman"/>
        </w:rPr>
        <w:t xml:space="preserve">, </w:t>
      </w:r>
      <w:r w:rsidRPr="00AA2F39">
        <w:rPr>
          <w:rFonts w:cs="Times New Roman"/>
        </w:rPr>
        <w:t>not through formal procedures but through voluntary, informal out-of-court contractual agreements between the debtor and its major creditors</w:t>
      </w:r>
      <w:r w:rsidR="008C182A" w:rsidRPr="00AA2F39">
        <w:rPr>
          <w:rFonts w:cs="Times New Roman"/>
        </w:rPr>
        <w:t>,</w:t>
      </w:r>
      <w:r w:rsidRPr="00AA2F39">
        <w:rPr>
          <w:rFonts w:cs="Times New Roman"/>
        </w:rPr>
        <w:t xml:space="preserve"> i.e. financial institutions or business sales to a company group member prior to filing for a formal liquidation proceeding. There are no </w:t>
      </w:r>
      <w:r w:rsidR="008D42CD" w:rsidRPr="00AA2F39">
        <w:rPr>
          <w:rFonts w:cs="Times New Roman"/>
        </w:rPr>
        <w:t>options</w:t>
      </w:r>
      <w:r w:rsidRPr="00AA2F39">
        <w:rPr>
          <w:rFonts w:cs="Times New Roman"/>
        </w:rPr>
        <w:t xml:space="preserve"> in the law for a subsequent court-approval of such a contractual agreement or a business sale and there is a high risk of ex-ante avoidance actions and liability for the directors and advisors involved in such transactions. Yet these risks seem to be overshadowed by the fact that the informal out-of-court restructuring is non-public, more cost efficient</w:t>
      </w:r>
      <w:r w:rsidR="008D42CD" w:rsidRPr="00AA2F39">
        <w:rPr>
          <w:rFonts w:cs="Times New Roman"/>
        </w:rPr>
        <w:t>,</w:t>
      </w:r>
      <w:r w:rsidRPr="00AA2F39">
        <w:rPr>
          <w:rFonts w:cs="Times New Roman"/>
        </w:rPr>
        <w:t xml:space="preserve"> and less bureaucratic.</w:t>
      </w:r>
      <w:r w:rsidR="008D42CD" w:rsidRPr="00AA2F39">
        <w:rPr>
          <w:rFonts w:cs="Times New Roman"/>
        </w:rPr>
        <w:t xml:space="preserve"> This is even more acute</w:t>
      </w:r>
      <w:r w:rsidRPr="00AA2F39">
        <w:rPr>
          <w:rFonts w:cs="Times New Roman"/>
        </w:rPr>
        <w:t xml:space="preserve"> when the debtor’s assets </w:t>
      </w:r>
      <w:r w:rsidR="008D42CD" w:rsidRPr="00AA2F39">
        <w:rPr>
          <w:rFonts w:cs="Times New Roman"/>
        </w:rPr>
        <w:t>are</w:t>
      </w:r>
      <w:r w:rsidRPr="00AA2F39">
        <w:rPr>
          <w:rFonts w:cs="Times New Roman"/>
        </w:rPr>
        <w:t xml:space="preserve"> fully secured by a floating charge or other collateral since only the security right </w:t>
      </w:r>
      <w:r w:rsidR="00F86CDD">
        <w:rPr>
          <w:rFonts w:cs="Times New Roman"/>
        </w:rPr>
        <w:t>holder’s consent is required.</w:t>
      </w:r>
    </w:p>
    <w:p w14:paraId="7F7794CC" w14:textId="70309329" w:rsidR="00A6424B" w:rsidRPr="00AA2F39" w:rsidRDefault="00A6424B" w:rsidP="00A6424B">
      <w:pPr>
        <w:spacing w:before="120" w:after="120"/>
        <w:jc w:val="both"/>
        <w:rPr>
          <w:rFonts w:cs="Times New Roman"/>
        </w:rPr>
      </w:pPr>
      <w:r w:rsidRPr="00AA2F39">
        <w:rPr>
          <w:rFonts w:cs="Times New Roman"/>
        </w:rPr>
        <w:lastRenderedPageBreak/>
        <w:t>With the major reform in 2011, Danish insolvency law is moving towards a more rescue-friendly culture, but there are still steps to be taken. The Danish insolvency regime is still</w:t>
      </w:r>
      <w:r w:rsidR="008D42CD" w:rsidRPr="00AA2F39">
        <w:rPr>
          <w:rFonts w:cs="Times New Roman"/>
        </w:rPr>
        <w:t>,</w:t>
      </w:r>
      <w:r w:rsidRPr="00AA2F39">
        <w:rPr>
          <w:rFonts w:cs="Times New Roman"/>
        </w:rPr>
        <w:t xml:space="preserve"> regardless of the reform in 2011</w:t>
      </w:r>
      <w:r w:rsidR="008D42CD" w:rsidRPr="00AA2F39">
        <w:rPr>
          <w:rFonts w:cs="Times New Roman"/>
        </w:rPr>
        <w:t>,</w:t>
      </w:r>
      <w:r w:rsidRPr="00AA2F39">
        <w:rPr>
          <w:rFonts w:cs="Times New Roman"/>
        </w:rPr>
        <w:t xml:space="preserve"> unquestionably very creditor-oriented and leaves all formal and informal restructuring attempts in the hands of the creditors.</w:t>
      </w:r>
      <w:r w:rsidRPr="00AA2F39">
        <w:rPr>
          <w:rStyle w:val="FootnoteReference"/>
          <w:rFonts w:cs="Times New Roman"/>
        </w:rPr>
        <w:footnoteReference w:id="30"/>
      </w:r>
      <w:r w:rsidRPr="00AA2F39">
        <w:rPr>
          <w:rFonts w:cs="Times New Roman"/>
        </w:rPr>
        <w:t xml:space="preserve"> </w:t>
      </w:r>
    </w:p>
    <w:p w14:paraId="2994556A" w14:textId="77777777" w:rsidR="00A6424B" w:rsidRPr="00AA2F39" w:rsidRDefault="00A6424B" w:rsidP="00A6424B">
      <w:pPr>
        <w:spacing w:before="120" w:after="120"/>
        <w:jc w:val="both"/>
        <w:rPr>
          <w:rFonts w:cs="Times New Roman"/>
        </w:rPr>
      </w:pPr>
      <w:r w:rsidRPr="00AA2F39">
        <w:rPr>
          <w:rFonts w:cs="Times New Roman"/>
        </w:rPr>
        <w:t>A step forward would be the possibility of a court approval of an out-of-court restructuring agreement to shed light and add due process on the silent life of the out-of-court proceedings as well as a “mini-procedure” governing smaller businesses to reduce cost and time. More importantly, a possibility to restructure secured credit more effectively could be the necessary step to be taken on the path of more successful restructurings.</w:t>
      </w:r>
      <w:r w:rsidRPr="00AA2F39">
        <w:rPr>
          <w:rStyle w:val="FootnoteReference"/>
          <w:rFonts w:cs="Times New Roman"/>
        </w:rPr>
        <w:footnoteReference w:id="31"/>
      </w:r>
      <w:r w:rsidRPr="00AA2F39">
        <w:rPr>
          <w:rFonts w:cs="Times New Roman"/>
        </w:rPr>
        <w:t xml:space="preserve"> </w:t>
      </w:r>
    </w:p>
    <w:p w14:paraId="535F1443" w14:textId="77777777" w:rsidR="00910614" w:rsidRPr="00AA2F39" w:rsidRDefault="00910614" w:rsidP="00F04954">
      <w:pPr>
        <w:spacing w:before="120" w:after="120"/>
        <w:jc w:val="both"/>
        <w:rPr>
          <w:rFonts w:cs="Times New Roman"/>
          <w:b/>
        </w:rPr>
      </w:pPr>
    </w:p>
    <w:p w14:paraId="5A927DAA" w14:textId="2D6D40E3" w:rsidR="00F04954" w:rsidRPr="00AA2F39" w:rsidRDefault="00F04954" w:rsidP="00F04954">
      <w:pPr>
        <w:spacing w:before="120" w:after="120"/>
        <w:jc w:val="both"/>
        <w:rPr>
          <w:rFonts w:cs="Times New Roman"/>
          <w:b/>
        </w:rPr>
      </w:pPr>
      <w:r w:rsidRPr="00AA2F39">
        <w:rPr>
          <w:rFonts w:cs="Times New Roman"/>
          <w:b/>
        </w:rPr>
        <w:t>3.2</w:t>
      </w:r>
      <w:r w:rsidRPr="00AA2F39">
        <w:rPr>
          <w:rFonts w:cs="Times New Roman"/>
          <w:b/>
        </w:rPr>
        <w:tab/>
        <w:t>France</w:t>
      </w:r>
    </w:p>
    <w:p w14:paraId="331B984D" w14:textId="6FEDF1F9" w:rsidR="00F04954" w:rsidRPr="00AA2F39" w:rsidRDefault="00F04954" w:rsidP="00F04954">
      <w:pPr>
        <w:spacing w:before="120" w:after="120"/>
        <w:jc w:val="both"/>
        <w:rPr>
          <w:rFonts w:cs="Times New Roman"/>
          <w:b/>
          <w:u w:val="single"/>
        </w:rPr>
      </w:pPr>
      <w:r w:rsidRPr="00AA2F39">
        <w:rPr>
          <w:rFonts w:cs="Times New Roman"/>
        </w:rPr>
        <w:t>Traditionally, French insolvency law has been geared towards the rescue of ailing businesses and the preservation of employment, often prioritised over the situation of creditors.</w:t>
      </w:r>
      <w:r w:rsidRPr="00AA2F39">
        <w:rPr>
          <w:rStyle w:val="FootnoteReference"/>
          <w:rFonts w:cs="Times New Roman"/>
        </w:rPr>
        <w:footnoteReference w:id="32"/>
      </w:r>
      <w:r w:rsidRPr="00AA2F39">
        <w:rPr>
          <w:rFonts w:cs="Times New Roman"/>
        </w:rPr>
        <w:t xml:space="preserve"> Over the last 20 years in particular, several reforms have been passed, introducing new restructuring procedure</w:t>
      </w:r>
      <w:r w:rsidR="008D42CD" w:rsidRPr="00AA2F39">
        <w:rPr>
          <w:rFonts w:cs="Times New Roman"/>
        </w:rPr>
        <w:t>s</w:t>
      </w:r>
      <w:r w:rsidRPr="00AA2F39">
        <w:rPr>
          <w:rFonts w:cs="Times New Roman"/>
        </w:rPr>
        <w:t xml:space="preserve"> and updating existing ones in order to make them more efficient. </w:t>
      </w:r>
      <w:r w:rsidR="008032FB" w:rsidRPr="00AA2F39">
        <w:rPr>
          <w:rFonts w:cs="Times New Roman"/>
        </w:rPr>
        <w:t>T</w:t>
      </w:r>
      <w:r w:rsidRPr="00AA2F39">
        <w:rPr>
          <w:rFonts w:cs="Times New Roman"/>
        </w:rPr>
        <w:t>he focus has increasingly been placed on urging companies to be aware of arising financial difficulties and to act to remedy the situation at an early stage.</w:t>
      </w:r>
      <w:r w:rsidRPr="00AA2F39">
        <w:rPr>
          <w:rStyle w:val="FootnoteReference"/>
          <w:rFonts w:cs="Times New Roman"/>
        </w:rPr>
        <w:footnoteReference w:id="33"/>
      </w:r>
    </w:p>
    <w:p w14:paraId="44AE8EED" w14:textId="77777777" w:rsidR="00F04954" w:rsidRPr="00AA2F39" w:rsidRDefault="00F04954" w:rsidP="00F04954">
      <w:pPr>
        <w:spacing w:before="120" w:after="120"/>
        <w:jc w:val="both"/>
        <w:rPr>
          <w:rFonts w:cs="Times New Roman"/>
        </w:rPr>
      </w:pPr>
      <w:r w:rsidRPr="00AA2F39">
        <w:rPr>
          <w:rFonts w:cs="Times New Roman"/>
        </w:rPr>
        <w:t>A brief history of successive French insolvency legislation helps uncover the fact that pre-insolvency proceedings play a key role in the French system. As early as 1967, the roots of modern insolvency law were laid down, where a “twin-track” system</w:t>
      </w:r>
      <w:r w:rsidRPr="00AA2F39">
        <w:rPr>
          <w:rStyle w:val="FootnoteReference"/>
          <w:rFonts w:cs="Times New Roman"/>
        </w:rPr>
        <w:footnoteReference w:id="34"/>
      </w:r>
      <w:r w:rsidRPr="00AA2F39">
        <w:rPr>
          <w:rFonts w:cs="Times New Roman"/>
        </w:rPr>
        <w:t xml:space="preserve"> was implemented. A business could either be rescued or liquidated. It is noted that the 1967 regime is perhaps one of the earliest articulations of the concept of rescue, although Chapter 11 of the US Bankruptcy Code is more famous and has been much admired and much emulated across the world.”</w:t>
      </w:r>
      <w:r w:rsidRPr="00AA2F39">
        <w:rPr>
          <w:rStyle w:val="FootnoteReference"/>
          <w:rFonts w:cs="Times New Roman"/>
        </w:rPr>
        <w:footnoteReference w:id="35"/>
      </w:r>
      <w:r w:rsidRPr="00AA2F39">
        <w:rPr>
          <w:rFonts w:cs="Times New Roman"/>
        </w:rPr>
        <w:t xml:space="preserve"> </w:t>
      </w:r>
    </w:p>
    <w:p w14:paraId="77ADE27A" w14:textId="77777777" w:rsidR="00F04954" w:rsidRPr="00AA2F39" w:rsidRDefault="00F04954" w:rsidP="00F04954">
      <w:pPr>
        <w:spacing w:before="120" w:after="120"/>
        <w:jc w:val="both"/>
        <w:rPr>
          <w:rFonts w:cs="Times New Roman"/>
        </w:rPr>
      </w:pPr>
      <w:r w:rsidRPr="00AA2F39">
        <w:rPr>
          <w:rFonts w:cs="Times New Roman"/>
        </w:rPr>
        <w:t>In the 1980s, three new insolvency laws were passed, one of which introduced a pre-insolvency process for the first time.</w:t>
      </w:r>
      <w:r w:rsidRPr="00AA2F39">
        <w:rPr>
          <w:rStyle w:val="FootnoteReference"/>
          <w:rFonts w:cs="Times New Roman"/>
        </w:rPr>
        <w:footnoteReference w:id="36"/>
      </w:r>
      <w:r w:rsidRPr="00AA2F39">
        <w:rPr>
          <w:rFonts w:cs="Times New Roman"/>
        </w:rPr>
        <w:t xml:space="preserve"> These laws placed the focus on reorganisation, rather than liquidation. They introduced alert procedures, designed to oblige managers of a company showing signs of weakness to explain how they were planning on resolving growing difficulties.</w:t>
      </w:r>
    </w:p>
    <w:p w14:paraId="64D64DFE" w14:textId="3CF96567" w:rsidR="00F04954" w:rsidRPr="00AA2F39" w:rsidRDefault="00F04954" w:rsidP="00F04954">
      <w:pPr>
        <w:pStyle w:val="m-819842850958709886gmail-msocommenttext"/>
        <w:shd w:val="clear" w:color="auto" w:fill="FFFFFF"/>
        <w:spacing w:before="120" w:beforeAutospacing="0" w:after="120" w:afterAutospacing="0"/>
        <w:jc w:val="both"/>
      </w:pPr>
      <w:r w:rsidRPr="00AA2F39">
        <w:t>In 2005, important insolvency law reforms reached the statute book.</w:t>
      </w:r>
      <w:r w:rsidRPr="00AA2F39">
        <w:rPr>
          <w:rStyle w:val="FootnoteReference"/>
        </w:rPr>
        <w:footnoteReference w:id="37"/>
      </w:r>
      <w:r w:rsidRPr="00AA2F39">
        <w:t xml:space="preserve"> The major novelty of the Law of 2005 was the introduction of a new procedure called safeguard (</w:t>
      </w:r>
      <w:proofErr w:type="spellStart"/>
      <w:r w:rsidRPr="00AA2F39">
        <w:rPr>
          <w:i/>
        </w:rPr>
        <w:t>procédure</w:t>
      </w:r>
      <w:proofErr w:type="spellEnd"/>
      <w:r w:rsidRPr="00AA2F39">
        <w:rPr>
          <w:i/>
        </w:rPr>
        <w:t xml:space="preserve"> de </w:t>
      </w:r>
      <w:proofErr w:type="spellStart"/>
      <w:r w:rsidRPr="00AA2F39">
        <w:rPr>
          <w:i/>
        </w:rPr>
        <w:t>sauvegarde</w:t>
      </w:r>
      <w:proofErr w:type="spellEnd"/>
      <w:r w:rsidRPr="00AA2F39">
        <w:t xml:space="preserve">). Modelled on Chapter 11 of the US Bankruptcy Code, the safeguard procedure leaves the “debtor in possession” while a safeguard plan is negotiated. Following a rather low </w:t>
      </w:r>
      <w:r w:rsidRPr="00AA2F39">
        <w:lastRenderedPageBreak/>
        <w:t>take-up of the procedure, the Ordinance of 2008</w:t>
      </w:r>
      <w:r w:rsidRPr="00AA2F39">
        <w:rPr>
          <w:rStyle w:val="FootnoteReference"/>
        </w:rPr>
        <w:footnoteReference w:id="38"/>
      </w:r>
      <w:r w:rsidRPr="00AA2F39">
        <w:t xml:space="preserve"> addressed the main flaws of the safeguard proceedings.</w:t>
      </w:r>
    </w:p>
    <w:p w14:paraId="0C7AE3DD" w14:textId="2D28456D" w:rsidR="00F04954" w:rsidRPr="00AA2F39" w:rsidRDefault="00217AE6" w:rsidP="00F04954">
      <w:pPr>
        <w:pStyle w:val="m-819842850958709886gmail-msocommenttext"/>
        <w:shd w:val="clear" w:color="auto" w:fill="FFFFFF"/>
        <w:spacing w:before="120" w:beforeAutospacing="0" w:after="120" w:afterAutospacing="0"/>
        <w:jc w:val="both"/>
      </w:pPr>
      <w:r w:rsidRPr="00AA2F39">
        <w:t>I</w:t>
      </w:r>
      <w:r w:rsidR="00F04954" w:rsidRPr="00AA2F39">
        <w:t>n 2010 and 2014, two “pre-pack” procedures were created, the accelerated financial safeguard (</w:t>
      </w:r>
      <w:proofErr w:type="spellStart"/>
      <w:r w:rsidR="00F04954" w:rsidRPr="00AA2F39">
        <w:rPr>
          <w:i/>
        </w:rPr>
        <w:t>sauvegarde</w:t>
      </w:r>
      <w:proofErr w:type="spellEnd"/>
      <w:r w:rsidR="00F04954" w:rsidRPr="00AA2F39">
        <w:rPr>
          <w:i/>
        </w:rPr>
        <w:t xml:space="preserve"> financière </w:t>
      </w:r>
      <w:proofErr w:type="spellStart"/>
      <w:r w:rsidR="00F04954" w:rsidRPr="00AA2F39">
        <w:rPr>
          <w:i/>
        </w:rPr>
        <w:t>accélérée</w:t>
      </w:r>
      <w:proofErr w:type="spellEnd"/>
      <w:r w:rsidR="00F04954" w:rsidRPr="00AA2F39">
        <w:t>)</w:t>
      </w:r>
      <w:r w:rsidR="00F04954" w:rsidRPr="00AA2F39">
        <w:rPr>
          <w:rStyle w:val="FootnoteReference"/>
        </w:rPr>
        <w:footnoteReference w:id="39"/>
      </w:r>
      <w:r w:rsidR="00F04954" w:rsidRPr="00AA2F39">
        <w:t xml:space="preserve"> and the accelerated safeguard (</w:t>
      </w:r>
      <w:proofErr w:type="spellStart"/>
      <w:r w:rsidR="00F04954" w:rsidRPr="00AA2F39">
        <w:rPr>
          <w:i/>
        </w:rPr>
        <w:t>sauvegarde</w:t>
      </w:r>
      <w:proofErr w:type="spellEnd"/>
      <w:r w:rsidR="00F04954" w:rsidRPr="00AA2F39">
        <w:rPr>
          <w:i/>
        </w:rPr>
        <w:t xml:space="preserve"> </w:t>
      </w:r>
      <w:proofErr w:type="spellStart"/>
      <w:r w:rsidR="00F04954" w:rsidRPr="00AA2F39">
        <w:rPr>
          <w:i/>
        </w:rPr>
        <w:t>accélérée</w:t>
      </w:r>
      <w:proofErr w:type="spellEnd"/>
      <w:r w:rsidR="00F04954" w:rsidRPr="00AA2F39">
        <w:t>),</w:t>
      </w:r>
      <w:r w:rsidR="00F04954" w:rsidRPr="00AA2F39">
        <w:rPr>
          <w:rStyle w:val="FootnoteReference"/>
        </w:rPr>
        <w:footnoteReference w:id="40"/>
      </w:r>
      <w:r w:rsidR="00F04954" w:rsidRPr="00AA2F39">
        <w:t xml:space="preserve"> which are both variations of the safeguard procedure. The Ordinance of 2014</w:t>
      </w:r>
      <w:r w:rsidRPr="00AA2F39">
        <w:t>,</w:t>
      </w:r>
      <w:r w:rsidR="00F04954" w:rsidRPr="00AA2F39">
        <w:t xml:space="preserve"> in particular</w:t>
      </w:r>
      <w:r w:rsidRPr="00AA2F39">
        <w:t>,</w:t>
      </w:r>
      <w:r w:rsidR="00F04954" w:rsidRPr="00AA2F39">
        <w:t xml:space="preserve"> extensively reformed French insolvency law with a view to: (i) favouring preventive measures; (ii) strengthening the efficiency of pre-insolvency proceedings; and (iii) increasing the rights of creditors in insolvency proceedings. </w:t>
      </w:r>
    </w:p>
    <w:p w14:paraId="61845FE9" w14:textId="77777777" w:rsidR="00F04954" w:rsidRPr="00AA2F39" w:rsidRDefault="00F04954" w:rsidP="00F04954">
      <w:pPr>
        <w:pStyle w:val="m-819842850958709886gmail-msocommenttext"/>
        <w:shd w:val="clear" w:color="auto" w:fill="FFFFFF"/>
        <w:spacing w:before="120" w:beforeAutospacing="0" w:after="120" w:afterAutospacing="0"/>
        <w:jc w:val="both"/>
      </w:pPr>
      <w:r w:rsidRPr="00AA2F39">
        <w:t>Finally, in 2016, Law n°2016-1547 on the Modernisation of 21</w:t>
      </w:r>
      <w:r w:rsidRPr="00AA2F39">
        <w:rPr>
          <w:vertAlign w:val="superscript"/>
        </w:rPr>
        <w:t>st</w:t>
      </w:r>
      <w:r w:rsidRPr="00AA2F39">
        <w:t xml:space="preserve"> Century Justice focused on the promotion of the rescue culture; the enhancement of confidentiality; the ring-fencing of new monies during restructuring; and the improvement of transparency and impartiality.</w:t>
      </w:r>
      <w:r w:rsidRPr="00AA2F39">
        <w:rPr>
          <w:rStyle w:val="FootnoteReference"/>
        </w:rPr>
        <w:footnoteReference w:id="41"/>
      </w:r>
    </w:p>
    <w:p w14:paraId="2E606A8D" w14:textId="3B094DD4" w:rsidR="00F04954" w:rsidRPr="00093C6B" w:rsidRDefault="00F04954" w:rsidP="00093C6B">
      <w:pPr>
        <w:pStyle w:val="m-819842850958709886gmail-msocommenttext"/>
        <w:shd w:val="clear" w:color="auto" w:fill="FFFFFF"/>
        <w:spacing w:before="120" w:beforeAutospacing="0" w:after="120" w:afterAutospacing="0"/>
        <w:jc w:val="both"/>
      </w:pPr>
      <w:r w:rsidRPr="00093C6B">
        <w:t>As a result of these law</w:t>
      </w:r>
      <w:r w:rsidR="000C6878" w:rsidRPr="00093C6B">
        <w:t>s</w:t>
      </w:r>
      <w:r w:rsidRPr="00093C6B">
        <w:t xml:space="preserve">, the foundation of a “second-chance” culture has been laid down in France over the last 20 years. The introduction of several rescue-oriented reforms has resulted in a comprehensive and sophisticated legislation on business recovery. </w:t>
      </w:r>
    </w:p>
    <w:p w14:paraId="6E378303" w14:textId="17FAD7D0" w:rsidR="00F04954" w:rsidRPr="00AA2F39" w:rsidRDefault="00F04954" w:rsidP="00F04954">
      <w:pPr>
        <w:spacing w:before="120" w:after="120"/>
        <w:jc w:val="both"/>
        <w:rPr>
          <w:rFonts w:cs="Times New Roman"/>
          <w:b/>
          <w:u w:val="single"/>
        </w:rPr>
      </w:pPr>
      <w:r w:rsidRPr="00AA2F39">
        <w:rPr>
          <w:rFonts w:cs="Times New Roman"/>
        </w:rPr>
        <w:t>At a stage prior to insolvency, two procedures are available to businesses in France: the ad hoc mandate (</w:t>
      </w:r>
      <w:proofErr w:type="spellStart"/>
      <w:r w:rsidRPr="00AA2F39">
        <w:rPr>
          <w:rFonts w:cs="Times New Roman"/>
          <w:i/>
        </w:rPr>
        <w:t>mandat</w:t>
      </w:r>
      <w:proofErr w:type="spellEnd"/>
      <w:r w:rsidRPr="00AA2F39">
        <w:rPr>
          <w:rFonts w:cs="Times New Roman"/>
          <w:i/>
        </w:rPr>
        <w:t xml:space="preserve"> ad hoc</w:t>
      </w:r>
      <w:r w:rsidRPr="00AA2F39">
        <w:rPr>
          <w:rFonts w:cs="Times New Roman"/>
        </w:rPr>
        <w:t>) and the conciliation (</w:t>
      </w:r>
      <w:r w:rsidRPr="00AA2F39">
        <w:rPr>
          <w:rFonts w:cs="Times New Roman"/>
          <w:i/>
        </w:rPr>
        <w:t>conciliation</w:t>
      </w:r>
      <w:r w:rsidRPr="00AA2F39">
        <w:rPr>
          <w:rFonts w:cs="Times New Roman"/>
        </w:rPr>
        <w:t>). They are referred to as preventive proceedings (</w:t>
      </w:r>
      <w:proofErr w:type="spellStart"/>
      <w:r w:rsidRPr="00AA2F39">
        <w:rPr>
          <w:rFonts w:cs="Times New Roman"/>
          <w:i/>
        </w:rPr>
        <w:t>prévention</w:t>
      </w:r>
      <w:proofErr w:type="spellEnd"/>
      <w:r w:rsidRPr="00AA2F39">
        <w:rPr>
          <w:rFonts w:cs="Times New Roman"/>
        </w:rPr>
        <w:t xml:space="preserve">) and can only be opened when the debtor is </w:t>
      </w:r>
      <w:r w:rsidRPr="00AA2F39">
        <w:rPr>
          <w:rFonts w:cs="Times New Roman"/>
          <w:i/>
        </w:rPr>
        <w:t>not</w:t>
      </w:r>
      <w:r w:rsidRPr="00AA2F39">
        <w:rPr>
          <w:rFonts w:cs="Times New Roman"/>
        </w:rPr>
        <w:t xml:space="preserve"> insolvent. These procedures have developed in practice, mostly as a result of the practice of the Commercial Court in Paris in the 1990s</w:t>
      </w:r>
      <w:r w:rsidRPr="00AA2F39">
        <w:rPr>
          <w:rStyle w:val="FootnoteReference"/>
          <w:rFonts w:cs="Times New Roman"/>
        </w:rPr>
        <w:footnoteReference w:id="42"/>
      </w:r>
      <w:r w:rsidRPr="00AA2F39">
        <w:rPr>
          <w:rFonts w:cs="Times New Roman"/>
        </w:rPr>
        <w:t xml:space="preserve"> and were formally enshrined in the Law of 1984.</w:t>
      </w:r>
      <w:r w:rsidRPr="00AA2F39">
        <w:rPr>
          <w:rStyle w:val="FootnoteReference"/>
          <w:rFonts w:cs="Times New Roman"/>
        </w:rPr>
        <w:footnoteReference w:id="43"/>
      </w:r>
      <w:r w:rsidRPr="00AA2F39">
        <w:rPr>
          <w:rFonts w:cs="Times New Roman"/>
        </w:rPr>
        <w:t xml:space="preserve"> Ad hoc mandate and conciliation proceedings are initiated by the debtor who requests the President of the Commercial Court to appoint a mediator (either a </w:t>
      </w:r>
      <w:proofErr w:type="spellStart"/>
      <w:r w:rsidRPr="00AA2F39">
        <w:rPr>
          <w:rFonts w:cs="Times New Roman"/>
          <w:i/>
        </w:rPr>
        <w:t>mandataire</w:t>
      </w:r>
      <w:proofErr w:type="spellEnd"/>
      <w:r w:rsidRPr="00AA2F39">
        <w:rPr>
          <w:rFonts w:cs="Times New Roman"/>
          <w:i/>
        </w:rPr>
        <w:t xml:space="preserve"> ad hoc</w:t>
      </w:r>
      <w:r w:rsidRPr="00AA2F39">
        <w:rPr>
          <w:rFonts w:cs="Times New Roman"/>
        </w:rPr>
        <w:t xml:space="preserve"> or a </w:t>
      </w:r>
      <w:proofErr w:type="spellStart"/>
      <w:r w:rsidRPr="00AA2F39">
        <w:rPr>
          <w:rFonts w:cs="Times New Roman"/>
          <w:i/>
        </w:rPr>
        <w:t>conciliateur</w:t>
      </w:r>
      <w:proofErr w:type="spellEnd"/>
      <w:r w:rsidRPr="00AA2F39">
        <w:rPr>
          <w:rFonts w:cs="Times New Roman"/>
        </w:rPr>
        <w:t xml:space="preserve">) who will assist the company when negotiating a contractual agreement with its main creditors. </w:t>
      </w:r>
    </w:p>
    <w:p w14:paraId="62AA0BA4" w14:textId="77777777" w:rsidR="00F04954" w:rsidRPr="00AA2F39" w:rsidRDefault="00F04954" w:rsidP="00F04954">
      <w:pPr>
        <w:spacing w:before="120" w:after="120"/>
        <w:jc w:val="both"/>
        <w:rPr>
          <w:rFonts w:cs="Times New Roman"/>
        </w:rPr>
      </w:pPr>
      <w:r w:rsidRPr="00AA2F39">
        <w:rPr>
          <w:rFonts w:cs="Times New Roman"/>
        </w:rPr>
        <w:t xml:space="preserve">The ad hoc mandate is a very flexible procedure, free from many legal formalities. The objective is to invite the main creditors to consider debt rescheduling or debt cancellation or the injection of new financing into the business. There is no statutory limit for the process, and the </w:t>
      </w:r>
      <w:proofErr w:type="spellStart"/>
      <w:r w:rsidRPr="00AA2F39">
        <w:rPr>
          <w:rFonts w:cs="Times New Roman"/>
          <w:i/>
        </w:rPr>
        <w:t>mandataire</w:t>
      </w:r>
      <w:proofErr w:type="spellEnd"/>
      <w:r w:rsidRPr="00AA2F39">
        <w:rPr>
          <w:rFonts w:cs="Times New Roman"/>
          <w:i/>
        </w:rPr>
        <w:t xml:space="preserve"> </w:t>
      </w:r>
      <w:r w:rsidRPr="00AA2F39">
        <w:rPr>
          <w:rFonts w:cs="Times New Roman"/>
        </w:rPr>
        <w:t xml:space="preserve">does not have any management responsibility. An ad hoc mandate does not have any cram-down effect and does not trigger an automatic stay on enforcement actions. </w:t>
      </w:r>
    </w:p>
    <w:p w14:paraId="308D6EAB" w14:textId="6EBC1620" w:rsidR="00F04954" w:rsidRPr="00AA2F39" w:rsidRDefault="00F04954" w:rsidP="00F04954">
      <w:pPr>
        <w:spacing w:before="120" w:after="120"/>
        <w:jc w:val="both"/>
        <w:rPr>
          <w:rFonts w:cs="Times New Roman"/>
        </w:rPr>
      </w:pPr>
      <w:r w:rsidRPr="00AA2F39">
        <w:rPr>
          <w:rFonts w:cs="Times New Roman"/>
        </w:rPr>
        <w:t>In a conciliation, a conciliator (</w:t>
      </w:r>
      <w:proofErr w:type="spellStart"/>
      <w:r w:rsidRPr="00AA2F39">
        <w:rPr>
          <w:rFonts w:cs="Times New Roman"/>
          <w:i/>
        </w:rPr>
        <w:t>conciliateur</w:t>
      </w:r>
      <w:proofErr w:type="spellEnd"/>
      <w:r w:rsidRPr="00AA2F39">
        <w:rPr>
          <w:rFonts w:cs="Times New Roman"/>
        </w:rPr>
        <w:t>) is appointed by the Court. His powers are partly set out by statute and partly by the President of the Court. The conciliator may suggest any proposal which is relevant to the preservation of the business, the pursuit of economic activity and the maintenance of employment.</w:t>
      </w:r>
      <w:r w:rsidRPr="00AA2F39">
        <w:rPr>
          <w:rStyle w:val="FootnoteReference"/>
          <w:rFonts w:cs="Times New Roman"/>
        </w:rPr>
        <w:footnoteReference w:id="44"/>
      </w:r>
      <w:r w:rsidRPr="00AA2F39">
        <w:rPr>
          <w:rFonts w:cs="Times New Roman"/>
        </w:rPr>
        <w:t xml:space="preserve"> A conciliator can, at the request of the debtor and after consultation of the various creditors, be entrusted with selling the business. An agreement should be reached within a period not exceeding four months.</w:t>
      </w:r>
      <w:r w:rsidRPr="00AA2F39">
        <w:rPr>
          <w:rStyle w:val="FootnoteReference"/>
          <w:rFonts w:cs="Times New Roman"/>
        </w:rPr>
        <w:footnoteReference w:id="45"/>
      </w:r>
      <w:r w:rsidRPr="00AA2F39">
        <w:rPr>
          <w:rFonts w:cs="Times New Roman"/>
        </w:rPr>
        <w:t xml:space="preserve"> The Court must then ratify the agreement if it does not prejudice non-signatory creditors.</w:t>
      </w:r>
      <w:r w:rsidRPr="00AA2F39">
        <w:rPr>
          <w:rStyle w:val="FootnoteReference"/>
          <w:rFonts w:cs="Times New Roman"/>
        </w:rPr>
        <w:footnoteReference w:id="46"/>
      </w:r>
      <w:r w:rsidRPr="00AA2F39">
        <w:rPr>
          <w:rFonts w:cs="Times New Roman"/>
        </w:rPr>
        <w:t xml:space="preserve"> Some commentators have argued that one of the main flaws of the procedure is this lack of cram-down effect on dissenting </w:t>
      </w:r>
      <w:r w:rsidRPr="00AA2F39">
        <w:rPr>
          <w:rFonts w:cs="Times New Roman"/>
        </w:rPr>
        <w:lastRenderedPageBreak/>
        <w:t>creditors,</w:t>
      </w:r>
      <w:r w:rsidRPr="00AA2F39">
        <w:rPr>
          <w:rStyle w:val="FootnoteReference"/>
          <w:rFonts w:cs="Times New Roman"/>
        </w:rPr>
        <w:footnoteReference w:id="47"/>
      </w:r>
      <w:r w:rsidRPr="00AA2F39">
        <w:rPr>
          <w:rFonts w:cs="Times New Roman"/>
        </w:rPr>
        <w:t xml:space="preserve"> whose claims are merely suspended for the duration of the implementation of the scheme.</w:t>
      </w:r>
      <w:r w:rsidRPr="00AA2F39">
        <w:rPr>
          <w:rStyle w:val="FootnoteReference"/>
          <w:rFonts w:cs="Times New Roman"/>
        </w:rPr>
        <w:footnoteReference w:id="48"/>
      </w:r>
      <w:r w:rsidRPr="00AA2F39">
        <w:rPr>
          <w:rFonts w:cs="Times New Roman"/>
        </w:rPr>
        <w:t xml:space="preserve"> </w:t>
      </w:r>
    </w:p>
    <w:p w14:paraId="3CDB52AA" w14:textId="5FA9DBE8" w:rsidR="00F04954" w:rsidRPr="00AA2F39" w:rsidRDefault="00F04954" w:rsidP="00F04954">
      <w:pPr>
        <w:spacing w:before="120" w:after="120"/>
        <w:jc w:val="both"/>
        <w:rPr>
          <w:rFonts w:cs="Times New Roman"/>
        </w:rPr>
      </w:pPr>
      <w:r w:rsidRPr="00AA2F39">
        <w:rPr>
          <w:rFonts w:cs="Times New Roman"/>
        </w:rPr>
        <w:t>The main difference between the ad hoc mandate and the conciliation proceedings is that in a conciliation, creditors benefit from some protection against the risk of future claw</w:t>
      </w:r>
      <w:r w:rsidR="00604279" w:rsidRPr="00AA2F39">
        <w:rPr>
          <w:rFonts w:cs="Times New Roman"/>
        </w:rPr>
        <w:t>-</w:t>
      </w:r>
      <w:r w:rsidRPr="00AA2F39">
        <w:rPr>
          <w:rFonts w:cs="Times New Roman"/>
        </w:rPr>
        <w:t>back and new money is offered a super-priority if the debtor then files for insolvency.</w:t>
      </w:r>
      <w:r w:rsidRPr="00AA2F39">
        <w:rPr>
          <w:rStyle w:val="FootnoteReference"/>
          <w:rFonts w:cs="Times New Roman"/>
        </w:rPr>
        <w:footnoteReference w:id="49"/>
      </w:r>
      <w:r w:rsidRPr="00AA2F39">
        <w:rPr>
          <w:rFonts w:cs="Times New Roman"/>
        </w:rPr>
        <w:t xml:space="preserve"> </w:t>
      </w:r>
    </w:p>
    <w:p w14:paraId="08C657C7" w14:textId="0D35FFBC" w:rsidR="00F04954" w:rsidRPr="00AA2F39" w:rsidRDefault="00F04954" w:rsidP="00F04954">
      <w:pPr>
        <w:spacing w:before="120" w:after="120"/>
        <w:jc w:val="both"/>
        <w:rPr>
          <w:rFonts w:cs="Times New Roman"/>
          <w:b/>
          <w:i/>
        </w:rPr>
      </w:pPr>
      <w:r w:rsidRPr="00AA2F39">
        <w:rPr>
          <w:rFonts w:cs="Times New Roman"/>
        </w:rPr>
        <w:t>The Law of 2005 consecrated the importance of rescue and second chance by introducing safeguard proceedings (</w:t>
      </w:r>
      <w:proofErr w:type="spellStart"/>
      <w:r w:rsidRPr="00AA2F39">
        <w:rPr>
          <w:rFonts w:cs="Times New Roman"/>
          <w:i/>
        </w:rPr>
        <w:t>procédure</w:t>
      </w:r>
      <w:proofErr w:type="spellEnd"/>
      <w:r w:rsidRPr="00AA2F39">
        <w:rPr>
          <w:rFonts w:cs="Times New Roman"/>
          <w:i/>
        </w:rPr>
        <w:t xml:space="preserve"> de </w:t>
      </w:r>
      <w:proofErr w:type="spellStart"/>
      <w:r w:rsidRPr="00AA2F39">
        <w:rPr>
          <w:rFonts w:cs="Times New Roman"/>
          <w:i/>
        </w:rPr>
        <w:t>sauvegard</w:t>
      </w:r>
      <w:r w:rsidR="00217AE6" w:rsidRPr="00AA2F39">
        <w:rPr>
          <w:rFonts w:cs="Times New Roman"/>
          <w:i/>
        </w:rPr>
        <w:t>e</w:t>
      </w:r>
      <w:proofErr w:type="spellEnd"/>
      <w:r w:rsidRPr="00AA2F39">
        <w:rPr>
          <w:rFonts w:cs="Times New Roman"/>
        </w:rPr>
        <w:t xml:space="preserve">). Constructed on the model of Chapter 11 of the US Bankruptcy Code, the procedure was designed as an anticipatory rescue procedure. The idea behind the introduction of such procedure was to shift the emphasis on rescue to a time before the debtor becomes insolvent. </w:t>
      </w:r>
    </w:p>
    <w:p w14:paraId="3C221C20" w14:textId="6DCCB640" w:rsidR="00F04954" w:rsidRPr="00AA2F39" w:rsidRDefault="00F04954" w:rsidP="00F04954">
      <w:pPr>
        <w:spacing w:before="120" w:after="120"/>
        <w:jc w:val="both"/>
        <w:rPr>
          <w:rFonts w:cs="Times New Roman"/>
        </w:rPr>
      </w:pPr>
      <w:r w:rsidRPr="00AA2F39">
        <w:rPr>
          <w:rFonts w:cs="Times New Roman"/>
        </w:rPr>
        <w:t>Article L620-1 of the French Commercial Code sets out the qualifying criteria for commencing safeguard proceedings. Originally, the Law of 2005 required that a company should show that it was facing difficulties that it was not able to overcome, the nature of which was such as to lead to a payment failure situation (</w:t>
      </w:r>
      <w:r w:rsidRPr="00AA2F39">
        <w:rPr>
          <w:rFonts w:cs="Times New Roman"/>
          <w:i/>
        </w:rPr>
        <w:t xml:space="preserve">cessation de </w:t>
      </w:r>
      <w:proofErr w:type="spellStart"/>
      <w:r w:rsidRPr="00AA2F39">
        <w:rPr>
          <w:rFonts w:cs="Times New Roman"/>
          <w:i/>
        </w:rPr>
        <w:t>paiements</w:t>
      </w:r>
      <w:proofErr w:type="spellEnd"/>
      <w:r w:rsidRPr="00AA2F39">
        <w:rPr>
          <w:rFonts w:cs="Times New Roman"/>
        </w:rPr>
        <w:t>).</w:t>
      </w:r>
      <w:r w:rsidRPr="00AA2F39">
        <w:rPr>
          <w:rStyle w:val="FootnoteReference"/>
          <w:rFonts w:cs="Times New Roman"/>
        </w:rPr>
        <w:footnoteReference w:id="50"/>
      </w:r>
      <w:r w:rsidRPr="00AA2F39">
        <w:rPr>
          <w:rFonts w:cs="Times New Roman"/>
        </w:rPr>
        <w:t xml:space="preserve"> The Ordinance of 2008 amended and </w:t>
      </w:r>
      <w:r w:rsidR="00042E38" w:rsidRPr="00AA2F39">
        <w:rPr>
          <w:rFonts w:cs="Times New Roman"/>
        </w:rPr>
        <w:t>relaxed</w:t>
      </w:r>
      <w:r w:rsidRPr="00AA2F39">
        <w:rPr>
          <w:rFonts w:cs="Times New Roman"/>
        </w:rPr>
        <w:t xml:space="preserve"> the criterion for entering into safeguard proceedings; safeguard proceedings can now be “open on request by the debtor … who, without being in a payment failure situation, can show that he is encountering difficulties which he is not in a position to overcome.” As a result, the debtor does not need to show that the financial difficulties he is experiencing will lead to a payment failure situation anymore.</w:t>
      </w:r>
      <w:r w:rsidRPr="00AA2F39">
        <w:rPr>
          <w:rStyle w:val="FootnoteReference"/>
          <w:rFonts w:cs="Times New Roman"/>
        </w:rPr>
        <w:footnoteReference w:id="51"/>
      </w:r>
      <w:r w:rsidRPr="00AA2F39">
        <w:rPr>
          <w:rFonts w:cs="Times New Roman"/>
        </w:rPr>
        <w:t xml:space="preserve"> </w:t>
      </w:r>
    </w:p>
    <w:p w14:paraId="039DBF43" w14:textId="3DE7EF2A" w:rsidR="00F04954" w:rsidRPr="00AA2F39" w:rsidRDefault="00F04954" w:rsidP="00F04954">
      <w:pPr>
        <w:spacing w:before="120" w:after="120"/>
        <w:jc w:val="both"/>
        <w:rPr>
          <w:rFonts w:cs="Times New Roman"/>
        </w:rPr>
      </w:pPr>
      <w:r w:rsidRPr="00AA2F39">
        <w:rPr>
          <w:rFonts w:cs="Times New Roman"/>
        </w:rPr>
        <w:t>The safeguard procedure is implemented by a court judgment at the request of the debtor and the court appoints an administrator (</w:t>
      </w:r>
      <w:proofErr w:type="spellStart"/>
      <w:r w:rsidRPr="00AA2F39">
        <w:rPr>
          <w:rFonts w:cs="Times New Roman"/>
          <w:i/>
        </w:rPr>
        <w:t>administrateur</w:t>
      </w:r>
      <w:proofErr w:type="spellEnd"/>
      <w:r w:rsidRPr="00AA2F39">
        <w:rPr>
          <w:rFonts w:cs="Times New Roman"/>
          <w:i/>
        </w:rPr>
        <w:t xml:space="preserve"> </w:t>
      </w:r>
      <w:proofErr w:type="spellStart"/>
      <w:r w:rsidRPr="00AA2F39">
        <w:rPr>
          <w:rFonts w:cs="Times New Roman"/>
          <w:i/>
        </w:rPr>
        <w:t>judiciaire</w:t>
      </w:r>
      <w:proofErr w:type="spellEnd"/>
      <w:r w:rsidRPr="00AA2F39">
        <w:rPr>
          <w:rFonts w:cs="Times New Roman"/>
        </w:rPr>
        <w:t>),</w:t>
      </w:r>
      <w:r w:rsidRPr="00AA2F39">
        <w:rPr>
          <w:rStyle w:val="FootnoteReference"/>
          <w:rFonts w:cs="Times New Roman"/>
        </w:rPr>
        <w:footnoteReference w:id="52"/>
      </w:r>
      <w:r w:rsidRPr="00AA2F39">
        <w:rPr>
          <w:rFonts w:cs="Times New Roman"/>
        </w:rPr>
        <w:t xml:space="preserve"> whose role is to supervise or assist the debtor in the performance of its management operations.</w:t>
      </w:r>
      <w:r w:rsidRPr="00AA2F39">
        <w:rPr>
          <w:rStyle w:val="FootnoteReference"/>
          <w:rFonts w:cs="Times New Roman"/>
        </w:rPr>
        <w:footnoteReference w:id="53"/>
      </w:r>
      <w:r w:rsidRPr="00AA2F39">
        <w:rPr>
          <w:rFonts w:cs="Times New Roman"/>
        </w:rPr>
        <w:t xml:space="preserve"> The judgment to open safeguard proceedings also triggers an automatic moratorium (</w:t>
      </w:r>
      <w:proofErr w:type="spellStart"/>
      <w:r w:rsidRPr="00AA2F39">
        <w:rPr>
          <w:rFonts w:cs="Times New Roman"/>
          <w:i/>
        </w:rPr>
        <w:t>période</w:t>
      </w:r>
      <w:proofErr w:type="spellEnd"/>
      <w:r w:rsidRPr="00AA2F39">
        <w:rPr>
          <w:rFonts w:cs="Times New Roman"/>
          <w:i/>
        </w:rPr>
        <w:t xml:space="preserve"> </w:t>
      </w:r>
      <w:proofErr w:type="spellStart"/>
      <w:r w:rsidRPr="00AA2F39">
        <w:rPr>
          <w:rFonts w:cs="Times New Roman"/>
          <w:i/>
        </w:rPr>
        <w:t>d’observation</w:t>
      </w:r>
      <w:proofErr w:type="spellEnd"/>
      <w:r w:rsidRPr="00AA2F39">
        <w:rPr>
          <w:rFonts w:cs="Times New Roman"/>
        </w:rPr>
        <w:t>) under the protection of which the debtor is permitted to propose a recovery plan (</w:t>
      </w:r>
      <w:r w:rsidRPr="00AA2F39">
        <w:rPr>
          <w:rFonts w:cs="Times New Roman"/>
          <w:i/>
        </w:rPr>
        <w:t xml:space="preserve">plan de </w:t>
      </w:r>
      <w:proofErr w:type="spellStart"/>
      <w:r w:rsidRPr="00AA2F39">
        <w:rPr>
          <w:rFonts w:cs="Times New Roman"/>
          <w:i/>
        </w:rPr>
        <w:t>sauvegarde</w:t>
      </w:r>
      <w:proofErr w:type="spellEnd"/>
      <w:r w:rsidRPr="00AA2F39">
        <w:rPr>
          <w:rFonts w:cs="Times New Roman"/>
        </w:rPr>
        <w:t>).</w:t>
      </w:r>
      <w:r w:rsidRPr="00AA2F39">
        <w:rPr>
          <w:rStyle w:val="FootnoteReference"/>
          <w:rFonts w:cs="Times New Roman"/>
        </w:rPr>
        <w:footnoteReference w:id="54"/>
      </w:r>
      <w:r w:rsidRPr="00AA2F39">
        <w:rPr>
          <w:rFonts w:cs="Times New Roman"/>
        </w:rPr>
        <w:t xml:space="preserve"> </w:t>
      </w:r>
    </w:p>
    <w:p w14:paraId="55BF1354" w14:textId="77777777" w:rsidR="00F04954" w:rsidRPr="00AA2F39" w:rsidRDefault="00F04954" w:rsidP="00F04954">
      <w:pPr>
        <w:spacing w:before="120" w:after="120"/>
        <w:jc w:val="both"/>
        <w:rPr>
          <w:rFonts w:cs="Times New Roman"/>
        </w:rPr>
      </w:pPr>
      <w:r w:rsidRPr="00AA2F39">
        <w:rPr>
          <w:rFonts w:cs="Times New Roman"/>
        </w:rPr>
        <w:t>Although the safeguard procedure has been advertised as a “panacea for the ills of French business,”</w:t>
      </w:r>
      <w:r w:rsidRPr="00AA2F39">
        <w:rPr>
          <w:rStyle w:val="FootnoteReference"/>
          <w:rFonts w:cs="Times New Roman"/>
        </w:rPr>
        <w:footnoteReference w:id="55"/>
      </w:r>
      <w:r w:rsidRPr="00AA2F39">
        <w:rPr>
          <w:rFonts w:cs="Times New Roman"/>
        </w:rPr>
        <w:t xml:space="preserve"> its success has been limited, with a rather low take-up in the years following its introduction.</w:t>
      </w:r>
      <w:r w:rsidRPr="00AA2F39">
        <w:rPr>
          <w:rStyle w:val="FootnoteReference"/>
          <w:rFonts w:cs="Times New Roman"/>
        </w:rPr>
        <w:footnoteReference w:id="56"/>
      </w:r>
      <w:r w:rsidRPr="00AA2F39">
        <w:rPr>
          <w:rFonts w:cs="Times New Roman"/>
        </w:rPr>
        <w:t xml:space="preserve"> Commentators have argued that this was due to the flaws of the procedure, prior to the 2008 amendments, including the narrow criterion of entry into safeguard proceedings, as well as the stigma of insolvency that still prevails in France and which results in debtors delaying the filing for safeguard proceedings or preferring the lack of publicity </w:t>
      </w:r>
      <w:r w:rsidRPr="00AA2F39">
        <w:rPr>
          <w:rFonts w:cs="Times New Roman"/>
        </w:rPr>
        <w:lastRenderedPageBreak/>
        <w:t>offered by more informal procedures.</w:t>
      </w:r>
      <w:r w:rsidRPr="00AA2F39">
        <w:rPr>
          <w:rStyle w:val="FootnoteReference"/>
          <w:rFonts w:cs="Times New Roman"/>
        </w:rPr>
        <w:footnoteReference w:id="57"/>
      </w:r>
      <w:r w:rsidRPr="00AA2F39">
        <w:rPr>
          <w:rFonts w:cs="Times New Roman"/>
        </w:rPr>
        <w:t xml:space="preserve"> At that stage, companies are often already in a payment failure situation and therefore do not qualify anymore. </w:t>
      </w:r>
    </w:p>
    <w:p w14:paraId="4B8C29A7" w14:textId="6F69F041" w:rsidR="00F04954" w:rsidRPr="00AA2F39" w:rsidRDefault="00F04954" w:rsidP="00F04954">
      <w:pPr>
        <w:spacing w:before="120" w:after="120"/>
        <w:jc w:val="both"/>
        <w:rPr>
          <w:rFonts w:cs="Times New Roman"/>
          <w:b/>
          <w:i/>
        </w:rPr>
      </w:pPr>
      <w:r w:rsidRPr="00AA2F39">
        <w:rPr>
          <w:rFonts w:cs="Times New Roman"/>
        </w:rPr>
        <w:t>Following the major impact of the global financial crisis, more insolvency law reforms were passed. In 2010, a new “prep-pack” procedure called the accelerated financial safeguard (</w:t>
      </w:r>
      <w:proofErr w:type="spellStart"/>
      <w:r w:rsidRPr="00AA2F39">
        <w:rPr>
          <w:rFonts w:cs="Times New Roman"/>
          <w:i/>
        </w:rPr>
        <w:t>sauvegarde</w:t>
      </w:r>
      <w:proofErr w:type="spellEnd"/>
      <w:r w:rsidRPr="00AA2F39">
        <w:rPr>
          <w:rFonts w:cs="Times New Roman"/>
          <w:i/>
        </w:rPr>
        <w:t xml:space="preserve"> financière </w:t>
      </w:r>
      <w:proofErr w:type="spellStart"/>
      <w:r w:rsidRPr="00AA2F39">
        <w:rPr>
          <w:rFonts w:cs="Times New Roman"/>
          <w:i/>
        </w:rPr>
        <w:t>accélérée</w:t>
      </w:r>
      <w:proofErr w:type="spellEnd"/>
      <w:r w:rsidRPr="00AA2F39">
        <w:rPr>
          <w:rFonts w:cs="Times New Roman"/>
        </w:rPr>
        <w:t xml:space="preserve">) was introduced. Designed as a “pre-pack” variation of the safeguard, the procedure is available to debtors who have initiated conciliation proceedings, who can demonstrate that they qualify for the opening of a safeguard procedure and who are required to have creditors’ committees formed for the purposes of approving a rescue plan. Additionally, a rescue plan </w:t>
      </w:r>
      <w:r w:rsidR="001E20E3" w:rsidRPr="00AA2F39">
        <w:rPr>
          <w:rFonts w:cs="Times New Roman"/>
        </w:rPr>
        <w:t xml:space="preserve">is required </w:t>
      </w:r>
      <w:r w:rsidRPr="00AA2F39">
        <w:rPr>
          <w:rFonts w:cs="Times New Roman"/>
        </w:rPr>
        <w:t>that is believed to be supported by a majority of financial creditors and/or bondholders.</w:t>
      </w:r>
      <w:r w:rsidRPr="00AA2F39">
        <w:rPr>
          <w:rStyle w:val="FootnoteReference"/>
          <w:rFonts w:cs="Times New Roman"/>
        </w:rPr>
        <w:footnoteReference w:id="58"/>
      </w:r>
      <w:r w:rsidRPr="00AA2F39">
        <w:rPr>
          <w:rFonts w:cs="Times New Roman"/>
        </w:rPr>
        <w:t xml:space="preserve"> The court takes into consideration the views of the conciliator on the progress of the conciliation and the likelihood of adoption of the draft plan by the relevant parties.</w:t>
      </w:r>
      <w:r w:rsidRPr="00AA2F39">
        <w:rPr>
          <w:rStyle w:val="FootnoteReference"/>
          <w:rFonts w:cs="Times New Roman"/>
        </w:rPr>
        <w:footnoteReference w:id="59"/>
      </w:r>
      <w:r w:rsidRPr="00AA2F39">
        <w:rPr>
          <w:rFonts w:cs="Times New Roman"/>
        </w:rPr>
        <w:t xml:space="preserve"> </w:t>
      </w:r>
    </w:p>
    <w:p w14:paraId="5B26C32F" w14:textId="0E5C7068" w:rsidR="00F04954" w:rsidRPr="00AA2F39" w:rsidRDefault="00F04954" w:rsidP="00F04954">
      <w:pPr>
        <w:spacing w:before="120" w:after="120"/>
        <w:jc w:val="both"/>
        <w:rPr>
          <w:rFonts w:cs="Times New Roman"/>
        </w:rPr>
      </w:pPr>
      <w:r w:rsidRPr="00AA2F39">
        <w:rPr>
          <w:rFonts w:cs="Times New Roman"/>
        </w:rPr>
        <w:t>In 2014, following the prolonged devastating impact of the global financial crisis on the French economy and the continued underemployment in France, the Government prompted a review of insolvency law.</w:t>
      </w:r>
      <w:r w:rsidRPr="00AA2F39">
        <w:rPr>
          <w:rStyle w:val="FootnoteReference"/>
          <w:rFonts w:cs="Times New Roman"/>
        </w:rPr>
        <w:footnoteReference w:id="60"/>
      </w:r>
      <w:r w:rsidRPr="00AA2F39">
        <w:rPr>
          <w:rFonts w:cs="Times New Roman"/>
        </w:rPr>
        <w:t xml:space="preserve"> In addition to improving the way the safeguard procedure was working, the Ordinance of 2014 created a new procedure for companies facing financial difficulties, the accelerated safeguard (</w:t>
      </w:r>
      <w:proofErr w:type="spellStart"/>
      <w:r w:rsidRPr="00AA2F39">
        <w:rPr>
          <w:rFonts w:cs="Times New Roman"/>
          <w:i/>
        </w:rPr>
        <w:t>sauvegarde</w:t>
      </w:r>
      <w:proofErr w:type="spellEnd"/>
      <w:r w:rsidRPr="00AA2F39">
        <w:rPr>
          <w:rFonts w:cs="Times New Roman"/>
          <w:i/>
        </w:rPr>
        <w:t xml:space="preserve"> </w:t>
      </w:r>
      <w:proofErr w:type="spellStart"/>
      <w:r w:rsidRPr="00AA2F39">
        <w:rPr>
          <w:rFonts w:cs="Times New Roman"/>
          <w:i/>
        </w:rPr>
        <w:t>accélérée</w:t>
      </w:r>
      <w:proofErr w:type="spellEnd"/>
      <w:r w:rsidRPr="00AA2F39">
        <w:rPr>
          <w:rFonts w:cs="Times New Roman"/>
        </w:rPr>
        <w:t>). The procedure is similar to the accelerated financial safeguard in the sense that it is available to debtors who have been engaged in a conciliation procedure and who can demonstrate that they have drafted a plan that is likely to result in the continuation of the business.</w:t>
      </w:r>
      <w:r w:rsidRPr="00AA2F39">
        <w:rPr>
          <w:rStyle w:val="FootnoteReference"/>
          <w:rFonts w:cs="Times New Roman"/>
        </w:rPr>
        <w:footnoteReference w:id="61"/>
      </w:r>
    </w:p>
    <w:p w14:paraId="791AC1E8" w14:textId="626A1DB6" w:rsidR="00F04954" w:rsidRPr="00AA2F39" w:rsidRDefault="00F04954" w:rsidP="00F04954">
      <w:pPr>
        <w:spacing w:before="120" w:after="120"/>
        <w:jc w:val="both"/>
        <w:rPr>
          <w:rFonts w:cs="Times New Roman"/>
        </w:rPr>
      </w:pPr>
      <w:r w:rsidRPr="00AA2F39">
        <w:rPr>
          <w:rFonts w:cs="Times New Roman"/>
        </w:rPr>
        <w:t>The accelerated (financial) safeguard is quite similar to the UK pre-pack administrations. The accelerated (financial) safeguard allows for a speedy pre-pack to be drafted</w:t>
      </w:r>
      <w:r w:rsidR="00042E38" w:rsidRPr="00AA2F39">
        <w:rPr>
          <w:rFonts w:cs="Times New Roman"/>
        </w:rPr>
        <w:t xml:space="preserve"> as</w:t>
      </w:r>
      <w:r w:rsidRPr="00AA2F39">
        <w:rPr>
          <w:rFonts w:cs="Times New Roman"/>
        </w:rPr>
        <w:t xml:space="preserve"> the procedure must be completed within a maximum of three months from the date of the opening judgment</w:t>
      </w:r>
      <w:r w:rsidR="00042E38" w:rsidRPr="00AA2F39">
        <w:rPr>
          <w:rFonts w:cs="Times New Roman"/>
        </w:rPr>
        <w:t>,</w:t>
      </w:r>
      <w:r w:rsidRPr="00AA2F39">
        <w:rPr>
          <w:rStyle w:val="FootnoteReference"/>
          <w:rFonts w:cs="Times New Roman"/>
        </w:rPr>
        <w:footnoteReference w:id="62"/>
      </w:r>
      <w:r w:rsidRPr="00AA2F39">
        <w:rPr>
          <w:rFonts w:cs="Times New Roman"/>
        </w:rPr>
        <w:t xml:space="preserve"> which would benefit from a cram-down effect and will only involve financial institutions and bondholders in the case of the accelerated financial safeguard.</w:t>
      </w:r>
      <w:r w:rsidRPr="00AA2F39">
        <w:rPr>
          <w:rStyle w:val="FootnoteReference"/>
          <w:rFonts w:cs="Times New Roman"/>
        </w:rPr>
        <w:footnoteReference w:id="63"/>
      </w:r>
      <w:r w:rsidRPr="00AA2F39">
        <w:rPr>
          <w:rFonts w:cs="Times New Roman"/>
        </w:rPr>
        <w:t xml:space="preserve"> </w:t>
      </w:r>
    </w:p>
    <w:p w14:paraId="6424F100" w14:textId="02676601" w:rsidR="00F04954" w:rsidRPr="00AA2F39" w:rsidRDefault="00F04954" w:rsidP="00F04954">
      <w:pPr>
        <w:spacing w:before="120" w:after="120"/>
        <w:jc w:val="both"/>
        <w:rPr>
          <w:rFonts w:cs="Times New Roman"/>
          <w:b/>
          <w:u w:val="single"/>
        </w:rPr>
      </w:pPr>
      <w:r w:rsidRPr="00AA2F39">
        <w:rPr>
          <w:rFonts w:cs="Times New Roman"/>
        </w:rPr>
        <w:t xml:space="preserve">French debtors benefit from a modern and efficient restructuring regime </w:t>
      </w:r>
      <w:r w:rsidR="00042E38" w:rsidRPr="00AA2F39">
        <w:rPr>
          <w:rFonts w:cs="Times New Roman"/>
        </w:rPr>
        <w:t>that</w:t>
      </w:r>
      <w:r w:rsidRPr="00AA2F39">
        <w:rPr>
          <w:rFonts w:cs="Times New Roman"/>
        </w:rPr>
        <w:t xml:space="preserve"> offers several options for rescuing their businesses before insolvency. In particular, France offers various preventive restructuring procedures and over the years, has introduced a debtor-in-possession regime, a cram-down element, a moratorium on enforcement actions and the possibility for debt for equity swap into its legislation. As a result, France already has a number of procedures that satisfy the provisions set out in the Proposal.</w:t>
      </w:r>
      <w:r w:rsidRPr="00AA2F39">
        <w:rPr>
          <w:rStyle w:val="FootnoteReference"/>
          <w:rFonts w:cs="Times New Roman"/>
        </w:rPr>
        <w:footnoteReference w:id="64"/>
      </w:r>
      <w:r w:rsidRPr="00AA2F39">
        <w:rPr>
          <w:rFonts w:cs="Times New Roman"/>
        </w:rPr>
        <w:t xml:space="preserve"> It is worth noting that France also complies with Article 24 </w:t>
      </w:r>
      <w:r w:rsidR="001E20E3" w:rsidRPr="00AA2F39">
        <w:rPr>
          <w:rFonts w:cs="Times New Roman"/>
        </w:rPr>
        <w:t>of th</w:t>
      </w:r>
      <w:r w:rsidR="00042E38" w:rsidRPr="00AA2F39">
        <w:rPr>
          <w:rFonts w:cs="Times New Roman"/>
        </w:rPr>
        <w:t>e</w:t>
      </w:r>
      <w:r w:rsidR="001E20E3" w:rsidRPr="00AA2F39">
        <w:rPr>
          <w:rFonts w:cs="Times New Roman"/>
        </w:rPr>
        <w:t xml:space="preserve"> Proposal, </w:t>
      </w:r>
      <w:r w:rsidRPr="00AA2F39">
        <w:rPr>
          <w:rFonts w:cs="Times New Roman"/>
        </w:rPr>
        <w:t xml:space="preserve">which requires that “members of the judiciary and of other competent authorities are properly trained and specialised in restructuring, insolvency and second chance matters.” First of all, </w:t>
      </w:r>
      <w:r w:rsidR="00042E38" w:rsidRPr="00AA2F39">
        <w:rPr>
          <w:rFonts w:cs="Times New Roman"/>
        </w:rPr>
        <w:t xml:space="preserve">the </w:t>
      </w:r>
      <w:r w:rsidRPr="00AA2F39">
        <w:rPr>
          <w:rFonts w:cs="Times New Roman"/>
        </w:rPr>
        <w:t xml:space="preserve">ad hoc mandate and conciliation proceedings are conducted under the supervision of a court-appointed practitioner, a </w:t>
      </w:r>
      <w:proofErr w:type="spellStart"/>
      <w:r w:rsidRPr="00AA2F39">
        <w:rPr>
          <w:rFonts w:cs="Times New Roman"/>
          <w:i/>
        </w:rPr>
        <w:t>conciliateur</w:t>
      </w:r>
      <w:proofErr w:type="spellEnd"/>
      <w:r w:rsidRPr="00AA2F39">
        <w:rPr>
          <w:rFonts w:cs="Times New Roman"/>
          <w:i/>
        </w:rPr>
        <w:t xml:space="preserve"> </w:t>
      </w:r>
      <w:r w:rsidRPr="00AA2F39">
        <w:rPr>
          <w:rFonts w:cs="Times New Roman"/>
        </w:rPr>
        <w:t xml:space="preserve">or a </w:t>
      </w:r>
      <w:proofErr w:type="spellStart"/>
      <w:r w:rsidRPr="00AA2F39">
        <w:rPr>
          <w:rFonts w:cs="Times New Roman"/>
          <w:i/>
        </w:rPr>
        <w:t>mandataire</w:t>
      </w:r>
      <w:proofErr w:type="spellEnd"/>
      <w:r w:rsidRPr="00AA2F39">
        <w:rPr>
          <w:rFonts w:cs="Times New Roman"/>
          <w:i/>
        </w:rPr>
        <w:t xml:space="preserve"> ad hoc</w:t>
      </w:r>
      <w:r w:rsidRPr="00AA2F39">
        <w:rPr>
          <w:rFonts w:cs="Times New Roman"/>
        </w:rPr>
        <w:t xml:space="preserve"> who are specialised practitioners. So is the </w:t>
      </w:r>
      <w:proofErr w:type="spellStart"/>
      <w:r w:rsidRPr="00AA2F39">
        <w:rPr>
          <w:rFonts w:cs="Times New Roman"/>
          <w:i/>
        </w:rPr>
        <w:t>administrateur</w:t>
      </w:r>
      <w:proofErr w:type="spellEnd"/>
      <w:r w:rsidRPr="00AA2F39">
        <w:rPr>
          <w:rFonts w:cs="Times New Roman"/>
          <w:i/>
        </w:rPr>
        <w:t xml:space="preserve"> </w:t>
      </w:r>
      <w:proofErr w:type="spellStart"/>
      <w:r w:rsidRPr="00AA2F39">
        <w:rPr>
          <w:rFonts w:cs="Times New Roman"/>
          <w:i/>
        </w:rPr>
        <w:t>judiciaire</w:t>
      </w:r>
      <w:proofErr w:type="spellEnd"/>
      <w:r w:rsidRPr="00AA2F39">
        <w:rPr>
          <w:rFonts w:cs="Times New Roman"/>
        </w:rPr>
        <w:t xml:space="preserve"> in a safeguard proceeding. Additionally, since March 2016, specific commercial courts have been created, which have exclusive jurisdiction over conciliation and safeguard proceedings, if the debtor meets certain criteria.</w:t>
      </w:r>
      <w:r w:rsidRPr="00AA2F39">
        <w:rPr>
          <w:rStyle w:val="FootnoteReference"/>
          <w:rFonts w:cs="Times New Roman"/>
        </w:rPr>
        <w:footnoteReference w:id="65"/>
      </w:r>
      <w:r w:rsidRPr="00AA2F39">
        <w:rPr>
          <w:rFonts w:cs="Times New Roman"/>
        </w:rPr>
        <w:t xml:space="preserve"> Most notably, the same </w:t>
      </w:r>
      <w:r w:rsidRPr="00AA2F39">
        <w:rPr>
          <w:rFonts w:cs="Times New Roman"/>
        </w:rPr>
        <w:lastRenderedPageBreak/>
        <w:t xml:space="preserve">specifically designated commercial courts will be competent for the procedures for the opening of insolvency proceedings in accordance with acts of the EU relating to insolvency proceedings, or for procedures which arise from the presence within the court’s jurisdiction of the centre of main interest (COMI) of the debtor. </w:t>
      </w:r>
    </w:p>
    <w:p w14:paraId="6E3980C4" w14:textId="77777777" w:rsidR="00910614" w:rsidRPr="00AA2F39" w:rsidRDefault="00910614" w:rsidP="00F04954">
      <w:pPr>
        <w:spacing w:before="120" w:after="120"/>
        <w:jc w:val="both"/>
        <w:rPr>
          <w:rFonts w:cs="Times New Roman"/>
          <w:b/>
        </w:rPr>
      </w:pPr>
    </w:p>
    <w:p w14:paraId="6C063557" w14:textId="01993957" w:rsidR="006E6B19" w:rsidRPr="00AA2F39" w:rsidRDefault="006E6B19" w:rsidP="00F04954">
      <w:pPr>
        <w:spacing w:before="120" w:after="120"/>
        <w:jc w:val="both"/>
        <w:rPr>
          <w:rFonts w:cs="Times New Roman"/>
          <w:b/>
        </w:rPr>
      </w:pPr>
      <w:r w:rsidRPr="00AA2F39">
        <w:rPr>
          <w:rFonts w:cs="Times New Roman"/>
          <w:b/>
        </w:rPr>
        <w:t>3</w:t>
      </w:r>
      <w:r w:rsidR="00F04954" w:rsidRPr="00AA2F39">
        <w:rPr>
          <w:rFonts w:cs="Times New Roman"/>
          <w:b/>
        </w:rPr>
        <w:t>.3</w:t>
      </w:r>
      <w:r w:rsidRPr="00AA2F39">
        <w:rPr>
          <w:rFonts w:cs="Times New Roman"/>
          <w:b/>
        </w:rPr>
        <w:tab/>
        <w:t>Germany</w:t>
      </w:r>
    </w:p>
    <w:p w14:paraId="4539348E" w14:textId="5ADCFAE7" w:rsidR="006E6B19" w:rsidRPr="00AA2F39" w:rsidRDefault="006E6B19" w:rsidP="00F04954">
      <w:pPr>
        <w:spacing w:before="120" w:after="120"/>
        <w:jc w:val="both"/>
        <w:rPr>
          <w:rFonts w:cs="Times New Roman"/>
        </w:rPr>
      </w:pPr>
      <w:r w:rsidRPr="00AA2F39">
        <w:rPr>
          <w:rFonts w:cs="Times New Roman"/>
        </w:rPr>
        <w:t xml:space="preserve">Within the last two decades, Germany has made some significant progress in the development of its law for insolvency and restructuring. Coming from a very restrictive and restructuring-hostile approach, in which filing for insolvency almost always was synonymous with forced administration, the dissolution of the debtor’s company, the piece-meal liquidation of its assets, and with the debtor being branded as a failed entrepreneur, the German insolvency law was steadily reformed to become more restructuring-friendly. The underlying idea that the going-concern value of the debtor should be preserved for the benefit of its creditors inspired the </w:t>
      </w:r>
      <w:proofErr w:type="spellStart"/>
      <w:r w:rsidRPr="00AA2F39">
        <w:rPr>
          <w:rFonts w:cs="Times New Roman"/>
          <w:i/>
        </w:rPr>
        <w:t>Insolvenzordnung</w:t>
      </w:r>
      <w:proofErr w:type="spellEnd"/>
      <w:r w:rsidRPr="00AA2F39">
        <w:rPr>
          <w:rFonts w:cs="Times New Roman"/>
        </w:rPr>
        <w:t xml:space="preserve"> (</w:t>
      </w:r>
      <w:proofErr w:type="spellStart"/>
      <w:r w:rsidRPr="00AA2F39">
        <w:rPr>
          <w:rFonts w:cs="Times New Roman"/>
        </w:rPr>
        <w:t>InsO</w:t>
      </w:r>
      <w:proofErr w:type="spellEnd"/>
      <w:r w:rsidRPr="00AA2F39">
        <w:rPr>
          <w:rFonts w:cs="Times New Roman"/>
        </w:rPr>
        <w:t>) of 1999.</w:t>
      </w:r>
      <w:r w:rsidRPr="00AA2F39">
        <w:rPr>
          <w:rStyle w:val="FootnoteReference"/>
          <w:rFonts w:cs="Times New Roman"/>
        </w:rPr>
        <w:footnoteReference w:id="66"/>
      </w:r>
      <w:r w:rsidRPr="00AA2F39">
        <w:rPr>
          <w:rFonts w:cs="Times New Roman"/>
        </w:rPr>
        <w:t xml:space="preserve"> The reform of the German Bond Law (</w:t>
      </w:r>
      <w:proofErr w:type="spellStart"/>
      <w:r w:rsidRPr="00AA2F39">
        <w:rPr>
          <w:rFonts w:cs="Times New Roman"/>
          <w:i/>
        </w:rPr>
        <w:t>Schuldverschreibungsgesetz</w:t>
      </w:r>
      <w:proofErr w:type="spellEnd"/>
      <w:r w:rsidRPr="00AA2F39">
        <w:rPr>
          <w:rFonts w:cs="Times New Roman"/>
        </w:rPr>
        <w:t xml:space="preserve">) in 2009 and the ESUG reforms of the </w:t>
      </w:r>
      <w:proofErr w:type="spellStart"/>
      <w:r w:rsidRPr="00AA2F39">
        <w:rPr>
          <w:rFonts w:cs="Times New Roman"/>
          <w:i/>
        </w:rPr>
        <w:t>Insolvenzordnung</w:t>
      </w:r>
      <w:proofErr w:type="spellEnd"/>
      <w:r w:rsidRPr="00AA2F39">
        <w:rPr>
          <w:rFonts w:cs="Times New Roman"/>
          <w:i/>
        </w:rPr>
        <w:t xml:space="preserve"> </w:t>
      </w:r>
      <w:r w:rsidRPr="00AA2F39">
        <w:rPr>
          <w:rFonts w:cs="Times New Roman"/>
        </w:rPr>
        <w:t>in 2012 brought some important innovations. Gradual reforms would follow within the next years. This way, the German law was equipped with some valuable tools for restructurings</w:t>
      </w:r>
      <w:r w:rsidR="006D3AED">
        <w:rPr>
          <w:rFonts w:cs="Times New Roman"/>
        </w:rPr>
        <w:t>.</w:t>
      </w:r>
    </w:p>
    <w:p w14:paraId="3EA1FF6E" w14:textId="65A5C8BE" w:rsidR="006E6B19" w:rsidRPr="00AA2F39" w:rsidRDefault="006E6B19" w:rsidP="00F04954">
      <w:pPr>
        <w:spacing w:before="120" w:after="120"/>
        <w:jc w:val="both"/>
        <w:rPr>
          <w:rFonts w:cs="Times New Roman"/>
        </w:rPr>
      </w:pPr>
      <w:r w:rsidRPr="00AA2F39">
        <w:rPr>
          <w:rFonts w:cs="Times New Roman"/>
        </w:rPr>
        <w:t xml:space="preserve">For in-court insolvency procedures, the </w:t>
      </w:r>
      <w:proofErr w:type="spellStart"/>
      <w:r w:rsidRPr="00AA2F39">
        <w:rPr>
          <w:rFonts w:cs="Times New Roman"/>
          <w:i/>
        </w:rPr>
        <w:t>Insolvenzordnung</w:t>
      </w:r>
      <w:proofErr w:type="spellEnd"/>
      <w:r w:rsidRPr="00AA2F39">
        <w:rPr>
          <w:rFonts w:cs="Times New Roman"/>
        </w:rPr>
        <w:t xml:space="preserve"> provides a restructuring and reorganisation option (</w:t>
      </w:r>
      <w:proofErr w:type="spellStart"/>
      <w:r w:rsidRPr="00AA2F39">
        <w:rPr>
          <w:rFonts w:cs="Times New Roman"/>
          <w:i/>
        </w:rPr>
        <w:t>Planverfahren</w:t>
      </w:r>
      <w:proofErr w:type="spellEnd"/>
      <w:r w:rsidRPr="00AA2F39">
        <w:rPr>
          <w:rFonts w:cs="Times New Roman"/>
        </w:rPr>
        <w:t>) as an alternative to the liquidation of the debtor’s business. This option was considerably strengthened as part of the ESUG reforms. The debtor may apply for a debtor-in-possession procedure and, thus, may be given a second chance to lead the business to a brighter future under the protection of a defensive insolvency procedure, protected against individual enforcement by a stay.</w:t>
      </w:r>
      <w:r w:rsidRPr="00AA2F39">
        <w:rPr>
          <w:rStyle w:val="FootnoteReference"/>
          <w:rFonts w:cs="Times New Roman"/>
        </w:rPr>
        <w:footnoteReference w:id="67"/>
      </w:r>
      <w:r w:rsidRPr="00AA2F39">
        <w:rPr>
          <w:rFonts w:cs="Times New Roman"/>
        </w:rPr>
        <w:t xml:space="preserve"> A restructuring plan may be put to a binding majority vote of the creditors so as to reorganize the debtor’s capital structure, </w:t>
      </w:r>
      <w:r w:rsidR="00042E38" w:rsidRPr="00AA2F39">
        <w:rPr>
          <w:rFonts w:cs="Times New Roman"/>
        </w:rPr>
        <w:t>by for example reducing or prolonging t</w:t>
      </w:r>
      <w:r w:rsidRPr="00AA2F39">
        <w:rPr>
          <w:rFonts w:cs="Times New Roman"/>
        </w:rPr>
        <w:t>he debt or to swap debt into equity.</w:t>
      </w:r>
      <w:r w:rsidR="00937163" w:rsidRPr="00AA2F39">
        <w:rPr>
          <w:rFonts w:cs="Times New Roman"/>
        </w:rPr>
        <w:t xml:space="preserve"> A cross-class</w:t>
      </w:r>
      <w:r w:rsidR="00042E38" w:rsidRPr="00AA2F39">
        <w:rPr>
          <w:rFonts w:cs="Times New Roman"/>
        </w:rPr>
        <w:t xml:space="preserve"> </w:t>
      </w:r>
      <w:r w:rsidR="00937163" w:rsidRPr="00AA2F39">
        <w:rPr>
          <w:rFonts w:cs="Times New Roman"/>
        </w:rPr>
        <w:t>cram-down is possible in</w:t>
      </w:r>
      <w:r w:rsidR="00042E38" w:rsidRPr="00AA2F39">
        <w:rPr>
          <w:rFonts w:cs="Times New Roman"/>
        </w:rPr>
        <w:t xml:space="preserve"> the</w:t>
      </w:r>
      <w:r w:rsidR="00937163" w:rsidRPr="00AA2F39">
        <w:rPr>
          <w:rFonts w:cs="Times New Roman"/>
        </w:rPr>
        <w:t xml:space="preserve"> case that the majority of classes approve the plan and that the </w:t>
      </w:r>
      <w:r w:rsidR="00304D2F" w:rsidRPr="00AA2F39">
        <w:rPr>
          <w:rFonts w:cs="Times New Roman"/>
        </w:rPr>
        <w:t>absolute priority rule applies.</w:t>
      </w:r>
      <w:r w:rsidRPr="00AA2F39">
        <w:rPr>
          <w:rStyle w:val="FootnoteReference"/>
          <w:rFonts w:cs="Times New Roman"/>
        </w:rPr>
        <w:footnoteReference w:id="68"/>
      </w:r>
      <w:r w:rsidRPr="00AA2F39">
        <w:rPr>
          <w:rFonts w:cs="Times New Roman"/>
        </w:rPr>
        <w:t xml:space="preserve"> During a so-called umbrella procedure, which may precede the opening of the insolvency procedure, the debtor has the privilege to draft such a restructuring plan while the debtor remain</w:t>
      </w:r>
      <w:r w:rsidR="007F403E" w:rsidRPr="00AA2F39">
        <w:rPr>
          <w:rFonts w:cs="Times New Roman"/>
        </w:rPr>
        <w:t>s</w:t>
      </w:r>
      <w:r w:rsidRPr="00AA2F39">
        <w:rPr>
          <w:rFonts w:cs="Times New Roman"/>
        </w:rPr>
        <w:t xml:space="preserve"> in possession as the rule.</w:t>
      </w:r>
      <w:r w:rsidRPr="00AA2F39">
        <w:rPr>
          <w:rStyle w:val="FootnoteReference"/>
          <w:rFonts w:cs="Times New Roman"/>
        </w:rPr>
        <w:footnoteReference w:id="69"/>
      </w:r>
    </w:p>
    <w:p w14:paraId="67D1029D" w14:textId="3C92C2C3" w:rsidR="006E6B19" w:rsidRPr="00AA2F39" w:rsidRDefault="006E6B19" w:rsidP="00F04954">
      <w:pPr>
        <w:spacing w:before="120" w:after="120"/>
        <w:jc w:val="both"/>
        <w:rPr>
          <w:rFonts w:cs="Times New Roman"/>
        </w:rPr>
      </w:pPr>
      <w:r w:rsidRPr="00AA2F39">
        <w:rPr>
          <w:rFonts w:cs="Times New Roman"/>
        </w:rPr>
        <w:t>For out-of-court restructurings, the reform of the German Bond Law was a major step in the right direction. Up until 2009, the restructuring of bond debt would have required the unanimous consent of all creditors. Collective action clauses for the amendment of payment terms were prohibited.</w:t>
      </w:r>
      <w:r w:rsidRPr="00AA2F39">
        <w:rPr>
          <w:rStyle w:val="FootnoteReference"/>
          <w:rFonts w:cs="Times New Roman"/>
        </w:rPr>
        <w:footnoteReference w:id="70"/>
      </w:r>
      <w:r w:rsidRPr="00AA2F39">
        <w:rPr>
          <w:rFonts w:cs="Times New Roman"/>
        </w:rPr>
        <w:t xml:space="preserve"> In case of a dispersed lending structure for bond debt, coordination and cooperation problems would, therefore, often ma</w:t>
      </w:r>
      <w:r w:rsidR="00BE5CBA" w:rsidRPr="00AA2F39">
        <w:rPr>
          <w:rFonts w:cs="Times New Roman"/>
        </w:rPr>
        <w:t>k</w:t>
      </w:r>
      <w:r w:rsidRPr="00AA2F39">
        <w:rPr>
          <w:rFonts w:cs="Times New Roman"/>
        </w:rPr>
        <w:t>e bond debt restructurings out-of-insolvency impossible. With the volume of bond debt as a source for corporate finance becoming increasingly important, the reform in 2009 was a long overdue innovation.</w:t>
      </w:r>
      <w:r w:rsidRPr="00AA2F39">
        <w:rPr>
          <w:rStyle w:val="FootnoteReference"/>
          <w:rFonts w:cs="Times New Roman"/>
        </w:rPr>
        <w:footnoteReference w:id="71"/>
      </w:r>
      <w:r w:rsidRPr="00AA2F39">
        <w:rPr>
          <w:rFonts w:cs="Times New Roman"/>
        </w:rPr>
        <w:t xml:space="preserve"> Albeit </w:t>
      </w:r>
      <w:r w:rsidRPr="00AA2F39">
        <w:rPr>
          <w:rFonts w:cs="Times New Roman"/>
        </w:rPr>
        <w:lastRenderedPageBreak/>
        <w:t xml:space="preserve">an increase in bond financing, banks </w:t>
      </w:r>
      <w:r w:rsidR="007F403E" w:rsidRPr="00AA2F39">
        <w:rPr>
          <w:rFonts w:cs="Times New Roman"/>
        </w:rPr>
        <w:t>continue</w:t>
      </w:r>
      <w:r w:rsidRPr="00AA2F39">
        <w:rPr>
          <w:rFonts w:cs="Times New Roman"/>
        </w:rPr>
        <w:t xml:space="preserve"> to play a big role in German corporate finance. Relationship-lending in a very concentrated credit structure, often with a </w:t>
      </w:r>
      <w:proofErr w:type="spellStart"/>
      <w:r w:rsidRPr="00AA2F39">
        <w:rPr>
          <w:rFonts w:cs="Times New Roman"/>
          <w:i/>
        </w:rPr>
        <w:t>Hausbank</w:t>
      </w:r>
      <w:proofErr w:type="spellEnd"/>
      <w:r w:rsidRPr="00AA2F39">
        <w:rPr>
          <w:rFonts w:cs="Times New Roman"/>
        </w:rPr>
        <w:t xml:space="preserve"> as single/main financial creditor for especially small and middle sized enterprises, provides an explanation for why restructurings in Germany – typically in form of standstills/rescheduling of debt (instead of substantial haircuts) – often work out quite smoothly absent a restructuring-friendly law.</w:t>
      </w:r>
      <w:r w:rsidRPr="00AA2F39">
        <w:rPr>
          <w:rStyle w:val="FootnoteReference"/>
          <w:rFonts w:cs="Times New Roman"/>
        </w:rPr>
        <w:footnoteReference w:id="72"/>
      </w:r>
      <w:r w:rsidRPr="00AA2F39">
        <w:rPr>
          <w:rFonts w:cs="Times New Roman"/>
        </w:rPr>
        <w:t xml:space="preserve"> Informal arrangements generally require stable lending relations and a significant commitment/investment of creditors.</w:t>
      </w:r>
      <w:r w:rsidRPr="00AA2F39">
        <w:rPr>
          <w:rStyle w:val="FootnoteReference"/>
          <w:rFonts w:cs="Times New Roman"/>
        </w:rPr>
        <w:footnoteReference w:id="73"/>
      </w:r>
    </w:p>
    <w:p w14:paraId="585E3134" w14:textId="77777777" w:rsidR="006E6B19" w:rsidRPr="00AA2F39" w:rsidRDefault="006E6B19" w:rsidP="00F04954">
      <w:pPr>
        <w:spacing w:before="120" w:after="120"/>
        <w:jc w:val="both"/>
        <w:rPr>
          <w:rFonts w:cs="Times New Roman"/>
        </w:rPr>
      </w:pPr>
      <w:r w:rsidRPr="00AA2F39">
        <w:rPr>
          <w:rFonts w:cs="Times New Roman"/>
        </w:rPr>
        <w:t xml:space="preserve">Despite a clear trend towards a more restructuring-friendly legal environment in Germany, there remain several key obstacles on the way towards a truly efficient restructuring regime in Germany: </w:t>
      </w:r>
    </w:p>
    <w:p w14:paraId="30926E82" w14:textId="77777777" w:rsidR="006E6B19" w:rsidRPr="00AA2F39" w:rsidRDefault="006E6B19" w:rsidP="00F04954">
      <w:pPr>
        <w:spacing w:before="120" w:after="120"/>
        <w:jc w:val="both"/>
        <w:rPr>
          <w:rFonts w:cs="Times New Roman"/>
        </w:rPr>
      </w:pPr>
      <w:r w:rsidRPr="00AA2F39">
        <w:rPr>
          <w:rFonts w:cs="Times New Roman"/>
        </w:rPr>
        <w:t>First, there is no (solvent) restructuring procedure available under German law without a threshold for the opening of the procedure. A German insolvency procedure may only be opened in case of (imminent) cash-flow insolvency or balance-sheet insolvency.</w:t>
      </w:r>
      <w:r w:rsidRPr="00AA2F39">
        <w:rPr>
          <w:rStyle w:val="FootnoteReference"/>
          <w:rFonts w:cs="Times New Roman"/>
        </w:rPr>
        <w:footnoteReference w:id="74"/>
      </w:r>
      <w:r w:rsidRPr="00AA2F39">
        <w:rPr>
          <w:rFonts w:cs="Times New Roman"/>
        </w:rPr>
        <w:t xml:space="preserve"> If the debtor applies for insolvency, the debtor will have handed over the reins to the insolvency court and regularly to the insolvency practitioner.</w:t>
      </w:r>
      <w:r w:rsidRPr="00AA2F39">
        <w:rPr>
          <w:rStyle w:val="FootnoteReference"/>
          <w:rFonts w:cs="Times New Roman"/>
        </w:rPr>
        <w:footnoteReference w:id="75"/>
      </w:r>
      <w:r w:rsidRPr="00AA2F39">
        <w:rPr>
          <w:rFonts w:cs="Times New Roman"/>
        </w:rPr>
        <w:t xml:space="preserve"> Neither can the debtor exit the procedure on its own, nor can the debtor be sure that its application for a debtor-in-possession procedure will be approved. In practice, the vast majority of insolvency procedures – especially for smaller debtors – remain to be administered by an insolvency practitioner. The German approach is all too often that “one should not put the fox in charge of the henhouse.”</w:t>
      </w:r>
      <w:r w:rsidRPr="00AA2F39">
        <w:rPr>
          <w:rStyle w:val="FootnoteReference"/>
          <w:rFonts w:cs="Times New Roman"/>
        </w:rPr>
        <w:footnoteReference w:id="76"/>
      </w:r>
      <w:r w:rsidRPr="00AA2F39">
        <w:rPr>
          <w:rFonts w:cs="Times New Roman"/>
        </w:rPr>
        <w:t xml:space="preserve"> </w:t>
      </w:r>
    </w:p>
    <w:p w14:paraId="7CA64A2A" w14:textId="05D4C3A3" w:rsidR="006E6B19" w:rsidRPr="00AA2F39" w:rsidRDefault="006E6B19" w:rsidP="00F04954">
      <w:pPr>
        <w:spacing w:before="120" w:after="120"/>
        <w:jc w:val="both"/>
        <w:rPr>
          <w:rFonts w:cs="Times New Roman"/>
        </w:rPr>
      </w:pPr>
      <w:r w:rsidRPr="00AA2F39">
        <w:rPr>
          <w:rFonts w:cs="Times New Roman"/>
        </w:rPr>
        <w:t>Absent a convincingly attractive option to file for insolvency for many debtors, i.e., absent a good prospect to be rewarded with a carrot, the debtor is threatened with a stick under German law. Not only does the debtor face liability for delayed insolvency.</w:t>
      </w:r>
      <w:r w:rsidRPr="00AA2F39">
        <w:rPr>
          <w:rStyle w:val="FootnoteReference"/>
          <w:rFonts w:cs="Times New Roman"/>
        </w:rPr>
        <w:footnoteReference w:id="77"/>
      </w:r>
      <w:r w:rsidRPr="00AA2F39">
        <w:rPr>
          <w:rFonts w:cs="Times New Roman"/>
        </w:rPr>
        <w:t xml:space="preserve"> The debtor may be subject to criminal charges.</w:t>
      </w:r>
      <w:r w:rsidRPr="00AA2F39">
        <w:rPr>
          <w:rStyle w:val="FootnoteReference"/>
          <w:rFonts w:cs="Times New Roman"/>
        </w:rPr>
        <w:footnoteReference w:id="78"/>
      </w:r>
      <w:r w:rsidRPr="00AA2F39">
        <w:rPr>
          <w:rFonts w:cs="Times New Roman"/>
        </w:rPr>
        <w:t xml:space="preserve"> It is for these reasons that debtors regularly wait until the point of no return to file for insolvency; long enough to exploit any possible opportunity for out-of-court turnarounds. </w:t>
      </w:r>
    </w:p>
    <w:p w14:paraId="12781E67" w14:textId="762A2AFF" w:rsidR="006E6B19" w:rsidRPr="00AA2F39" w:rsidRDefault="006E6B19" w:rsidP="00F04954">
      <w:pPr>
        <w:spacing w:before="120" w:after="120"/>
        <w:jc w:val="both"/>
        <w:rPr>
          <w:rFonts w:cs="Times New Roman"/>
        </w:rPr>
      </w:pPr>
      <w:r w:rsidRPr="00AA2F39">
        <w:rPr>
          <w:rFonts w:cs="Times New Roman"/>
        </w:rPr>
        <w:t xml:space="preserve">The harsh punishment </w:t>
      </w:r>
      <w:r w:rsidR="007F403E" w:rsidRPr="00AA2F39">
        <w:rPr>
          <w:rFonts w:cs="Times New Roman"/>
        </w:rPr>
        <w:t>that</w:t>
      </w:r>
      <w:r w:rsidRPr="00AA2F39">
        <w:rPr>
          <w:rFonts w:cs="Times New Roman"/>
        </w:rPr>
        <w:t xml:space="preserve"> may follow an insolvent debtor’s </w:t>
      </w:r>
      <w:r w:rsidR="007F403E" w:rsidRPr="00AA2F39">
        <w:rPr>
          <w:rFonts w:cs="Times New Roman"/>
        </w:rPr>
        <w:t>misbehaviour</w:t>
      </w:r>
      <w:r w:rsidRPr="00AA2F39">
        <w:rPr>
          <w:rFonts w:cs="Times New Roman"/>
        </w:rPr>
        <w:t xml:space="preserve"> </w:t>
      </w:r>
      <w:r w:rsidR="007F403E" w:rsidRPr="00AA2F39">
        <w:rPr>
          <w:rFonts w:cs="Times New Roman"/>
        </w:rPr>
        <w:t>in parallel with</w:t>
      </w:r>
      <w:r w:rsidRPr="00AA2F39">
        <w:rPr>
          <w:rFonts w:cs="Times New Roman"/>
        </w:rPr>
        <w:t xml:space="preserve"> the frequency of forced administration procedures (instead of debtor-in-possession restructurings) still contribute towards the stigma of insolvency, which itself can be a powerful deterrent for debtors and directors to file for insolvency.</w:t>
      </w:r>
      <w:r w:rsidRPr="00AA2F39">
        <w:rPr>
          <w:rStyle w:val="FootnoteReference"/>
          <w:rFonts w:cs="Times New Roman"/>
        </w:rPr>
        <w:footnoteReference w:id="79"/>
      </w:r>
    </w:p>
    <w:p w14:paraId="253313AF" w14:textId="609C3056" w:rsidR="006E6B19" w:rsidRPr="00AA2F39" w:rsidRDefault="006E6B19" w:rsidP="00F04954">
      <w:pPr>
        <w:spacing w:before="120" w:after="120"/>
        <w:jc w:val="both"/>
        <w:rPr>
          <w:rFonts w:cs="Times New Roman"/>
        </w:rPr>
      </w:pPr>
      <w:r w:rsidRPr="00AA2F39">
        <w:rPr>
          <w:rFonts w:cs="Times New Roman"/>
        </w:rPr>
        <w:t>Second, out-of-court restructurings are being inhibited by the insolvency law itself as well as by ambiguity in the German tax law, so that many German debtor</w:t>
      </w:r>
      <w:r w:rsidR="007F403E" w:rsidRPr="00AA2F39">
        <w:rPr>
          <w:rFonts w:cs="Times New Roman"/>
        </w:rPr>
        <w:t>s</w:t>
      </w:r>
      <w:r w:rsidRPr="00AA2F39">
        <w:rPr>
          <w:rFonts w:cs="Times New Roman"/>
        </w:rPr>
        <w:t xml:space="preserve"> are incentivized to try to find a solution all by themselves. A threat to creditors and debtors alike has been the very strict German avoidance law. A creditor’s cooperation in restructuring negotiations exposing its knowledge of the debtor’s precarious financial situation regularly put</w:t>
      </w:r>
      <w:r w:rsidR="007F403E" w:rsidRPr="00AA2F39">
        <w:rPr>
          <w:rFonts w:cs="Times New Roman"/>
        </w:rPr>
        <w:t>s</w:t>
      </w:r>
      <w:r w:rsidRPr="00AA2F39">
        <w:rPr>
          <w:rFonts w:cs="Times New Roman"/>
        </w:rPr>
        <w:t xml:space="preserve"> any future transactions </w:t>
      </w:r>
      <w:r w:rsidR="007F403E" w:rsidRPr="00AA2F39">
        <w:rPr>
          <w:rFonts w:cs="Times New Roman"/>
        </w:rPr>
        <w:t>with</w:t>
      </w:r>
      <w:r w:rsidRPr="00AA2F39">
        <w:rPr>
          <w:rFonts w:cs="Times New Roman"/>
        </w:rPr>
        <w:t xml:space="preserve"> such creditor at the risk of avoidance and recovery. A recent reform of the </w:t>
      </w:r>
      <w:r w:rsidRPr="00AA2F39">
        <w:rPr>
          <w:rFonts w:cs="Times New Roman"/>
        </w:rPr>
        <w:lastRenderedPageBreak/>
        <w:t>avoidance law in 2017 has lessened but not removed this problem from the parties’ calculation.</w:t>
      </w:r>
      <w:r w:rsidRPr="00AA2F39">
        <w:rPr>
          <w:rStyle w:val="FootnoteReference"/>
          <w:rFonts w:cs="Times New Roman"/>
        </w:rPr>
        <w:footnoteReference w:id="80"/>
      </w:r>
      <w:r w:rsidRPr="00AA2F39">
        <w:rPr>
          <w:rFonts w:cs="Times New Roman"/>
        </w:rPr>
        <w:t xml:space="preserve"> The creditor’s cooperation and especially the advancement of new credit in times of financial distress </w:t>
      </w:r>
      <w:r w:rsidR="007F403E" w:rsidRPr="00AA2F39">
        <w:rPr>
          <w:rFonts w:cs="Times New Roman"/>
        </w:rPr>
        <w:t>continue</w:t>
      </w:r>
      <w:r w:rsidRPr="00AA2F39">
        <w:rPr>
          <w:rFonts w:cs="Times New Roman"/>
        </w:rPr>
        <w:t xml:space="preserve"> to be </w:t>
      </w:r>
      <w:r w:rsidR="005D6533" w:rsidRPr="00AA2F39">
        <w:rPr>
          <w:rFonts w:cs="Times New Roman"/>
        </w:rPr>
        <w:t xml:space="preserve">a </w:t>
      </w:r>
      <w:r w:rsidRPr="00AA2F39">
        <w:rPr>
          <w:rFonts w:cs="Times New Roman"/>
        </w:rPr>
        <w:t>risky undertaking considering that the creditor may find itself subject to avoidance (and possibly even liability) if a court finds the creditor’s cooperation to have disadvantaged other creditors.</w:t>
      </w:r>
      <w:r w:rsidRPr="00AA2F39">
        <w:rPr>
          <w:rStyle w:val="FootnoteReference"/>
          <w:rFonts w:cs="Times New Roman"/>
        </w:rPr>
        <w:footnoteReference w:id="81"/>
      </w:r>
      <w:r w:rsidRPr="00AA2F39">
        <w:rPr>
          <w:rFonts w:cs="Times New Roman"/>
        </w:rPr>
        <w:t xml:space="preserve"> Another obstacle to successful restructurings out-of-court is the risk that a debt relief negotiated between creditors and </w:t>
      </w:r>
      <w:r w:rsidR="005D6533" w:rsidRPr="00AA2F39">
        <w:rPr>
          <w:rFonts w:cs="Times New Roman"/>
        </w:rPr>
        <w:t xml:space="preserve">a </w:t>
      </w:r>
      <w:r w:rsidRPr="00AA2F39">
        <w:rPr>
          <w:rFonts w:cs="Times New Roman"/>
        </w:rPr>
        <w:t>debtor may be treated as a taxable benefit. The legal treatment of a debt relief is still uncertain. While the creditors might be willing to make concessions for a value-maximising debt restructuring which should increase their chance to be repaid their adjusted debt claim post-restructuring, creditors would understandably be less willing to agree to a restructuring to the benefit of the German treasury.</w:t>
      </w:r>
      <w:r w:rsidRPr="00AA2F39">
        <w:rPr>
          <w:rStyle w:val="FootnoteReference"/>
          <w:rFonts w:cs="Times New Roman"/>
        </w:rPr>
        <w:footnoteReference w:id="82"/>
      </w:r>
      <w:r w:rsidRPr="00AA2F39">
        <w:rPr>
          <w:rFonts w:cs="Times New Roman"/>
        </w:rPr>
        <w:t xml:space="preserve"> </w:t>
      </w:r>
    </w:p>
    <w:p w14:paraId="3386F83E" w14:textId="756715B3" w:rsidR="006E6B19" w:rsidRPr="00AA2F39" w:rsidRDefault="006E6B19" w:rsidP="00F04954">
      <w:pPr>
        <w:spacing w:before="120" w:after="120"/>
        <w:jc w:val="both"/>
        <w:rPr>
          <w:rFonts w:cs="Times New Roman"/>
        </w:rPr>
      </w:pPr>
      <w:r w:rsidRPr="00AA2F39">
        <w:rPr>
          <w:rFonts w:cs="Times New Roman"/>
        </w:rPr>
        <w:t xml:space="preserve">Germany has certainly made progress in the development of its insolvency law. Considering that the lending structure </w:t>
      </w:r>
      <w:r w:rsidR="007F403E" w:rsidRPr="00AA2F39">
        <w:rPr>
          <w:rFonts w:cs="Times New Roman"/>
        </w:rPr>
        <w:t>continues</w:t>
      </w:r>
      <w:r w:rsidRPr="00AA2F39">
        <w:rPr>
          <w:rFonts w:cs="Times New Roman"/>
        </w:rPr>
        <w:t xml:space="preserve"> to be rather concentrated, it may be well argued that the insolvency law does not have to follow suit with the debtor-friendly US model of Chapter 11, which finds its justification in the absence of coordinated creditor action so that the debtor itself must be incentivized to file for the opening of the US bankruptcy procedure.</w:t>
      </w:r>
      <w:r w:rsidRPr="00AA2F39">
        <w:rPr>
          <w:rStyle w:val="FootnoteReference"/>
          <w:rFonts w:cs="Times New Roman"/>
        </w:rPr>
        <w:footnoteReference w:id="83"/>
      </w:r>
      <w:r w:rsidRPr="00AA2F39">
        <w:rPr>
          <w:rFonts w:cs="Times New Roman"/>
        </w:rPr>
        <w:t xml:space="preserve"> However, it would be in the best interests of the creditors if especially obstacles for an out-of-court restructuring option would be removed so that at least contractual arrangements for coordinated creditor action could effectively compensate for a the lack of an early court-light restructuring option. </w:t>
      </w:r>
    </w:p>
    <w:p w14:paraId="583A6083" w14:textId="77777777" w:rsidR="00F04954" w:rsidRPr="00AA2F39" w:rsidRDefault="00F04954" w:rsidP="00F04954">
      <w:pPr>
        <w:spacing w:before="120" w:after="120"/>
        <w:jc w:val="both"/>
        <w:rPr>
          <w:rFonts w:cs="Times New Roman"/>
        </w:rPr>
      </w:pPr>
    </w:p>
    <w:p w14:paraId="1D778D7A" w14:textId="4CB4AE37" w:rsidR="006E6B19" w:rsidRPr="00AA2F39" w:rsidRDefault="00F04954" w:rsidP="00F04954">
      <w:pPr>
        <w:spacing w:before="120" w:after="120"/>
        <w:jc w:val="both"/>
        <w:rPr>
          <w:rFonts w:cs="Times New Roman"/>
          <w:b/>
        </w:rPr>
      </w:pPr>
      <w:r w:rsidRPr="00AA2F39">
        <w:rPr>
          <w:rFonts w:cs="Times New Roman"/>
          <w:b/>
        </w:rPr>
        <w:t>3.4</w:t>
      </w:r>
      <w:r w:rsidR="006E6B19" w:rsidRPr="00AA2F39">
        <w:rPr>
          <w:rFonts w:cs="Times New Roman"/>
          <w:b/>
        </w:rPr>
        <w:tab/>
        <w:t>The Netherlands</w:t>
      </w:r>
    </w:p>
    <w:p w14:paraId="0E7B3002" w14:textId="498AF997" w:rsidR="006E6B19" w:rsidRPr="00AA2F39" w:rsidRDefault="006E6B19" w:rsidP="00F04954">
      <w:pPr>
        <w:spacing w:before="120" w:after="120"/>
        <w:jc w:val="both"/>
        <w:rPr>
          <w:rFonts w:cs="Times New Roman"/>
        </w:rPr>
      </w:pPr>
      <w:r w:rsidRPr="00AA2F39">
        <w:rPr>
          <w:rFonts w:cs="Times New Roman"/>
        </w:rPr>
        <w:t>When looking at the law at the books, the Dutch Bankruptcy Act (“DBA”) may seem restructuring hostile. The available tools for restructuring a distressed business are limited. Besides suspension of payment (</w:t>
      </w:r>
      <w:proofErr w:type="spellStart"/>
      <w:r w:rsidRPr="00AA2F39">
        <w:rPr>
          <w:rFonts w:cs="Times New Roman"/>
          <w:i/>
        </w:rPr>
        <w:t>surseance</w:t>
      </w:r>
      <w:proofErr w:type="spellEnd"/>
      <w:r w:rsidRPr="00AA2F39">
        <w:rPr>
          <w:rFonts w:cs="Times New Roman"/>
          <w:i/>
        </w:rPr>
        <w:t xml:space="preserve"> van </w:t>
      </w:r>
      <w:proofErr w:type="spellStart"/>
      <w:r w:rsidRPr="00AA2F39">
        <w:rPr>
          <w:rFonts w:cs="Times New Roman"/>
          <w:i/>
        </w:rPr>
        <w:t>betaling</w:t>
      </w:r>
      <w:proofErr w:type="spellEnd"/>
      <w:r w:rsidRPr="00AA2F39">
        <w:rPr>
          <w:rFonts w:cs="Times New Roman"/>
        </w:rPr>
        <w:t xml:space="preserve">), there are no specific formal or pre-insolvency </w:t>
      </w:r>
      <w:r w:rsidR="005D6533" w:rsidRPr="00AA2F39">
        <w:rPr>
          <w:rFonts w:cs="Times New Roman"/>
        </w:rPr>
        <w:t xml:space="preserve">restructuring </w:t>
      </w:r>
      <w:r w:rsidRPr="00AA2F39">
        <w:rPr>
          <w:rFonts w:cs="Times New Roman"/>
        </w:rPr>
        <w:t>proceedings available. In addition, several core elements that have been emphasised by the EU legislator for fostering a European business culture are not yet present.</w:t>
      </w:r>
      <w:r w:rsidRPr="00AA2F39">
        <w:rPr>
          <w:rStyle w:val="FootnoteReference"/>
          <w:rFonts w:cs="Times New Roman"/>
        </w:rPr>
        <w:footnoteReference w:id="84"/>
      </w:r>
      <w:r w:rsidRPr="00AA2F39">
        <w:rPr>
          <w:rFonts w:cs="Times New Roman"/>
        </w:rPr>
        <w:t xml:space="preserve"> The DBA does not provide for a debtor in possession, where, with limited court involvement, a restructuring plan can be adopted by a majority, following a cross-class cram-down</w:t>
      </w:r>
      <w:r w:rsidR="00F86CDD">
        <w:rPr>
          <w:rFonts w:cs="Times New Roman"/>
        </w:rPr>
        <w:t xml:space="preserve"> of dissenting creditors</w:t>
      </w:r>
      <w:r w:rsidRPr="00AA2F39">
        <w:rPr>
          <w:rFonts w:cs="Times New Roman"/>
        </w:rPr>
        <w:t xml:space="preserve">, which may be confirmed by the court. Nor is it possible to request a temporary stay of individual enforcement actions when there is only a likelihood of </w:t>
      </w:r>
      <w:r w:rsidRPr="00AA2F39">
        <w:rPr>
          <w:rFonts w:cs="Times New Roman"/>
        </w:rPr>
        <w:lastRenderedPageBreak/>
        <w:t>insolvency. Still, within the existing legal framework a well-established insolvency practice has emerged, also providing for the rescue of businesses in distress.</w:t>
      </w:r>
      <w:r w:rsidRPr="00AA2F39">
        <w:rPr>
          <w:rStyle w:val="FootnoteReference"/>
          <w:rFonts w:cs="Times New Roman"/>
        </w:rPr>
        <w:footnoteReference w:id="85"/>
      </w:r>
    </w:p>
    <w:p w14:paraId="26ED6710" w14:textId="1429190A" w:rsidR="006E6B19" w:rsidRPr="00AA2F39" w:rsidRDefault="006E6B19" w:rsidP="00F04954">
      <w:pPr>
        <w:spacing w:before="120" w:after="120"/>
        <w:jc w:val="both"/>
        <w:rPr>
          <w:rFonts w:cs="Times New Roman"/>
        </w:rPr>
      </w:pPr>
      <w:r w:rsidRPr="00AA2F39">
        <w:rPr>
          <w:rFonts w:cs="Times New Roman"/>
        </w:rPr>
        <w:t>The DBA provides for three formal insolvency proceedings: (</w:t>
      </w:r>
      <w:proofErr w:type="spellStart"/>
      <w:r w:rsidRPr="00AA2F39">
        <w:rPr>
          <w:rFonts w:cs="Times New Roman"/>
        </w:rPr>
        <w:t>i</w:t>
      </w:r>
      <w:proofErr w:type="spellEnd"/>
      <w:r w:rsidRPr="00AA2F39">
        <w:rPr>
          <w:rFonts w:cs="Times New Roman"/>
        </w:rPr>
        <w:t>) bankruptcy (</w:t>
      </w:r>
      <w:proofErr w:type="spellStart"/>
      <w:r w:rsidRPr="00AA2F39">
        <w:rPr>
          <w:rFonts w:cs="Times New Roman"/>
          <w:i/>
        </w:rPr>
        <w:t>faillissement</w:t>
      </w:r>
      <w:proofErr w:type="spellEnd"/>
      <w:r w:rsidRPr="00AA2F39">
        <w:rPr>
          <w:rFonts w:cs="Times New Roman"/>
        </w:rPr>
        <w:t>),</w:t>
      </w:r>
      <w:r w:rsidRPr="00AA2F39">
        <w:rPr>
          <w:rStyle w:val="FootnoteReference"/>
          <w:rFonts w:cs="Times New Roman"/>
        </w:rPr>
        <w:footnoteReference w:id="86"/>
      </w:r>
      <w:r w:rsidRPr="00AA2F39">
        <w:rPr>
          <w:rFonts w:cs="Times New Roman"/>
        </w:rPr>
        <w:t xml:space="preserve"> (ii) suspension of payment</w:t>
      </w:r>
      <w:r w:rsidRPr="00AA2F39">
        <w:rPr>
          <w:rStyle w:val="FootnoteReference"/>
          <w:rFonts w:cs="Times New Roman"/>
        </w:rPr>
        <w:footnoteReference w:id="87"/>
      </w:r>
      <w:r w:rsidRPr="00AA2F39">
        <w:rPr>
          <w:rFonts w:cs="Times New Roman"/>
        </w:rPr>
        <w:t xml:space="preserve"> (iii) personal debt rescheduling (</w:t>
      </w:r>
      <w:proofErr w:type="spellStart"/>
      <w:r w:rsidRPr="00AA2F39">
        <w:rPr>
          <w:rFonts w:cs="Times New Roman"/>
          <w:i/>
        </w:rPr>
        <w:t>schuldsanering</w:t>
      </w:r>
      <w:proofErr w:type="spellEnd"/>
      <w:r w:rsidRPr="00AA2F39">
        <w:rPr>
          <w:rFonts w:cs="Times New Roman"/>
          <w:i/>
        </w:rPr>
        <w:t xml:space="preserve"> </w:t>
      </w:r>
      <w:proofErr w:type="spellStart"/>
      <w:r w:rsidRPr="00AA2F39">
        <w:rPr>
          <w:rFonts w:cs="Times New Roman"/>
          <w:i/>
        </w:rPr>
        <w:t>natuurlijke</w:t>
      </w:r>
      <w:proofErr w:type="spellEnd"/>
      <w:r w:rsidRPr="00AA2F39">
        <w:rPr>
          <w:rFonts w:cs="Times New Roman"/>
          <w:i/>
        </w:rPr>
        <w:t xml:space="preserve"> </w:t>
      </w:r>
      <w:proofErr w:type="spellStart"/>
      <w:r w:rsidRPr="00AA2F39">
        <w:rPr>
          <w:rFonts w:cs="Times New Roman"/>
          <w:i/>
        </w:rPr>
        <w:t>personen</w:t>
      </w:r>
      <w:proofErr w:type="spellEnd"/>
      <w:r w:rsidRPr="00AA2F39">
        <w:rPr>
          <w:rFonts w:cs="Times New Roman"/>
        </w:rPr>
        <w:t>)</w:t>
      </w:r>
      <w:r w:rsidRPr="00AA2F39">
        <w:rPr>
          <w:rFonts w:cs="Times New Roman"/>
          <w:i/>
        </w:rPr>
        <w:t>.</w:t>
      </w:r>
      <w:r w:rsidRPr="00AA2F39">
        <w:rPr>
          <w:rStyle w:val="FootnoteReference"/>
          <w:rFonts w:cs="Times New Roman"/>
          <w:i/>
        </w:rPr>
        <w:footnoteReference w:id="88"/>
      </w:r>
      <w:r w:rsidRPr="00AA2F39">
        <w:rPr>
          <w:rFonts w:cs="Times New Roman"/>
        </w:rPr>
        <w:t xml:space="preserve"> Only the former two proceedings are available for corporate debtors. Suspension of payment aims at facilitating the continuation of (imminently) insolvent, but viable, companies</w:t>
      </w:r>
      <w:r w:rsidR="001858A5" w:rsidRPr="00AA2F39">
        <w:rPr>
          <w:rFonts w:cs="Times New Roman"/>
        </w:rPr>
        <w:t>, which can be requested only by the debtor</w:t>
      </w:r>
      <w:r w:rsidRPr="00AA2F39">
        <w:rPr>
          <w:rFonts w:cs="Times New Roman"/>
        </w:rPr>
        <w:t>. This proceeding provides for a stay o</w:t>
      </w:r>
      <w:r w:rsidR="001858A5" w:rsidRPr="00AA2F39">
        <w:rPr>
          <w:rFonts w:cs="Times New Roman"/>
        </w:rPr>
        <w:t>f</w:t>
      </w:r>
      <w:r w:rsidRPr="00AA2F39">
        <w:rPr>
          <w:rFonts w:cs="Times New Roman"/>
        </w:rPr>
        <w:t xml:space="preserve"> the non-secured creditors, providing the debtor with time to reorganise the business in order to regain viability.</w:t>
      </w:r>
      <w:r w:rsidRPr="00AA2F39">
        <w:rPr>
          <w:rStyle w:val="FootnoteReference"/>
          <w:rFonts w:cs="Times New Roman"/>
        </w:rPr>
        <w:footnoteReference w:id="89"/>
      </w:r>
      <w:r w:rsidRPr="00AA2F39">
        <w:rPr>
          <w:rFonts w:cs="Times New Roman"/>
        </w:rPr>
        <w:t xml:space="preserve"> In practice, this proceeding is perceived as a forerunner for requesting the opening of formal insolvency proceedings.</w:t>
      </w:r>
      <w:r w:rsidRPr="00AA2F39">
        <w:rPr>
          <w:rStyle w:val="FootnoteReference"/>
          <w:rFonts w:cs="Times New Roman"/>
        </w:rPr>
        <w:footnoteReference w:id="90"/>
      </w:r>
      <w:r w:rsidRPr="00AA2F39">
        <w:rPr>
          <w:rFonts w:cs="Times New Roman"/>
        </w:rPr>
        <w:t xml:space="preserve"> Bankruptcy is directed at </w:t>
      </w:r>
      <w:r w:rsidR="005D6533" w:rsidRPr="00AA2F39">
        <w:rPr>
          <w:rFonts w:cs="Times New Roman"/>
        </w:rPr>
        <w:t xml:space="preserve">the </w:t>
      </w:r>
      <w:r w:rsidRPr="00AA2F39">
        <w:rPr>
          <w:rFonts w:cs="Times New Roman"/>
        </w:rPr>
        <w:t>liquidation of the debtor</w:t>
      </w:r>
      <w:r w:rsidR="00D3194C" w:rsidRPr="00AA2F39">
        <w:rPr>
          <w:rFonts w:cs="Times New Roman"/>
        </w:rPr>
        <w:t xml:space="preserve"> and </w:t>
      </w:r>
      <w:r w:rsidR="001858A5" w:rsidRPr="00AA2F39">
        <w:rPr>
          <w:rFonts w:cs="Times New Roman"/>
        </w:rPr>
        <w:t>commencement of bankruptcy can be requested by the debtor and the creditors</w:t>
      </w:r>
      <w:r w:rsidRPr="00AA2F39">
        <w:rPr>
          <w:rFonts w:cs="Times New Roman"/>
        </w:rPr>
        <w:t>. In practice, the insolvency practitioner (</w:t>
      </w:r>
      <w:r w:rsidRPr="00AA2F39">
        <w:rPr>
          <w:rFonts w:cs="Times New Roman"/>
          <w:i/>
        </w:rPr>
        <w:t>curator</w:t>
      </w:r>
      <w:r w:rsidRPr="00AA2F39">
        <w:rPr>
          <w:rFonts w:cs="Times New Roman"/>
        </w:rPr>
        <w:t>)</w:t>
      </w:r>
      <w:r w:rsidRPr="00AA2F39">
        <w:rPr>
          <w:rFonts w:cs="Times New Roman"/>
          <w:i/>
        </w:rPr>
        <w:t xml:space="preserve"> </w:t>
      </w:r>
      <w:r w:rsidR="001858A5" w:rsidRPr="00AA2F39">
        <w:rPr>
          <w:rFonts w:cs="Times New Roman"/>
        </w:rPr>
        <w:t xml:space="preserve">in bankruptcy </w:t>
      </w:r>
      <w:r w:rsidRPr="00AA2F39">
        <w:rPr>
          <w:rFonts w:cs="Times New Roman"/>
        </w:rPr>
        <w:t xml:space="preserve">will pursue a (partial) going-concern sale where the company is perceived to be still </w:t>
      </w:r>
      <w:r w:rsidR="005D6533" w:rsidRPr="00AA2F39">
        <w:rPr>
          <w:rFonts w:cs="Times New Roman"/>
        </w:rPr>
        <w:t xml:space="preserve">(partly) </w:t>
      </w:r>
      <w:r w:rsidRPr="00AA2F39">
        <w:rPr>
          <w:rFonts w:cs="Times New Roman"/>
        </w:rPr>
        <w:t>viable and where this is in the best interest of the creditors.</w:t>
      </w:r>
    </w:p>
    <w:p w14:paraId="7C979C56" w14:textId="0F010BE3" w:rsidR="006E6B19" w:rsidRPr="00AA2F39" w:rsidRDefault="006E6B19" w:rsidP="00F04954">
      <w:pPr>
        <w:spacing w:before="120" w:after="120"/>
        <w:jc w:val="both"/>
        <w:rPr>
          <w:rFonts w:cs="Times New Roman"/>
          <w:i/>
        </w:rPr>
      </w:pPr>
      <w:r w:rsidRPr="00AA2F39">
        <w:rPr>
          <w:rFonts w:cs="Times New Roman"/>
        </w:rPr>
        <w:t>In addition to formal insolvency proceedings, the debtor may propose an out-of-court composition to its creditors (</w:t>
      </w:r>
      <w:proofErr w:type="spellStart"/>
      <w:r w:rsidRPr="00AA2F39">
        <w:rPr>
          <w:rFonts w:cs="Times New Roman"/>
          <w:i/>
        </w:rPr>
        <w:t>buitengerechtelijk</w:t>
      </w:r>
      <w:proofErr w:type="spellEnd"/>
      <w:r w:rsidRPr="00AA2F39">
        <w:rPr>
          <w:rFonts w:cs="Times New Roman"/>
          <w:i/>
        </w:rPr>
        <w:t xml:space="preserve"> </w:t>
      </w:r>
      <w:proofErr w:type="spellStart"/>
      <w:r w:rsidRPr="00AA2F39">
        <w:rPr>
          <w:rFonts w:cs="Times New Roman"/>
          <w:i/>
        </w:rPr>
        <w:t>akkoord</w:t>
      </w:r>
      <w:proofErr w:type="spellEnd"/>
      <w:r w:rsidRPr="00AA2F39">
        <w:rPr>
          <w:rFonts w:cs="Times New Roman"/>
        </w:rPr>
        <w:t>). This requires full support of the creditors, which limits its use significantly. Hold-out creditors many times prevent such a composition. Also, banks will usually play a significant role since the Dutch financial market is characterised by a limited group of large banks and availability of alternative sources of financial means is limited. Within formal insolvency proceedings it is also possible to propose a composition</w:t>
      </w:r>
      <w:r w:rsidR="00D3194C" w:rsidRPr="00AA2F39">
        <w:rPr>
          <w:rFonts w:cs="Times New Roman"/>
        </w:rPr>
        <w:t>.</w:t>
      </w:r>
      <w:r w:rsidRPr="00AA2F39">
        <w:rPr>
          <w:rStyle w:val="FootnoteReference"/>
          <w:rFonts w:cs="Times New Roman"/>
        </w:rPr>
        <w:footnoteReference w:id="91"/>
      </w:r>
      <w:r w:rsidRPr="00AA2F39">
        <w:rPr>
          <w:rFonts w:cs="Times New Roman"/>
        </w:rPr>
        <w:t xml:space="preserve"> </w:t>
      </w:r>
      <w:r w:rsidR="00D3194C" w:rsidRPr="00AA2F39">
        <w:rPr>
          <w:rFonts w:cs="Times New Roman"/>
        </w:rPr>
        <w:t>W</w:t>
      </w:r>
      <w:r w:rsidRPr="00AA2F39">
        <w:rPr>
          <w:rFonts w:cs="Times New Roman"/>
        </w:rPr>
        <w:t xml:space="preserve">hen the quorum is </w:t>
      </w:r>
      <w:r w:rsidR="00D3194C" w:rsidRPr="00AA2F39">
        <w:rPr>
          <w:rFonts w:cs="Times New Roman"/>
        </w:rPr>
        <w:t>met,</w:t>
      </w:r>
      <w:r w:rsidRPr="00AA2F39">
        <w:rPr>
          <w:rFonts w:cs="Times New Roman"/>
        </w:rPr>
        <w:t xml:space="preserve"> and the composition is confirmed</w:t>
      </w:r>
      <w:r w:rsidR="001858A5" w:rsidRPr="00AA2F39">
        <w:rPr>
          <w:rFonts w:cs="Times New Roman"/>
        </w:rPr>
        <w:t xml:space="preserve"> by the cou</w:t>
      </w:r>
      <w:r w:rsidR="00D3194C" w:rsidRPr="00AA2F39">
        <w:rPr>
          <w:rFonts w:cs="Times New Roman"/>
        </w:rPr>
        <w:t>rt</w:t>
      </w:r>
      <w:r w:rsidRPr="00AA2F39">
        <w:rPr>
          <w:rFonts w:cs="Times New Roman"/>
        </w:rPr>
        <w:t>, it becomes binding on all creditors</w:t>
      </w:r>
      <w:r w:rsidR="005D6533" w:rsidRPr="00AA2F39">
        <w:rPr>
          <w:rFonts w:cs="Times New Roman"/>
        </w:rPr>
        <w:t>. Therefore, it is also referred to as a compulsory composition (</w:t>
      </w:r>
      <w:proofErr w:type="spellStart"/>
      <w:r w:rsidR="005D6533" w:rsidRPr="00AA2F39">
        <w:rPr>
          <w:rFonts w:cs="Times New Roman"/>
          <w:i/>
        </w:rPr>
        <w:t>dwangakkoord</w:t>
      </w:r>
      <w:proofErr w:type="spellEnd"/>
      <w:r w:rsidR="005D6533" w:rsidRPr="00AA2F39">
        <w:rPr>
          <w:rFonts w:cs="Times New Roman"/>
          <w:i/>
        </w:rPr>
        <w:t>)</w:t>
      </w:r>
      <w:r w:rsidRPr="00AA2F39">
        <w:rPr>
          <w:rFonts w:cs="Times New Roman"/>
        </w:rPr>
        <w:t>.</w:t>
      </w:r>
      <w:r w:rsidRPr="00AA2F39">
        <w:rPr>
          <w:rStyle w:val="FootnoteReference"/>
          <w:rFonts w:cs="Times New Roman"/>
        </w:rPr>
        <w:footnoteReference w:id="92"/>
      </w:r>
    </w:p>
    <w:p w14:paraId="5F55930A" w14:textId="125A05D1" w:rsidR="006E6B19" w:rsidRPr="00AA2F39" w:rsidRDefault="006E6B19" w:rsidP="00F04954">
      <w:pPr>
        <w:spacing w:before="120" w:after="120"/>
        <w:jc w:val="both"/>
        <w:rPr>
          <w:rFonts w:cs="Times New Roman"/>
        </w:rPr>
      </w:pPr>
      <w:r w:rsidRPr="00AA2F39">
        <w:rPr>
          <w:rFonts w:cs="Times New Roman"/>
        </w:rPr>
        <w:t xml:space="preserve">In recent years, several attempts have been made to reform the DBA, also aiming at improving the options for restructuring. In 2007, a proposal for full reform of the DBA was </w:t>
      </w:r>
      <w:r w:rsidR="00D3194C" w:rsidRPr="00AA2F39">
        <w:rPr>
          <w:rFonts w:cs="Times New Roman"/>
        </w:rPr>
        <w:t>presented</w:t>
      </w:r>
      <w:r w:rsidRPr="00AA2F39">
        <w:rPr>
          <w:rFonts w:cs="Times New Roman"/>
        </w:rPr>
        <w:t xml:space="preserve">, which would </w:t>
      </w:r>
      <w:r w:rsidR="00D3194C" w:rsidRPr="00AA2F39">
        <w:rPr>
          <w:rFonts w:cs="Times New Roman"/>
        </w:rPr>
        <w:t xml:space="preserve">have </w:t>
      </w:r>
      <w:r w:rsidRPr="00AA2F39">
        <w:rPr>
          <w:rFonts w:cs="Times New Roman"/>
        </w:rPr>
        <w:t>introduce</w:t>
      </w:r>
      <w:r w:rsidR="00D3194C" w:rsidRPr="00AA2F39">
        <w:rPr>
          <w:rFonts w:cs="Times New Roman"/>
        </w:rPr>
        <w:t>d</w:t>
      </w:r>
      <w:r w:rsidRPr="00AA2F39">
        <w:rPr>
          <w:rFonts w:cs="Times New Roman"/>
        </w:rPr>
        <w:t xml:space="preserve"> more restructuring tools, including a Dutch scheme of arrangement.</w:t>
      </w:r>
      <w:r w:rsidRPr="00AA2F39">
        <w:rPr>
          <w:rStyle w:val="FootnoteReference"/>
          <w:rFonts w:cs="Times New Roman"/>
        </w:rPr>
        <w:footnoteReference w:id="93"/>
      </w:r>
      <w:r w:rsidRPr="00AA2F39">
        <w:rPr>
          <w:rFonts w:cs="Times New Roman"/>
        </w:rPr>
        <w:t xml:space="preserve"> However, in 2011 this proposal for substantive reform of the DBA was rejected as a substantive legislative reform was considered unfeasible at that time. Following the rise of insolvency proceedings, the market would require a reliable insolvency law. Instead, the minister presented in 2012 a legislative program for the recalibration of specific elements of Dutch insolvency law.</w:t>
      </w:r>
      <w:r w:rsidRPr="00AA2F39">
        <w:rPr>
          <w:rStyle w:val="FootnoteReference"/>
          <w:rFonts w:cs="Times New Roman"/>
        </w:rPr>
        <w:footnoteReference w:id="94"/>
      </w:r>
      <w:r w:rsidRPr="00AA2F39">
        <w:rPr>
          <w:rFonts w:cs="Times New Roman"/>
        </w:rPr>
        <w:t xml:space="preserve"> One of the three pillars</w:t>
      </w:r>
      <w:r w:rsidRPr="00AA2F39">
        <w:rPr>
          <w:rStyle w:val="FootnoteReference"/>
          <w:rFonts w:cs="Times New Roman"/>
        </w:rPr>
        <w:footnoteReference w:id="95"/>
      </w:r>
      <w:r w:rsidRPr="00AA2F39">
        <w:rPr>
          <w:rFonts w:cs="Times New Roman"/>
        </w:rPr>
        <w:t xml:space="preserve"> of this program regards the introduction of more effective tools to promote restructuring of distressed businesses and will bring forward three legislative proposals. It includes</w:t>
      </w:r>
      <w:r w:rsidR="007F0E6E" w:rsidRPr="00AA2F39">
        <w:rPr>
          <w:rFonts w:cs="Times New Roman"/>
        </w:rPr>
        <w:t>:</w:t>
      </w:r>
      <w:r w:rsidRPr="00AA2F39">
        <w:rPr>
          <w:rFonts w:cs="Times New Roman"/>
        </w:rPr>
        <w:t xml:space="preserve"> (i) a Dutch pre-pack (</w:t>
      </w:r>
      <w:r w:rsidRPr="00AA2F39">
        <w:rPr>
          <w:rFonts w:cs="Times New Roman"/>
          <w:i/>
        </w:rPr>
        <w:t xml:space="preserve">Wet </w:t>
      </w:r>
      <w:proofErr w:type="spellStart"/>
      <w:r w:rsidRPr="00AA2F39">
        <w:rPr>
          <w:rFonts w:cs="Times New Roman"/>
          <w:i/>
        </w:rPr>
        <w:t>Continuïteit</w:t>
      </w:r>
      <w:proofErr w:type="spellEnd"/>
      <w:r w:rsidRPr="00AA2F39">
        <w:rPr>
          <w:rFonts w:cs="Times New Roman"/>
          <w:i/>
        </w:rPr>
        <w:t xml:space="preserve"> </w:t>
      </w:r>
      <w:proofErr w:type="spellStart"/>
      <w:r w:rsidRPr="00AA2F39">
        <w:rPr>
          <w:rFonts w:cs="Times New Roman"/>
          <w:i/>
        </w:rPr>
        <w:t>Ondernemingen</w:t>
      </w:r>
      <w:proofErr w:type="spellEnd"/>
      <w:r w:rsidRPr="00AA2F39">
        <w:rPr>
          <w:rFonts w:cs="Times New Roman"/>
          <w:i/>
        </w:rPr>
        <w:t xml:space="preserve"> I</w:t>
      </w:r>
      <w:r w:rsidRPr="00AA2F39">
        <w:rPr>
          <w:rFonts w:cs="Times New Roman"/>
        </w:rPr>
        <w:t>, “WCO I”), (ii) a Dutch Scheme of Arrangement (</w:t>
      </w:r>
      <w:r w:rsidRPr="00AA2F39">
        <w:rPr>
          <w:rFonts w:cs="Times New Roman"/>
          <w:i/>
        </w:rPr>
        <w:t xml:space="preserve">Wet </w:t>
      </w:r>
      <w:proofErr w:type="spellStart"/>
      <w:r w:rsidRPr="00AA2F39">
        <w:rPr>
          <w:rFonts w:cs="Times New Roman"/>
          <w:i/>
        </w:rPr>
        <w:t>homologatie</w:t>
      </w:r>
      <w:proofErr w:type="spellEnd"/>
      <w:r w:rsidRPr="00AA2F39">
        <w:rPr>
          <w:rFonts w:cs="Times New Roman"/>
          <w:i/>
        </w:rPr>
        <w:t xml:space="preserve"> </w:t>
      </w:r>
      <w:proofErr w:type="spellStart"/>
      <w:r w:rsidRPr="00AA2F39">
        <w:rPr>
          <w:rFonts w:cs="Times New Roman"/>
          <w:i/>
        </w:rPr>
        <w:t>onderhands</w:t>
      </w:r>
      <w:proofErr w:type="spellEnd"/>
      <w:r w:rsidRPr="00AA2F39">
        <w:rPr>
          <w:rFonts w:cs="Times New Roman"/>
          <w:i/>
        </w:rPr>
        <w:t xml:space="preserve"> </w:t>
      </w:r>
      <w:proofErr w:type="spellStart"/>
      <w:r w:rsidRPr="00AA2F39">
        <w:rPr>
          <w:rFonts w:cs="Times New Roman"/>
          <w:i/>
        </w:rPr>
        <w:t>akkoord</w:t>
      </w:r>
      <w:proofErr w:type="spellEnd"/>
      <w:r w:rsidRPr="00AA2F39">
        <w:rPr>
          <w:rFonts w:cs="Times New Roman"/>
          <w:i/>
        </w:rPr>
        <w:t xml:space="preserve"> </w:t>
      </w:r>
      <w:proofErr w:type="spellStart"/>
      <w:r w:rsidRPr="00AA2F39">
        <w:rPr>
          <w:rFonts w:cs="Times New Roman"/>
          <w:i/>
        </w:rPr>
        <w:t>ter</w:t>
      </w:r>
      <w:proofErr w:type="spellEnd"/>
      <w:r w:rsidRPr="00AA2F39">
        <w:rPr>
          <w:rFonts w:cs="Times New Roman"/>
          <w:i/>
        </w:rPr>
        <w:t xml:space="preserve"> </w:t>
      </w:r>
      <w:proofErr w:type="spellStart"/>
      <w:r w:rsidRPr="00AA2F39">
        <w:rPr>
          <w:rFonts w:cs="Times New Roman"/>
          <w:i/>
        </w:rPr>
        <w:t>voorkoming</w:t>
      </w:r>
      <w:proofErr w:type="spellEnd"/>
      <w:r w:rsidRPr="00AA2F39">
        <w:rPr>
          <w:rFonts w:cs="Times New Roman"/>
          <w:i/>
        </w:rPr>
        <w:t xml:space="preserve"> van </w:t>
      </w:r>
      <w:proofErr w:type="spellStart"/>
      <w:r w:rsidRPr="00AA2F39">
        <w:rPr>
          <w:rFonts w:cs="Times New Roman"/>
          <w:i/>
        </w:rPr>
        <w:t>faillissement</w:t>
      </w:r>
      <w:proofErr w:type="spellEnd"/>
      <w:r w:rsidRPr="00AA2F39">
        <w:rPr>
          <w:rFonts w:cs="Times New Roman"/>
        </w:rPr>
        <w:t>, “WHOA”</w:t>
      </w:r>
      <w:r w:rsidRPr="00AA2F39">
        <w:rPr>
          <w:rStyle w:val="FootnoteReference"/>
          <w:rFonts w:cs="Times New Roman"/>
        </w:rPr>
        <w:footnoteReference w:id="96"/>
      </w:r>
      <w:r w:rsidRPr="00AA2F39">
        <w:rPr>
          <w:rFonts w:cs="Times New Roman"/>
        </w:rPr>
        <w:t xml:space="preserve">) for a debtor </w:t>
      </w:r>
      <w:r w:rsidR="007F0E6E" w:rsidRPr="00AA2F39">
        <w:rPr>
          <w:rFonts w:cs="Times New Roman"/>
        </w:rPr>
        <w:t xml:space="preserve">when </w:t>
      </w:r>
      <w:r w:rsidRPr="00AA2F39">
        <w:rPr>
          <w:rFonts w:cs="Times New Roman"/>
        </w:rPr>
        <w:t xml:space="preserve">there is </w:t>
      </w:r>
      <w:r w:rsidRPr="00AA2F39">
        <w:rPr>
          <w:rFonts w:cs="Times New Roman"/>
        </w:rPr>
        <w:lastRenderedPageBreak/>
        <w:t>a likelihood of insolvency (iii) specific measures for an insolvency practitioner to provide for more effective and timely resolution of insolvency proceedings (</w:t>
      </w:r>
      <w:r w:rsidRPr="00AA2F39">
        <w:rPr>
          <w:rFonts w:cs="Times New Roman"/>
          <w:i/>
        </w:rPr>
        <w:t xml:space="preserve">Wet </w:t>
      </w:r>
      <w:proofErr w:type="spellStart"/>
      <w:r w:rsidRPr="00AA2F39">
        <w:rPr>
          <w:rFonts w:cs="Times New Roman"/>
          <w:i/>
        </w:rPr>
        <w:t>versterking</w:t>
      </w:r>
      <w:proofErr w:type="spellEnd"/>
      <w:r w:rsidRPr="00AA2F39">
        <w:rPr>
          <w:rFonts w:cs="Times New Roman"/>
          <w:i/>
        </w:rPr>
        <w:t xml:space="preserve"> </w:t>
      </w:r>
      <w:proofErr w:type="spellStart"/>
      <w:r w:rsidRPr="00AA2F39">
        <w:rPr>
          <w:rFonts w:cs="Times New Roman"/>
          <w:i/>
        </w:rPr>
        <w:t>doelmatigheid</w:t>
      </w:r>
      <w:proofErr w:type="spellEnd"/>
      <w:r w:rsidRPr="00AA2F39">
        <w:rPr>
          <w:rFonts w:cs="Times New Roman"/>
          <w:i/>
        </w:rPr>
        <w:t xml:space="preserve"> </w:t>
      </w:r>
      <w:proofErr w:type="spellStart"/>
      <w:r w:rsidRPr="00AA2F39">
        <w:rPr>
          <w:rFonts w:cs="Times New Roman"/>
          <w:i/>
        </w:rPr>
        <w:t>faillissementsprocesrecht</w:t>
      </w:r>
      <w:proofErr w:type="spellEnd"/>
      <w:r w:rsidRPr="00AA2F39">
        <w:rPr>
          <w:rFonts w:cs="Times New Roman"/>
        </w:rPr>
        <w:t xml:space="preserve">). The legislative process of these three bills is currently pending, </w:t>
      </w:r>
      <w:r w:rsidR="0040239D">
        <w:rPr>
          <w:rFonts w:cs="Times New Roman"/>
        </w:rPr>
        <w:t>(</w:t>
      </w:r>
      <w:r w:rsidRPr="00AA2F39">
        <w:rPr>
          <w:rFonts w:cs="Times New Roman"/>
        </w:rPr>
        <w:t>draft</w:t>
      </w:r>
      <w:r w:rsidR="0040239D">
        <w:rPr>
          <w:rFonts w:cs="Times New Roman"/>
        </w:rPr>
        <w:t>)</w:t>
      </w:r>
      <w:r w:rsidRPr="00AA2F39">
        <w:rPr>
          <w:rFonts w:cs="Times New Roman"/>
        </w:rPr>
        <w:t xml:space="preserve"> bills for WCO I and WHOA have been presented.</w:t>
      </w:r>
      <w:r w:rsidRPr="00AA2F39">
        <w:rPr>
          <w:rStyle w:val="FootnoteReference"/>
          <w:rFonts w:cs="Times New Roman"/>
        </w:rPr>
        <w:footnoteReference w:id="97"/>
      </w:r>
    </w:p>
    <w:p w14:paraId="70F6D3F3" w14:textId="559CF647" w:rsidR="006E6B19" w:rsidRPr="00AA2F39" w:rsidRDefault="006E6B19" w:rsidP="00F04954">
      <w:pPr>
        <w:spacing w:before="120" w:after="120"/>
        <w:jc w:val="both"/>
        <w:rPr>
          <w:rFonts w:cs="Times New Roman"/>
        </w:rPr>
      </w:pPr>
      <w:r w:rsidRPr="00AA2F39">
        <w:rPr>
          <w:rFonts w:cs="Times New Roman"/>
        </w:rPr>
        <w:t>Meanwhile, legal practice has been effective in finding ways to provide for a functional and effective restructuring practice.</w:t>
      </w:r>
      <w:r w:rsidRPr="00AA2F39">
        <w:rPr>
          <w:rStyle w:val="FootnoteReference"/>
          <w:rFonts w:cs="Times New Roman"/>
        </w:rPr>
        <w:footnoteReference w:id="98"/>
      </w:r>
      <w:r w:rsidRPr="00AA2F39">
        <w:rPr>
          <w:rFonts w:cs="Times New Roman"/>
        </w:rPr>
        <w:t xml:space="preserve"> In many cases the insolvency practitioner will pursue a debt-for-equity-swap of the insolvent company’s assets to ensure continuation of the business. Furthermore, since 2011 also a Dutch pre-pack has been developed</w:t>
      </w:r>
      <w:r w:rsidR="00D3194C" w:rsidRPr="00AA2F39">
        <w:rPr>
          <w:rFonts w:cs="Times New Roman"/>
        </w:rPr>
        <w:t>. I</w:t>
      </w:r>
      <w:r w:rsidRPr="00AA2F39">
        <w:rPr>
          <w:rFonts w:cs="Times New Roman"/>
        </w:rPr>
        <w:t>t follows the UK example but is not yet based on statutory law.</w:t>
      </w:r>
      <w:r w:rsidRPr="00AA2F39">
        <w:rPr>
          <w:rStyle w:val="FootnoteReference"/>
          <w:rFonts w:cs="Times New Roman"/>
        </w:rPr>
        <w:footnoteReference w:id="99"/>
      </w:r>
      <w:r w:rsidRPr="00AA2F39">
        <w:rPr>
          <w:rFonts w:cs="Times New Roman"/>
        </w:rPr>
        <w:t xml:space="preserve"> Except for several district courts,</w:t>
      </w:r>
      <w:r w:rsidRPr="00AA2F39">
        <w:rPr>
          <w:rStyle w:val="FootnoteReference"/>
          <w:rFonts w:cs="Times New Roman"/>
        </w:rPr>
        <w:footnoteReference w:id="100"/>
      </w:r>
      <w:r w:rsidRPr="00AA2F39">
        <w:rPr>
          <w:rFonts w:cs="Times New Roman"/>
        </w:rPr>
        <w:t xml:space="preserve"> the courts approv</w:t>
      </w:r>
      <w:r w:rsidR="00D3194C" w:rsidRPr="00AA2F39">
        <w:rPr>
          <w:rFonts w:cs="Times New Roman"/>
        </w:rPr>
        <w:t>e</w:t>
      </w:r>
      <w:r w:rsidRPr="00AA2F39">
        <w:rPr>
          <w:rFonts w:cs="Times New Roman"/>
        </w:rPr>
        <w:t xml:space="preserve"> of this approach and assist with appointing or indicating a provisional insolvency practitioner and supervisory judge in the phase where a pre-packaged deal is being prepared.</w:t>
      </w:r>
    </w:p>
    <w:p w14:paraId="482E1201" w14:textId="01A0E407" w:rsidR="006E6B19" w:rsidRPr="00AA2F39" w:rsidRDefault="006E6B19" w:rsidP="00F04954">
      <w:pPr>
        <w:spacing w:before="120" w:after="120"/>
        <w:jc w:val="both"/>
        <w:rPr>
          <w:rFonts w:cs="Times New Roman"/>
        </w:rPr>
      </w:pPr>
      <w:r w:rsidRPr="00AA2F39">
        <w:rPr>
          <w:rFonts w:cs="Times New Roman"/>
        </w:rPr>
        <w:t xml:space="preserve">In 2017 the Court of Justice of the European Union (CJEU) gave a preliminary ruling on the pre-pack that was applied with respect to the Dutch </w:t>
      </w:r>
      <w:proofErr w:type="spellStart"/>
      <w:r w:rsidRPr="00AA2F39">
        <w:rPr>
          <w:rFonts w:cs="Times New Roman"/>
        </w:rPr>
        <w:t>Estro</w:t>
      </w:r>
      <w:proofErr w:type="spellEnd"/>
      <w:r w:rsidRPr="00AA2F39">
        <w:rPr>
          <w:rFonts w:cs="Times New Roman"/>
        </w:rPr>
        <w:t xml:space="preserve"> </w:t>
      </w:r>
      <w:proofErr w:type="spellStart"/>
      <w:r w:rsidRPr="00AA2F39">
        <w:rPr>
          <w:rFonts w:cs="Times New Roman"/>
        </w:rPr>
        <w:t>Groep</w:t>
      </w:r>
      <w:proofErr w:type="spellEnd"/>
      <w:r w:rsidRPr="00AA2F39">
        <w:rPr>
          <w:rFonts w:cs="Times New Roman"/>
        </w:rPr>
        <w:t xml:space="preserve">. After the transfer of the business to </w:t>
      </w:r>
      <w:proofErr w:type="spellStart"/>
      <w:r w:rsidRPr="00AA2F39">
        <w:rPr>
          <w:rFonts w:cs="Times New Roman"/>
        </w:rPr>
        <w:t>Smallsteps</w:t>
      </w:r>
      <w:proofErr w:type="spellEnd"/>
      <w:r w:rsidRPr="00AA2F39">
        <w:rPr>
          <w:rFonts w:cs="Times New Roman"/>
        </w:rPr>
        <w:t xml:space="preserve"> B.V., only a part of the workers was offered a new job. The CJEU stated that this pre-pack was prepared before the declaration of insolvency but put into effect afterwards. It concluded that the </w:t>
      </w:r>
      <w:r w:rsidR="007F0E6E" w:rsidRPr="00AA2F39">
        <w:rPr>
          <w:rFonts w:cs="Times New Roman"/>
        </w:rPr>
        <w:t xml:space="preserve">Dutch </w:t>
      </w:r>
      <w:r w:rsidRPr="00AA2F39">
        <w:rPr>
          <w:rFonts w:cs="Times New Roman"/>
        </w:rPr>
        <w:t xml:space="preserve">pre-pack, </w:t>
      </w:r>
      <w:r w:rsidR="001858A5" w:rsidRPr="00AA2F39">
        <w:rPr>
          <w:rFonts w:cs="Times New Roman"/>
        </w:rPr>
        <w:t xml:space="preserve">which is </w:t>
      </w:r>
      <w:r w:rsidRPr="00AA2F39">
        <w:rPr>
          <w:rFonts w:cs="Times New Roman"/>
        </w:rPr>
        <w:t>considered an insolvency proceeding, was not ultimately aimed at liquidation and did not take place under (adequate) supervision of a competent public authority. Therefore, the workers’ protection in Articles 3 and 4 of the Transfer of Undertakings Directive (“Directive”)</w:t>
      </w:r>
      <w:r w:rsidRPr="00AA2F39">
        <w:rPr>
          <w:rStyle w:val="FootnoteReference"/>
          <w:rFonts w:cs="Times New Roman"/>
        </w:rPr>
        <w:footnoteReference w:id="101"/>
      </w:r>
      <w:r w:rsidRPr="00AA2F39">
        <w:rPr>
          <w:rFonts w:cs="Times New Roman"/>
        </w:rPr>
        <w:t xml:space="preserve"> is applicable (without the exception of Article 5(1) in the case of insolvency). Consequently, all workers are considered to have been transferred along with the undertaking to </w:t>
      </w:r>
      <w:proofErr w:type="spellStart"/>
      <w:r w:rsidRPr="00AA2F39">
        <w:rPr>
          <w:rFonts w:cs="Times New Roman"/>
        </w:rPr>
        <w:t>Smallsteps</w:t>
      </w:r>
      <w:proofErr w:type="spellEnd"/>
      <w:r w:rsidRPr="00AA2F39">
        <w:rPr>
          <w:rFonts w:cs="Times New Roman"/>
        </w:rPr>
        <w:t xml:space="preserve"> B.V., the buyer.</w:t>
      </w:r>
      <w:r w:rsidRPr="00AA2F39">
        <w:rPr>
          <w:rStyle w:val="FootnoteReference"/>
          <w:rFonts w:cs="Times New Roman"/>
        </w:rPr>
        <w:footnoteReference w:id="102"/>
      </w:r>
    </w:p>
    <w:p w14:paraId="2A758C9A" w14:textId="4D7C437D" w:rsidR="006E6B19" w:rsidRPr="00AA2F39" w:rsidRDefault="006E6B19" w:rsidP="00F04954">
      <w:pPr>
        <w:spacing w:before="120" w:after="120"/>
        <w:jc w:val="both"/>
        <w:rPr>
          <w:rFonts w:cs="Times New Roman"/>
          <w:color w:val="FF0000"/>
        </w:rPr>
      </w:pPr>
      <w:r w:rsidRPr="00AA2F39">
        <w:rPr>
          <w:rFonts w:cs="Times New Roman"/>
        </w:rPr>
        <w:t xml:space="preserve">In subsequent cases, Dutch district courts had to decide on the application of Article 5 of the Directive </w:t>
      </w:r>
      <w:r w:rsidR="001858A5" w:rsidRPr="00AA2F39">
        <w:rPr>
          <w:rFonts w:cs="Times New Roman"/>
        </w:rPr>
        <w:t>in</w:t>
      </w:r>
      <w:r w:rsidRPr="00AA2F39">
        <w:rPr>
          <w:rFonts w:cs="Times New Roman"/>
        </w:rPr>
        <w:t xml:space="preserve"> pre-packs. The courts concluded</w:t>
      </w:r>
      <w:r w:rsidR="00D3194C" w:rsidRPr="00AA2F39">
        <w:rPr>
          <w:rFonts w:cs="Times New Roman"/>
        </w:rPr>
        <w:t>,</w:t>
      </w:r>
      <w:r w:rsidRPr="00AA2F39">
        <w:rPr>
          <w:rFonts w:cs="Times New Roman"/>
        </w:rPr>
        <w:t xml:space="preserve"> following a restrictive interpretation of the preliminary ruling of the CJEU</w:t>
      </w:r>
      <w:r w:rsidR="00D3194C" w:rsidRPr="00AA2F39">
        <w:rPr>
          <w:rFonts w:cs="Times New Roman"/>
        </w:rPr>
        <w:t>,</w:t>
      </w:r>
      <w:r w:rsidRPr="00AA2F39">
        <w:rPr>
          <w:rFonts w:cs="Times New Roman"/>
        </w:rPr>
        <w:t xml:space="preserve"> that a pre-pack in these two cases fall within the scope of Article 5 of the Directive.</w:t>
      </w:r>
      <w:r w:rsidRPr="00AA2F39">
        <w:rPr>
          <w:rStyle w:val="FootnoteReference"/>
          <w:rFonts w:cs="Times New Roman"/>
        </w:rPr>
        <w:footnoteReference w:id="103"/>
      </w:r>
      <w:r w:rsidRPr="00AA2F39">
        <w:rPr>
          <w:rFonts w:cs="Times New Roman"/>
        </w:rPr>
        <w:t xml:space="preserve"> Therefore, employees did not automatically transfer along with the business to the buyer.</w:t>
      </w:r>
      <w:r w:rsidR="001858A5" w:rsidRPr="00AA2F39">
        <w:rPr>
          <w:rStyle w:val="FootnoteReference"/>
          <w:rFonts w:cs="Times New Roman"/>
        </w:rPr>
        <w:footnoteReference w:id="104"/>
      </w:r>
    </w:p>
    <w:p w14:paraId="7A9FBA6C" w14:textId="0FB9E146" w:rsidR="006E6B19" w:rsidRPr="00AA2F39" w:rsidRDefault="006E6B19" w:rsidP="00F04954">
      <w:pPr>
        <w:spacing w:before="120" w:after="120"/>
        <w:jc w:val="both"/>
        <w:rPr>
          <w:rFonts w:cs="Times New Roman"/>
        </w:rPr>
      </w:pPr>
      <w:r w:rsidRPr="00AA2F39">
        <w:rPr>
          <w:rFonts w:cs="Times New Roman"/>
        </w:rPr>
        <w:lastRenderedPageBreak/>
        <w:t>The current state of</w:t>
      </w:r>
      <w:r w:rsidR="00D3194C" w:rsidRPr="00AA2F39">
        <w:rPr>
          <w:rFonts w:cs="Times New Roman"/>
        </w:rPr>
        <w:t xml:space="preserve"> Dutch</w:t>
      </w:r>
      <w:r w:rsidRPr="00AA2F39">
        <w:rPr>
          <w:rFonts w:cs="Times New Roman"/>
        </w:rPr>
        <w:t xml:space="preserve"> law limits the timely restructuring of businesses in distress a number of ways. First of all, no preventive restructuring proceedings are available. Attempts for out-of-court restructurings are many times not successful as dissenting creditors, in principle, cannot be bound to a composition and can force a debtor into bankruptcy proceedings. Secondly, there is limited room to facilitate a pre-pack following the preliminary ruling of the CJEU. Furthermore, in order to restructure the debtor’s assets and liabilities, the debtor faces a concentrated financing market where alternative sources of financial means are limited. This may limit the chances </w:t>
      </w:r>
      <w:r w:rsidR="007F0E6E" w:rsidRPr="00AA2F39">
        <w:rPr>
          <w:rFonts w:cs="Times New Roman"/>
        </w:rPr>
        <w:t>for</w:t>
      </w:r>
      <w:r w:rsidRPr="00AA2F39">
        <w:rPr>
          <w:rFonts w:cs="Times New Roman"/>
        </w:rPr>
        <w:t xml:space="preserve"> a successful restructuring.</w:t>
      </w:r>
    </w:p>
    <w:p w14:paraId="5CBFB034" w14:textId="2CD6178E" w:rsidR="006E6B19" w:rsidRDefault="006E6B19" w:rsidP="00F04954">
      <w:pPr>
        <w:spacing w:before="120" w:after="120"/>
        <w:jc w:val="both"/>
        <w:rPr>
          <w:rFonts w:cs="Times New Roman"/>
        </w:rPr>
      </w:pPr>
      <w:r w:rsidRPr="00AA2F39">
        <w:rPr>
          <w:rFonts w:cs="Times New Roman"/>
        </w:rPr>
        <w:t>The introduction of preventive restructuring proceedings, as envisaged under both the</w:t>
      </w:r>
      <w:r w:rsidR="00D3194C" w:rsidRPr="00AA2F39">
        <w:rPr>
          <w:rFonts w:cs="Times New Roman"/>
        </w:rPr>
        <w:t xml:space="preserve"> Proposal</w:t>
      </w:r>
      <w:r w:rsidRPr="00AA2F39">
        <w:rPr>
          <w:rFonts w:cs="Times New Roman"/>
        </w:rPr>
        <w:t xml:space="preserve"> and the Dutch draft bill WHOA, would be welcome additions for the Dutch restructuring toolbox. It will provide for debtor in possession proceedings, increased room for a stay and cross-class cram-down of dissenting creditors.</w:t>
      </w:r>
    </w:p>
    <w:p w14:paraId="434FB398" w14:textId="77777777" w:rsidR="00CC7D85" w:rsidRPr="00AA2F39" w:rsidRDefault="00CC7D85" w:rsidP="00F04954">
      <w:pPr>
        <w:spacing w:before="120" w:after="120"/>
        <w:jc w:val="both"/>
        <w:rPr>
          <w:rFonts w:cs="Times New Roman"/>
        </w:rPr>
      </w:pPr>
    </w:p>
    <w:p w14:paraId="13E519E3" w14:textId="07CC9D60" w:rsidR="00CA3253" w:rsidRPr="00AA2F39" w:rsidRDefault="00D055B5" w:rsidP="00F04954">
      <w:pPr>
        <w:spacing w:before="120" w:after="120"/>
        <w:jc w:val="both"/>
        <w:rPr>
          <w:rFonts w:cs="Times New Roman"/>
          <w:b/>
        </w:rPr>
      </w:pPr>
      <w:r w:rsidRPr="00AA2F39">
        <w:rPr>
          <w:rFonts w:cs="Times New Roman"/>
          <w:b/>
        </w:rPr>
        <w:t>3</w:t>
      </w:r>
      <w:r w:rsidR="00F04954" w:rsidRPr="00AA2F39">
        <w:rPr>
          <w:rFonts w:cs="Times New Roman"/>
          <w:b/>
        </w:rPr>
        <w:t>.5</w:t>
      </w:r>
      <w:r w:rsidR="00CA3253" w:rsidRPr="00AA2F39">
        <w:rPr>
          <w:rFonts w:cs="Times New Roman"/>
          <w:b/>
        </w:rPr>
        <w:tab/>
        <w:t>United Kingdom</w:t>
      </w:r>
    </w:p>
    <w:p w14:paraId="396744C5" w14:textId="24FCEF34" w:rsidR="00C76724" w:rsidRPr="00AA2F39" w:rsidRDefault="00C76724" w:rsidP="00F04954">
      <w:pPr>
        <w:spacing w:before="120" w:after="120"/>
        <w:jc w:val="both"/>
        <w:rPr>
          <w:rFonts w:cs="Times New Roman"/>
        </w:rPr>
      </w:pPr>
      <w:r w:rsidRPr="00AA2F39">
        <w:rPr>
          <w:rFonts w:cs="Times New Roman"/>
        </w:rPr>
        <w:t>The United Kingdom has long been a haven for corporate rescue and restructuring, but it has not always facilitated flexible procedures that cater to a variety of stakeholders, which in recent years it has come to do. It was partly as a result of the UK’s accession to the European Union that it began to espouse the rescue culture in order to make itself an attractive potential member and to align its market with other Member States.</w:t>
      </w:r>
      <w:r w:rsidRPr="00AA2F39">
        <w:rPr>
          <w:rStyle w:val="FootnoteReference"/>
          <w:rFonts w:cs="Times New Roman"/>
        </w:rPr>
        <w:footnoteReference w:id="105"/>
      </w:r>
      <w:r w:rsidRPr="00AA2F39">
        <w:rPr>
          <w:rFonts w:cs="Times New Roman"/>
        </w:rPr>
        <w:t xml:space="preserve"> From that time, it has built itself into a preferred jurisdiction for many corporate restructuring processes</w:t>
      </w:r>
      <w:r w:rsidR="003A2984" w:rsidRPr="00AA2F39">
        <w:rPr>
          <w:rFonts w:cs="Times New Roman"/>
        </w:rPr>
        <w:t>,</w:t>
      </w:r>
      <w:r w:rsidRPr="00AA2F39">
        <w:rPr>
          <w:rFonts w:cs="Times New Roman"/>
        </w:rPr>
        <w:t xml:space="preserve"> due to its useful procedures and the judiciary’s flexible views on juris</w:t>
      </w:r>
      <w:r w:rsidR="00E425AC" w:rsidRPr="00AA2F39">
        <w:rPr>
          <w:rFonts w:cs="Times New Roman"/>
        </w:rPr>
        <w:t>diction. From the 197</w:t>
      </w:r>
      <w:r w:rsidRPr="00AA2F39">
        <w:rPr>
          <w:rFonts w:cs="Times New Roman"/>
        </w:rPr>
        <w:t>0s the UK has gone from a creditor wealth maximisation</w:t>
      </w:r>
      <w:r w:rsidRPr="00AA2F39">
        <w:rPr>
          <w:rStyle w:val="FootnoteReference"/>
          <w:rFonts w:cs="Times New Roman"/>
        </w:rPr>
        <w:footnoteReference w:id="106"/>
      </w:r>
      <w:r w:rsidRPr="00AA2F39">
        <w:rPr>
          <w:rFonts w:cs="Times New Roman"/>
        </w:rPr>
        <w:t xml:space="preserve"> focussed insolvency system to a jurisdiction that has come to embrace corporate rescue, having realised that the economic benefits of preserving a viable company was an equally important consideration to maximising distributions.</w:t>
      </w:r>
      <w:r w:rsidRPr="00AA2F39">
        <w:rPr>
          <w:rStyle w:val="FootnoteReference"/>
          <w:rFonts w:cs="Times New Roman"/>
        </w:rPr>
        <w:footnoteReference w:id="107"/>
      </w:r>
      <w:r w:rsidRPr="00AA2F39">
        <w:rPr>
          <w:rFonts w:cs="Times New Roman"/>
        </w:rPr>
        <w:t xml:space="preserve"> This realisation was further espoused by the esteemed Cork Committee whose report</w:t>
      </w:r>
      <w:r w:rsidRPr="00AA2F39">
        <w:rPr>
          <w:rStyle w:val="FootnoteReference"/>
          <w:rFonts w:cs="Times New Roman"/>
        </w:rPr>
        <w:footnoteReference w:id="108"/>
      </w:r>
      <w:r w:rsidRPr="00AA2F39">
        <w:rPr>
          <w:rFonts w:cs="Times New Roman"/>
        </w:rPr>
        <w:t xml:space="preserve"> was followed by the Insolvency Act 1986, as amended by the Enterprise Act 2002, which introduced the UK’s first corporate rescue orientated procedures.</w:t>
      </w:r>
      <w:r w:rsidRPr="00AA2F39">
        <w:rPr>
          <w:rStyle w:val="FootnoteReference"/>
          <w:rFonts w:cs="Times New Roman"/>
        </w:rPr>
        <w:footnoteReference w:id="109"/>
      </w:r>
      <w:r w:rsidRPr="00AA2F39">
        <w:rPr>
          <w:rFonts w:cs="Times New Roman"/>
        </w:rPr>
        <w:t xml:space="preserve"> It is out of the Enterprise Act reforms that procedures that can be viewed as at least notionally preventive in nature evolved: company voluntary arrangements (CVA)</w:t>
      </w:r>
      <w:r w:rsidRPr="00AA2F39">
        <w:rPr>
          <w:rStyle w:val="FootnoteReference"/>
          <w:rFonts w:cs="Times New Roman"/>
        </w:rPr>
        <w:footnoteReference w:id="110"/>
      </w:r>
      <w:r w:rsidRPr="00AA2F39">
        <w:rPr>
          <w:rFonts w:cs="Times New Roman"/>
        </w:rPr>
        <w:t xml:space="preserve"> and the new administration procedure.</w:t>
      </w:r>
      <w:r w:rsidRPr="00AA2F39">
        <w:rPr>
          <w:rStyle w:val="FootnoteReference"/>
          <w:rFonts w:cs="Times New Roman"/>
        </w:rPr>
        <w:footnoteReference w:id="111"/>
      </w:r>
      <w:r w:rsidRPr="00AA2F39">
        <w:rPr>
          <w:rFonts w:cs="Times New Roman"/>
        </w:rPr>
        <w:t xml:space="preserve"> The latter was rendered more effective and preventive through the practitioner devised pre-pack version of administration. </w:t>
      </w:r>
    </w:p>
    <w:p w14:paraId="49C5FF2D" w14:textId="36F68791" w:rsidR="00C76724" w:rsidRPr="00AA2F39" w:rsidRDefault="00C76724" w:rsidP="00F04954">
      <w:pPr>
        <w:spacing w:before="120" w:after="120"/>
        <w:jc w:val="both"/>
        <w:rPr>
          <w:rFonts w:cs="Times New Roman"/>
        </w:rPr>
      </w:pPr>
      <w:r w:rsidRPr="00AA2F39">
        <w:rPr>
          <w:rFonts w:cs="Times New Roman"/>
        </w:rPr>
        <w:t>Corporate rescue has now given way to some extent to a focus on prevention. Procedures such as the CVA, pre-pack, and the Scheme of Arrangement,</w:t>
      </w:r>
      <w:r w:rsidRPr="00AA2F39">
        <w:rPr>
          <w:rStyle w:val="FootnoteReference"/>
          <w:rFonts w:cs="Times New Roman"/>
        </w:rPr>
        <w:footnoteReference w:id="112"/>
      </w:r>
      <w:r w:rsidRPr="00AA2F39">
        <w:rPr>
          <w:rFonts w:cs="Times New Roman"/>
        </w:rPr>
        <w:t xml:space="preserve"> discussed below, are now often </w:t>
      </w:r>
      <w:r w:rsidRPr="00AA2F39">
        <w:rPr>
          <w:rFonts w:cs="Times New Roman"/>
        </w:rPr>
        <w:lastRenderedPageBreak/>
        <w:t>used in anticipation of insolvency.</w:t>
      </w:r>
      <w:r w:rsidRPr="00AA2F39">
        <w:rPr>
          <w:rStyle w:val="FootnoteReference"/>
          <w:rFonts w:cs="Times New Roman"/>
        </w:rPr>
        <w:footnoteReference w:id="113"/>
      </w:r>
      <w:r w:rsidRPr="00AA2F39">
        <w:rPr>
          <w:rFonts w:cs="Times New Roman"/>
        </w:rPr>
        <w:t xml:space="preserve"> It is questionable, however, exactly how preventive in nature the former two are, given the formal requirements of using these procedures. </w:t>
      </w:r>
    </w:p>
    <w:p w14:paraId="6A7045E2" w14:textId="58A64BE1" w:rsidR="00C76724" w:rsidRPr="00AA2F39" w:rsidRDefault="00C76724" w:rsidP="00F04954">
      <w:pPr>
        <w:spacing w:before="120" w:after="120"/>
        <w:jc w:val="both"/>
        <w:rPr>
          <w:rFonts w:cs="Times New Roman"/>
        </w:rPr>
      </w:pPr>
      <w:r w:rsidRPr="00AA2F39">
        <w:rPr>
          <w:rFonts w:cs="Times New Roman"/>
        </w:rPr>
        <w:t>The Enterprise Act 2002 ushered in the age of administration, which was quickly co-opted by practitioners to create a practice-based procedure aimed at quick (and sometimes dirty) restructurings based on an administration procedure that is fully pre-planned prior to a brief entry into the formality of the procedure.</w:t>
      </w:r>
      <w:r w:rsidRPr="00AA2F39">
        <w:rPr>
          <w:rStyle w:val="FootnoteReference"/>
          <w:rFonts w:cs="Times New Roman"/>
        </w:rPr>
        <w:footnoteReference w:id="114"/>
      </w:r>
      <w:r w:rsidRPr="00AA2F39">
        <w:rPr>
          <w:rFonts w:cs="Times New Roman"/>
        </w:rPr>
        <w:t xml:space="preserve"> The development of the pre-pack was facilitated significantly by an introduction by the Enterprise Act reforms of out-of-court appointments, making it possible to avoid a court procedure until the last minute.</w:t>
      </w:r>
      <w:r w:rsidRPr="00AA2F39">
        <w:rPr>
          <w:rStyle w:val="FootnoteReference"/>
          <w:rFonts w:cs="Times New Roman"/>
        </w:rPr>
        <w:footnoteReference w:id="115"/>
      </w:r>
      <w:r w:rsidRPr="00AA2F39">
        <w:rPr>
          <w:rFonts w:cs="Times New Roman"/>
        </w:rPr>
        <w:t xml:space="preserve"> The pre-pack is a procedure within which a number of things can happen, such as the restructuring of the company, the rescheduling of debt, and the selling of businesses of the company. It offers secured creditors “a high level of control and certainty, making it a very attractive alternative to any protracted formal insolvency process.”</w:t>
      </w:r>
      <w:r w:rsidRPr="00AA2F39">
        <w:rPr>
          <w:rStyle w:val="FootnoteReference"/>
          <w:rFonts w:cs="Times New Roman"/>
        </w:rPr>
        <w:footnoteReference w:id="116"/>
      </w:r>
      <w:r w:rsidRPr="00AA2F39">
        <w:rPr>
          <w:rFonts w:cs="Times New Roman"/>
        </w:rPr>
        <w:t xml:space="preserve"> While fundamentally the pre-pack is still an insolvency procedure, it has grown in popularity and in parallel with a focus on pre-insolvency or “up-stream” procedures. It now serves an important role in recovery and contingency planning,</w:t>
      </w:r>
      <w:r w:rsidRPr="00AA2F39">
        <w:rPr>
          <w:rStyle w:val="FootnoteReference"/>
          <w:rFonts w:cs="Times New Roman"/>
        </w:rPr>
        <w:footnoteReference w:id="117"/>
      </w:r>
      <w:r w:rsidRPr="00AA2F39">
        <w:rPr>
          <w:rFonts w:cs="Times New Roman"/>
        </w:rPr>
        <w:t xml:space="preserve"> thus qualify in some degree as a preventive restructuring procedure.</w:t>
      </w:r>
    </w:p>
    <w:p w14:paraId="61C00197" w14:textId="77777777" w:rsidR="005A6462" w:rsidRPr="00AA2F39" w:rsidRDefault="00C76724" w:rsidP="00F04954">
      <w:pPr>
        <w:spacing w:before="120" w:after="120"/>
        <w:jc w:val="both"/>
        <w:rPr>
          <w:rFonts w:cs="Times New Roman"/>
        </w:rPr>
      </w:pPr>
      <w:r w:rsidRPr="00AA2F39">
        <w:rPr>
          <w:rFonts w:cs="Times New Roman"/>
        </w:rPr>
        <w:t>As an administration procedure, a pre-pack must satisfy the same criteria, but benefits from the ability to appoint an administrator out-of-court, delaying the required formalities until the last minute. In most cases, the company will already be insolvent, having insufficient assets to discharge its debts and liabilities,</w:t>
      </w:r>
      <w:r w:rsidRPr="00AA2F39">
        <w:rPr>
          <w:rStyle w:val="FootnoteReference"/>
          <w:rFonts w:cs="Times New Roman"/>
        </w:rPr>
        <w:footnoteReference w:id="118"/>
      </w:r>
      <w:r w:rsidRPr="00AA2F39">
        <w:rPr>
          <w:rFonts w:cs="Times New Roman"/>
        </w:rPr>
        <w:t xml:space="preserve"> taking place within insolvency rather than in its shadow. However, it does offer the benefit of a moratorium,</w:t>
      </w:r>
      <w:r w:rsidRPr="00AA2F39">
        <w:rPr>
          <w:rStyle w:val="FootnoteReference"/>
          <w:rFonts w:cs="Times New Roman"/>
        </w:rPr>
        <w:footnoteReference w:id="119"/>
      </w:r>
      <w:r w:rsidRPr="00AA2F39">
        <w:rPr>
          <w:rFonts w:cs="Times New Roman"/>
        </w:rPr>
        <w:t xml:space="preserve"> which makes it a valuable mechanism within which to commence other procedures that may not benefit from a moratorium, such as the CVA and </w:t>
      </w:r>
      <w:proofErr w:type="spellStart"/>
      <w:r w:rsidRPr="00AA2F39">
        <w:rPr>
          <w:rFonts w:cs="Times New Roman"/>
        </w:rPr>
        <w:t>SoA</w:t>
      </w:r>
      <w:proofErr w:type="spellEnd"/>
      <w:r w:rsidRPr="00AA2F39">
        <w:rPr>
          <w:rFonts w:cs="Times New Roman"/>
        </w:rPr>
        <w:t>, but that provide preventive options to companies in financial distress.</w:t>
      </w:r>
      <w:r w:rsidRPr="00AA2F39">
        <w:rPr>
          <w:rStyle w:val="FootnoteReference"/>
          <w:rFonts w:cs="Times New Roman"/>
        </w:rPr>
        <w:footnoteReference w:id="120"/>
      </w:r>
    </w:p>
    <w:p w14:paraId="7514C3B2" w14:textId="54F54E0C" w:rsidR="00C76724" w:rsidRPr="00AA2F39" w:rsidRDefault="00C76724" w:rsidP="00F04954">
      <w:pPr>
        <w:spacing w:before="120" w:after="120"/>
        <w:jc w:val="both"/>
        <w:rPr>
          <w:rFonts w:cs="Times New Roman"/>
        </w:rPr>
      </w:pPr>
      <w:r w:rsidRPr="00AA2F39">
        <w:rPr>
          <w:rFonts w:cs="Times New Roman"/>
        </w:rPr>
        <w:t>A CVA is an agreement made between a company and its creditors as a composition in satisfaction of the company’s debts.</w:t>
      </w:r>
      <w:r w:rsidRPr="00AA2F39">
        <w:rPr>
          <w:rStyle w:val="FootnoteReference"/>
          <w:rFonts w:cs="Times New Roman"/>
        </w:rPr>
        <w:footnoteReference w:id="121"/>
      </w:r>
      <w:r w:rsidRPr="00AA2F39">
        <w:rPr>
          <w:rFonts w:cs="Times New Roman"/>
        </w:rPr>
        <w:t xml:space="preserve"> A CVA can be agreed whether or not the company is insolvent or likely to become insolvent,</w:t>
      </w:r>
      <w:r w:rsidRPr="00AA2F39">
        <w:rPr>
          <w:rStyle w:val="FootnoteReference"/>
          <w:rFonts w:cs="Times New Roman"/>
        </w:rPr>
        <w:footnoteReference w:id="122"/>
      </w:r>
      <w:r w:rsidRPr="00AA2F39">
        <w:rPr>
          <w:rFonts w:cs="Times New Roman"/>
        </w:rPr>
        <w:t xml:space="preserve"> but is often conceived through an administration or pre-pack procedure so that the company can benefit from a moratorium,</w:t>
      </w:r>
      <w:r w:rsidRPr="00AA2F39">
        <w:rPr>
          <w:rStyle w:val="FootnoteReference"/>
          <w:rFonts w:cs="Times New Roman"/>
        </w:rPr>
        <w:footnoteReference w:id="123"/>
      </w:r>
      <w:r w:rsidRPr="00AA2F39">
        <w:rPr>
          <w:rFonts w:cs="Times New Roman"/>
        </w:rPr>
        <w:t xml:space="preserve"> preventing the issuance of insolvency proceedings</w:t>
      </w:r>
      <w:r w:rsidRPr="00AA2F39">
        <w:rPr>
          <w:rStyle w:val="FootnoteReference"/>
          <w:rFonts w:cs="Times New Roman"/>
        </w:rPr>
        <w:footnoteReference w:id="124"/>
      </w:r>
      <w:r w:rsidRPr="00AA2F39">
        <w:rPr>
          <w:rFonts w:cs="Times New Roman"/>
        </w:rPr>
        <w:t xml:space="preserve"> or other legal proceedings</w:t>
      </w:r>
      <w:r w:rsidRPr="00AA2F39">
        <w:rPr>
          <w:rStyle w:val="FootnoteReference"/>
          <w:rFonts w:cs="Times New Roman"/>
        </w:rPr>
        <w:footnoteReference w:id="125"/>
      </w:r>
      <w:r w:rsidRPr="00AA2F39">
        <w:rPr>
          <w:rFonts w:cs="Times New Roman"/>
        </w:rPr>
        <w:t xml:space="preserve"> which may be instituted to exercise contractual remedies for the debts owed.</w:t>
      </w:r>
      <w:r w:rsidRPr="00AA2F39">
        <w:rPr>
          <w:rStyle w:val="FootnoteReference"/>
          <w:rFonts w:cs="Times New Roman"/>
        </w:rPr>
        <w:footnoteReference w:id="126"/>
      </w:r>
      <w:r w:rsidRPr="00AA2F39">
        <w:rPr>
          <w:rFonts w:cs="Times New Roman"/>
        </w:rPr>
        <w:t xml:space="preserve"> The absence of a moratorium has been seen as a limiting factor for the up-stream use of a CVA as insolvency practitioners may use </w:t>
      </w:r>
      <w:r w:rsidRPr="00AA2F39">
        <w:rPr>
          <w:rFonts w:cs="Times New Roman"/>
        </w:rPr>
        <w:lastRenderedPageBreak/>
        <w:t>these from within the more formal administration or pre-pack procedures. However, although this seems a reasonable approach to take, it has been shown that most insolvent companies have frequently opted for a stand-alone CVA.</w:t>
      </w:r>
      <w:r w:rsidRPr="00AA2F39">
        <w:rPr>
          <w:rStyle w:val="FootnoteReference"/>
          <w:rFonts w:cs="Times New Roman"/>
        </w:rPr>
        <w:footnoteReference w:id="127"/>
      </w:r>
      <w:r w:rsidRPr="00AA2F39">
        <w:rPr>
          <w:rFonts w:cs="Times New Roman"/>
        </w:rPr>
        <w:t xml:space="preserve"> </w:t>
      </w:r>
    </w:p>
    <w:p w14:paraId="38A47BB3" w14:textId="77777777" w:rsidR="00C76724" w:rsidRPr="00AA2F39" w:rsidRDefault="00C76724" w:rsidP="00F04954">
      <w:pPr>
        <w:spacing w:before="120" w:after="120"/>
        <w:jc w:val="both"/>
        <w:rPr>
          <w:rFonts w:cs="Times New Roman"/>
        </w:rPr>
      </w:pPr>
      <w:r w:rsidRPr="00AA2F39">
        <w:rPr>
          <w:rFonts w:cs="Times New Roman"/>
        </w:rPr>
        <w:t>A CVA would be no different than an informal workout without the possibility of binding all creditors to the agreement. While it does not, without agreement, affect the rights of secured creditors, unsecured creditors with voting rights will be bound by a majority decision whether they have approved the agreement or not.</w:t>
      </w:r>
      <w:r w:rsidRPr="00AA2F39">
        <w:rPr>
          <w:rStyle w:val="FootnoteReference"/>
          <w:rFonts w:cs="Times New Roman"/>
        </w:rPr>
        <w:footnoteReference w:id="128"/>
      </w:r>
      <w:r w:rsidRPr="00AA2F39">
        <w:rPr>
          <w:rFonts w:cs="Times New Roman"/>
        </w:rPr>
        <w:t xml:space="preserve"> The agreement is essentially “crammed down” upon them against their will.</w:t>
      </w:r>
      <w:r w:rsidRPr="00AA2F39">
        <w:rPr>
          <w:rStyle w:val="FootnoteReference"/>
          <w:rFonts w:cs="Times New Roman"/>
        </w:rPr>
        <w:footnoteReference w:id="129"/>
      </w:r>
      <w:r w:rsidRPr="00AA2F39">
        <w:rPr>
          <w:rFonts w:cs="Times New Roman"/>
        </w:rPr>
        <w:t xml:space="preserve"> One might expect that cram-down aspect of the CVA is an attractive aspect that would encourage an increased use of the procedure, but the uptake of the CVA has been low since 1986, despite the introduction of more flexibility over this period.</w:t>
      </w:r>
      <w:r w:rsidRPr="00AA2F39">
        <w:rPr>
          <w:rStyle w:val="FootnoteReference"/>
          <w:rFonts w:cs="Times New Roman"/>
        </w:rPr>
        <w:footnoteReference w:id="130"/>
      </w:r>
      <w:r w:rsidRPr="00AA2F39">
        <w:rPr>
          <w:rFonts w:cs="Times New Roman"/>
        </w:rPr>
        <w:t xml:space="preserve">  On its own, a CVA is usually used as a means of trading and rarely preserves the business for the company itself, though it can facilitate the disposal of the businesses on more favourable terms.</w:t>
      </w:r>
      <w:r w:rsidRPr="00AA2F39">
        <w:rPr>
          <w:rStyle w:val="FootnoteReference"/>
          <w:rFonts w:cs="Times New Roman"/>
        </w:rPr>
        <w:footnoteReference w:id="131"/>
      </w:r>
      <w:r w:rsidRPr="00AA2F39">
        <w:rPr>
          <w:rFonts w:cs="Times New Roman"/>
        </w:rPr>
        <w:t xml:space="preserve"> Given this tendency, it is questionable whether its use truly promotes </w:t>
      </w:r>
      <w:r w:rsidRPr="00AA2F39">
        <w:rPr>
          <w:rFonts w:cs="Times New Roman"/>
          <w:i/>
        </w:rPr>
        <w:t>preventive</w:t>
      </w:r>
      <w:r w:rsidRPr="00AA2F39">
        <w:rPr>
          <w:rFonts w:cs="Times New Roman"/>
        </w:rPr>
        <w:t xml:space="preserve"> restructuring if, as a result of its general use, the company ceases to exist.</w:t>
      </w:r>
    </w:p>
    <w:p w14:paraId="38629C9E" w14:textId="4E61FE22" w:rsidR="002531FE" w:rsidRPr="00AA2F39" w:rsidRDefault="002531FE" w:rsidP="00F04954">
      <w:pPr>
        <w:spacing w:before="120" w:after="120"/>
        <w:jc w:val="both"/>
        <w:rPr>
          <w:rFonts w:cs="Times New Roman"/>
        </w:rPr>
      </w:pPr>
      <w:r w:rsidRPr="00AA2F39">
        <w:rPr>
          <w:rFonts w:cs="Times New Roman"/>
        </w:rPr>
        <w:t>The UK also has one of the most sought after “up-stream” preventive restructuring procedures in its famed Scheme of Arrangement,</w:t>
      </w:r>
      <w:r w:rsidRPr="00AA2F39">
        <w:rPr>
          <w:rFonts w:cs="Times New Roman"/>
          <w:vertAlign w:val="superscript"/>
        </w:rPr>
        <w:footnoteReference w:id="132"/>
      </w:r>
      <w:r w:rsidRPr="00AA2F39">
        <w:rPr>
          <w:rFonts w:cs="Times New Roman"/>
        </w:rPr>
        <w:t xml:space="preserve"> which has its roots in Victorian legislation.</w:t>
      </w:r>
      <w:r w:rsidRPr="00AA2F39">
        <w:rPr>
          <w:rFonts w:cs="Times New Roman"/>
          <w:vertAlign w:val="superscript"/>
        </w:rPr>
        <w:footnoteReference w:id="133"/>
      </w:r>
      <w:r w:rsidRPr="00AA2F39">
        <w:rPr>
          <w:rFonts w:cs="Times New Roman"/>
        </w:rPr>
        <w:t xml:space="preserve"> The Scheme of Arrangement is derived from company law</w:t>
      </w:r>
      <w:r w:rsidRPr="00AA2F39">
        <w:rPr>
          <w:rFonts w:cs="Times New Roman"/>
          <w:vertAlign w:val="superscript"/>
        </w:rPr>
        <w:footnoteReference w:id="134"/>
      </w:r>
      <w:r w:rsidRPr="00AA2F39">
        <w:rPr>
          <w:rFonts w:cs="Times New Roman"/>
        </w:rPr>
        <w:t xml:space="preserve"> rather than insolvency law and can be used by solvent or insolvent companies. As such, it presents a more comprehensive opportunity to rehabilitate a company at an earlier stage of financial difficulty. The </w:t>
      </w:r>
      <w:proofErr w:type="spellStart"/>
      <w:r w:rsidRPr="00AA2F39">
        <w:rPr>
          <w:rFonts w:cs="Times New Roman"/>
        </w:rPr>
        <w:t>SoA</w:t>
      </w:r>
      <w:proofErr w:type="spellEnd"/>
      <w:r w:rsidRPr="00AA2F39">
        <w:rPr>
          <w:rFonts w:cs="Times New Roman"/>
        </w:rPr>
        <w:t xml:space="preserve"> allows a “compromise or arrangement” to be agreed between a company and “its creditors, or any class of them”.</w:t>
      </w:r>
      <w:r w:rsidRPr="00AA2F39">
        <w:rPr>
          <w:rFonts w:cs="Times New Roman"/>
          <w:vertAlign w:val="superscript"/>
        </w:rPr>
        <w:footnoteReference w:id="135"/>
      </w:r>
      <w:r w:rsidRPr="00AA2F39">
        <w:rPr>
          <w:rFonts w:cs="Times New Roman"/>
        </w:rPr>
        <w:t xml:space="preserve"> One significant benefit of the </w:t>
      </w:r>
      <w:proofErr w:type="spellStart"/>
      <w:r w:rsidRPr="00AA2F39">
        <w:rPr>
          <w:rFonts w:cs="Times New Roman"/>
        </w:rPr>
        <w:t>SoA</w:t>
      </w:r>
      <w:proofErr w:type="spellEnd"/>
      <w:r w:rsidRPr="00AA2F39">
        <w:rPr>
          <w:rFonts w:cs="Times New Roman"/>
        </w:rPr>
        <w:t xml:space="preserve"> is that it can modify the rights of shareholders and creditors without their consent as once the voting exceeds the requisite threshold, it binds all affected parties.</w:t>
      </w:r>
      <w:r w:rsidRPr="00AA2F39">
        <w:rPr>
          <w:rFonts w:cs="Times New Roman"/>
          <w:vertAlign w:val="superscript"/>
        </w:rPr>
        <w:footnoteReference w:id="136"/>
      </w:r>
      <w:r w:rsidRPr="00AA2F39">
        <w:rPr>
          <w:rFonts w:cs="Times New Roman"/>
        </w:rPr>
        <w:t xml:space="preserve"> In addition, because a </w:t>
      </w:r>
      <w:proofErr w:type="spellStart"/>
      <w:r w:rsidRPr="00AA2F39">
        <w:rPr>
          <w:rFonts w:cs="Times New Roman"/>
        </w:rPr>
        <w:t>SoA</w:t>
      </w:r>
      <w:proofErr w:type="spellEnd"/>
      <w:r w:rsidRPr="00AA2F39">
        <w:rPr>
          <w:rFonts w:cs="Times New Roman"/>
        </w:rPr>
        <w:t xml:space="preserve"> does not require the company to be insolvent to be instigated, directors can remain in place without the interference of an insolvency practitioner, taking a debtor in possession approach to restructuring.</w:t>
      </w:r>
      <w:r w:rsidRPr="00AA2F39">
        <w:rPr>
          <w:rFonts w:cs="Times New Roman"/>
          <w:vertAlign w:val="superscript"/>
        </w:rPr>
        <w:footnoteReference w:id="137"/>
      </w:r>
      <w:r w:rsidRPr="00AA2F39">
        <w:rPr>
          <w:rFonts w:cs="Times New Roman"/>
        </w:rPr>
        <w:t xml:space="preserve"> The </w:t>
      </w:r>
      <w:proofErr w:type="spellStart"/>
      <w:r w:rsidRPr="00AA2F39">
        <w:rPr>
          <w:rFonts w:cs="Times New Roman"/>
        </w:rPr>
        <w:t>SoA</w:t>
      </w:r>
      <w:proofErr w:type="spellEnd"/>
      <w:r w:rsidRPr="00AA2F39">
        <w:rPr>
          <w:rFonts w:cs="Times New Roman"/>
        </w:rPr>
        <w:t xml:space="preserve"> can be truly preventive in nature, while the pre-pack still requires certain formalities, including that a company is insolvent or approaching insolvency,</w:t>
      </w:r>
      <w:r w:rsidRPr="00AA2F39">
        <w:rPr>
          <w:rFonts w:cs="Times New Roman"/>
          <w:vertAlign w:val="superscript"/>
        </w:rPr>
        <w:footnoteReference w:id="138"/>
      </w:r>
      <w:r w:rsidR="00F86CDD">
        <w:rPr>
          <w:rFonts w:cs="Times New Roman"/>
        </w:rPr>
        <w:t xml:space="preserve"> in order to utilise it.</w:t>
      </w:r>
    </w:p>
    <w:p w14:paraId="3A1F3C28" w14:textId="5A2C21A0" w:rsidR="002531FE" w:rsidRPr="00AA2F39" w:rsidRDefault="002531FE" w:rsidP="00F04954">
      <w:pPr>
        <w:spacing w:before="120" w:after="120"/>
        <w:jc w:val="both"/>
        <w:rPr>
          <w:rFonts w:cs="Times New Roman"/>
          <w:highlight w:val="yellow"/>
        </w:rPr>
      </w:pPr>
      <w:r w:rsidRPr="00AA2F39">
        <w:rPr>
          <w:rFonts w:cs="Times New Roman"/>
        </w:rPr>
        <w:t xml:space="preserve">The </w:t>
      </w:r>
      <w:proofErr w:type="spellStart"/>
      <w:r w:rsidRPr="00AA2F39">
        <w:rPr>
          <w:rFonts w:cs="Times New Roman"/>
        </w:rPr>
        <w:t>SoA</w:t>
      </w:r>
      <w:proofErr w:type="spellEnd"/>
      <w:r w:rsidRPr="00AA2F39">
        <w:rPr>
          <w:rFonts w:cs="Times New Roman"/>
        </w:rPr>
        <w:t xml:space="preserve"> is, however, also a complex, expensive, and time-consuming procedure</w:t>
      </w:r>
      <w:r w:rsidRPr="00AA2F39">
        <w:rPr>
          <w:rFonts w:cs="Times New Roman"/>
          <w:vertAlign w:val="superscript"/>
        </w:rPr>
        <w:footnoteReference w:id="139"/>
      </w:r>
      <w:r w:rsidRPr="00AA2F39">
        <w:rPr>
          <w:rFonts w:cs="Times New Roman"/>
        </w:rPr>
        <w:t xml:space="preserve"> and has been used on few occasions for domestic insolvencies.</w:t>
      </w:r>
      <w:r w:rsidRPr="00AA2F39">
        <w:rPr>
          <w:rFonts w:cs="Times New Roman"/>
          <w:vertAlign w:val="superscript"/>
        </w:rPr>
        <w:footnoteReference w:id="140"/>
      </w:r>
      <w:r w:rsidRPr="00AA2F39">
        <w:rPr>
          <w:rFonts w:cs="Times New Roman"/>
        </w:rPr>
        <w:t xml:space="preserve"> Schemes require court approval, </w:t>
      </w:r>
      <w:r w:rsidRPr="00AA2F39">
        <w:rPr>
          <w:rFonts w:cs="Times New Roman"/>
        </w:rPr>
        <w:lastRenderedPageBreak/>
        <w:t>adding to the time and expense, so have often been used by companies having complex capital structures involving secured debt so that the “cram-down” aspect can be used against dissenting creditors</w:t>
      </w:r>
      <w:r w:rsidR="00F42C7A" w:rsidRPr="00AA2F39">
        <w:rPr>
          <w:rFonts w:cs="Times New Roman"/>
        </w:rPr>
        <w:t xml:space="preserve"> whose rights cannot be overridden in a CVA</w:t>
      </w:r>
      <w:r w:rsidRPr="00AA2F39">
        <w:rPr>
          <w:rFonts w:cs="Times New Roman"/>
        </w:rPr>
        <w:t>.</w:t>
      </w:r>
      <w:r w:rsidRPr="00AA2F39">
        <w:rPr>
          <w:rFonts w:cs="Times New Roman"/>
          <w:vertAlign w:val="superscript"/>
        </w:rPr>
        <w:footnoteReference w:id="141"/>
      </w:r>
      <w:r w:rsidRPr="00AA2F39">
        <w:rPr>
          <w:rFonts w:cs="Times New Roman"/>
        </w:rPr>
        <w:t xml:space="preserve"> </w:t>
      </w:r>
      <w:r w:rsidR="00F42C7A" w:rsidRPr="00AA2F39">
        <w:rPr>
          <w:rFonts w:cs="Times New Roman"/>
        </w:rPr>
        <w:t>Once sanctioned, the Scheme will be binding on all creditors or the class of creditor affected,</w:t>
      </w:r>
      <w:r w:rsidR="00B47AB0" w:rsidRPr="00AA2F39">
        <w:rPr>
          <w:rFonts w:cs="Times New Roman"/>
        </w:rPr>
        <w:t xml:space="preserve"> the company itself, and the liquidator if relevant. However, creditors outside of the Scheme are not bound and retain their contractual enforcement rights.</w:t>
      </w:r>
      <w:r w:rsidR="00B47AB0" w:rsidRPr="00AA2F39">
        <w:rPr>
          <w:rStyle w:val="FootnoteReference"/>
          <w:rFonts w:cs="Times New Roman"/>
        </w:rPr>
        <w:footnoteReference w:id="142"/>
      </w:r>
      <w:r w:rsidR="00B47AB0" w:rsidRPr="00AA2F39">
        <w:rPr>
          <w:rFonts w:cs="Times New Roman"/>
        </w:rPr>
        <w:t xml:space="preserve"> </w:t>
      </w:r>
      <w:r w:rsidRPr="00AA2F39">
        <w:rPr>
          <w:rFonts w:cs="Times New Roman"/>
        </w:rPr>
        <w:t>That said, the scheme has evolved from a method of compromising or settling creditors’ claims to allowing for a court directed procedure to produce a plan with various potential outcomes, including the sale or disposal of the business, merger or demerger of companies, restructuring capital, debt, and other obligations, among many other options. This flexibility and versatility of the scheme, as well as its overall effectiveness, have made it a sought-after procedure for many cross-border insolvencies.</w:t>
      </w:r>
      <w:r w:rsidRPr="00AA2F39">
        <w:rPr>
          <w:rFonts w:cs="Times New Roman"/>
          <w:vertAlign w:val="superscript"/>
        </w:rPr>
        <w:footnoteReference w:id="143"/>
      </w:r>
    </w:p>
    <w:p w14:paraId="7E8F361F" w14:textId="13E4709E" w:rsidR="00C76724" w:rsidRPr="00AA2F39" w:rsidRDefault="00C76724" w:rsidP="00F04954">
      <w:pPr>
        <w:spacing w:before="120" w:after="120"/>
        <w:jc w:val="both"/>
        <w:rPr>
          <w:rFonts w:cs="Times New Roman"/>
        </w:rPr>
      </w:pPr>
      <w:r w:rsidRPr="00AA2F39">
        <w:rPr>
          <w:rFonts w:cs="Times New Roman"/>
        </w:rPr>
        <w:t xml:space="preserve">While the UK already has a number of procedures that satisfy the provisions set out in the </w:t>
      </w:r>
      <w:r w:rsidR="00F42C7A" w:rsidRPr="00AA2F39">
        <w:rPr>
          <w:rFonts w:cs="Times New Roman"/>
        </w:rPr>
        <w:t>Proposal</w:t>
      </w:r>
      <w:r w:rsidRPr="00AA2F39">
        <w:rPr>
          <w:rFonts w:cs="Times New Roman"/>
        </w:rPr>
        <w:t>,</w:t>
      </w:r>
      <w:r w:rsidR="00B47AB0" w:rsidRPr="00AA2F39">
        <w:rPr>
          <w:rFonts w:cs="Times New Roman"/>
        </w:rPr>
        <w:t xml:space="preserve"> </w:t>
      </w:r>
      <w:r w:rsidRPr="00AA2F39">
        <w:rPr>
          <w:rFonts w:cs="Times New Roman"/>
        </w:rPr>
        <w:t xml:space="preserve">the last few years have seen a number of additional recommendations for reform. In 2017 and 2018, consultations on insolvency and corporate governance were undertaken that made some recommendations for reform of UK insolvency procedures. This includes the introduction of a pre-administration moratorium for financially distressed companies while they consider their options for restructuring. There has also been a recommendation to introduce a new restructuring plan that would enable cross-class cram downs upon all creditors if court approval is given and to prohibit the enforcement of </w:t>
      </w:r>
      <w:r w:rsidRPr="00AA2F39">
        <w:rPr>
          <w:rFonts w:cs="Times New Roman"/>
          <w:i/>
        </w:rPr>
        <w:t>ipso facto</w:t>
      </w:r>
      <w:r w:rsidRPr="00AA2F39">
        <w:rPr>
          <w:rFonts w:cs="Times New Roman"/>
        </w:rPr>
        <w:t xml:space="preserve"> clauses,</w:t>
      </w:r>
      <w:r w:rsidRPr="00AA2F39">
        <w:rPr>
          <w:rStyle w:val="FootnoteReference"/>
          <w:rFonts w:cs="Times New Roman"/>
        </w:rPr>
        <w:t xml:space="preserve"> </w:t>
      </w:r>
      <w:r w:rsidRPr="00AA2F39">
        <w:rPr>
          <w:rStyle w:val="FootnoteReference"/>
          <w:rFonts w:cs="Times New Roman"/>
        </w:rPr>
        <w:footnoteReference w:id="144"/>
      </w:r>
      <w:r w:rsidRPr="00AA2F39">
        <w:rPr>
          <w:rFonts w:cs="Times New Roman"/>
        </w:rPr>
        <w:t xml:space="preserve"> all of which are also present in the </w:t>
      </w:r>
      <w:r w:rsidR="00C3166A" w:rsidRPr="00AA2F39">
        <w:rPr>
          <w:rFonts w:cs="Times New Roman"/>
        </w:rPr>
        <w:t>Proposal</w:t>
      </w:r>
      <w:r w:rsidRPr="00AA2F39">
        <w:rPr>
          <w:rFonts w:cs="Times New Roman"/>
        </w:rPr>
        <w:t>.</w:t>
      </w:r>
    </w:p>
    <w:p w14:paraId="12EBE4EC" w14:textId="5C32A3C8" w:rsidR="00ED222C" w:rsidRPr="00AA2F39" w:rsidRDefault="00ED222C" w:rsidP="00F04954">
      <w:pPr>
        <w:spacing w:before="120" w:after="120"/>
        <w:jc w:val="both"/>
        <w:rPr>
          <w:rFonts w:cs="Times New Roman"/>
        </w:rPr>
      </w:pPr>
      <w:r w:rsidRPr="00AA2F39">
        <w:rPr>
          <w:rFonts w:cs="Times New Roman"/>
        </w:rPr>
        <w:t>While the UK already has a number of procedures that satisfy the provisions set out in the Proposal, including the availability of the preventive restructuring schemes generally; the availability of moratoria; the requirement for restructuring plans; the availability of the cram down; and the protection of interim financing; the last few years have seen a number of additional recommendations for reform. In 2017 and 2018, consultations on insolvency and corporate governance were undertaken that made some recommendations for reform of UK insolvency procedures. This includes the introduction of a pre-administration moratorium for financially distressed companies while they consider their options for restructuring. There has also been a recommendation to introduce a new restructuring plan that would enable cross-class cram downs upon all creditors if court approval is given and to prohibit the enforcement of ipso facto clauses,</w:t>
      </w:r>
      <w:r w:rsidRPr="00AA2F39">
        <w:rPr>
          <w:rFonts w:cs="Times New Roman"/>
          <w:vertAlign w:val="superscript"/>
        </w:rPr>
        <w:t xml:space="preserve"> </w:t>
      </w:r>
      <w:r w:rsidRPr="00AA2F39">
        <w:rPr>
          <w:rFonts w:cs="Times New Roman"/>
          <w:vertAlign w:val="superscript"/>
        </w:rPr>
        <w:footnoteReference w:id="145"/>
      </w:r>
      <w:r w:rsidRPr="00AA2F39">
        <w:rPr>
          <w:rFonts w:cs="Times New Roman"/>
        </w:rPr>
        <w:t xml:space="preserve"> all of which are also present in the proposed Directive.</w:t>
      </w:r>
    </w:p>
    <w:p w14:paraId="7EB9FAA3" w14:textId="77777777" w:rsidR="00ED222C" w:rsidRPr="00AA2F39" w:rsidRDefault="00ED222C" w:rsidP="00F04954">
      <w:pPr>
        <w:spacing w:before="120" w:after="120"/>
        <w:jc w:val="both"/>
        <w:rPr>
          <w:rFonts w:cs="Times New Roman"/>
        </w:rPr>
      </w:pPr>
      <w:r w:rsidRPr="00AA2F39">
        <w:rPr>
          <w:rFonts w:cs="Times New Roman"/>
        </w:rPr>
        <w:t>The European Insolvency Regulation (and its Recast)</w:t>
      </w:r>
      <w:r w:rsidRPr="00AA2F39">
        <w:rPr>
          <w:rFonts w:cs="Times New Roman"/>
          <w:vertAlign w:val="superscript"/>
        </w:rPr>
        <w:footnoteReference w:id="146"/>
      </w:r>
      <w:r w:rsidRPr="00AA2F39">
        <w:rPr>
          <w:rFonts w:cs="Times New Roman"/>
        </w:rPr>
        <w:t xml:space="preserve"> has been largely beneficial for the UK because for decades London has been viewed as a leading legal and financial services centre. The passage of EIR further facilitated a shift of European restructuring activities to the </w:t>
      </w:r>
      <w:r w:rsidRPr="00AA2F39">
        <w:rPr>
          <w:rFonts w:cs="Times New Roman"/>
        </w:rPr>
        <w:lastRenderedPageBreak/>
        <w:t>UK following the passage of the EIR.</w:t>
      </w:r>
      <w:r w:rsidRPr="00AA2F39">
        <w:rPr>
          <w:rFonts w:cs="Times New Roman"/>
          <w:vertAlign w:val="superscript"/>
        </w:rPr>
        <w:footnoteReference w:id="147"/>
      </w:r>
      <w:r w:rsidRPr="00AA2F39">
        <w:rPr>
          <w:rFonts w:cs="Times New Roman"/>
        </w:rPr>
        <w:t xml:space="preserve"> One of the most popular procedures for foreign entities shopping for restructuring procedures in the UK is the Scheme of Arrangement. The English judiciary has been keen to allow the English/Welsh jurisdiction to be used by foreign companies wishing to restructure, often allowing jurisdiction to be found on scant evidence.</w:t>
      </w:r>
      <w:r w:rsidRPr="00AA2F39">
        <w:rPr>
          <w:rFonts w:cs="Times New Roman"/>
          <w:vertAlign w:val="superscript"/>
        </w:rPr>
        <w:footnoteReference w:id="148"/>
      </w:r>
      <w:r w:rsidRPr="00AA2F39">
        <w:rPr>
          <w:rFonts w:cs="Times New Roman"/>
        </w:rPr>
        <w:t xml:space="preserve"> However, following Brexit, depending on the kind of relationship the EU and the UK have once all is said and done, much of this is likely to change. </w:t>
      </w:r>
    </w:p>
    <w:p w14:paraId="3FD1354D" w14:textId="3B72EBA9" w:rsidR="00ED222C" w:rsidRPr="00AA2F39" w:rsidRDefault="00ED222C" w:rsidP="00F04954">
      <w:pPr>
        <w:spacing w:before="120" w:after="120"/>
        <w:jc w:val="both"/>
        <w:rPr>
          <w:rFonts w:cs="Times New Roman"/>
        </w:rPr>
      </w:pPr>
      <w:r w:rsidRPr="00AA2F39">
        <w:rPr>
          <w:rFonts w:cs="Times New Roman"/>
        </w:rPr>
        <w:t>Directly applicable EU law such as the European Insolvency Regulation</w:t>
      </w:r>
      <w:r w:rsidRPr="00AA2F39">
        <w:rPr>
          <w:rFonts w:cs="Times New Roman"/>
          <w:vertAlign w:val="superscript"/>
        </w:rPr>
        <w:footnoteReference w:id="149"/>
      </w:r>
      <w:r w:rsidRPr="00AA2F39">
        <w:rPr>
          <w:rFonts w:cs="Times New Roman"/>
        </w:rPr>
        <w:t xml:space="preserve"> and its Recast</w:t>
      </w:r>
      <w:r w:rsidRPr="00AA2F39">
        <w:rPr>
          <w:rFonts w:cs="Times New Roman"/>
          <w:vertAlign w:val="superscript"/>
        </w:rPr>
        <w:footnoteReference w:id="150"/>
      </w:r>
      <w:r w:rsidRPr="00AA2F39">
        <w:rPr>
          <w:rFonts w:cs="Times New Roman"/>
        </w:rPr>
        <w:t xml:space="preserve"> may be “converted” into UK Law but in such a way that the law can be accommodated within the UK legal system.</w:t>
      </w:r>
      <w:r w:rsidR="00B47AB0" w:rsidRPr="00AA2F39">
        <w:rPr>
          <w:rStyle w:val="FootnoteReference"/>
          <w:rFonts w:cs="Times New Roman"/>
        </w:rPr>
        <w:footnoteReference w:id="151"/>
      </w:r>
      <w:r w:rsidRPr="00AA2F39">
        <w:rPr>
          <w:rFonts w:cs="Times New Roman"/>
        </w:rPr>
        <w:t xml:space="preserve"> Without this conversion, any EU regulations would simply fall away. There are a number of practical issues associated with directly applicable regulations to be converted that would no longer operate because the UK was no longer a Member State. One of the challenges that has been recognised is where a regulation is based on reciprocal arrangements, which may not be secured as part of the UK’s post Brexit relationship with the EU. If such arrangements are not secured, then maintaining legislation that relies upon them, such as the EIR Recast, may no longer be in the best interests of the UK.</w:t>
      </w:r>
      <w:r w:rsidRPr="00AA2F39">
        <w:rPr>
          <w:rFonts w:cs="Times New Roman"/>
          <w:vertAlign w:val="superscript"/>
        </w:rPr>
        <w:footnoteReference w:id="152"/>
      </w:r>
      <w:r w:rsidRPr="00AA2F39">
        <w:rPr>
          <w:rFonts w:cs="Times New Roman"/>
        </w:rPr>
        <w:t xml:space="preserve"> As a result, future UK insolvency proceedings would no longer be recognised automatically in the EU because the UK will no longer be a Member State as stipulated in the EIR Recast. The EIR would therefore no longer work for the UK regardless of what legislation the UK government introduces to correct this inadequacy.</w:t>
      </w:r>
      <w:r w:rsidRPr="00AA2F39">
        <w:rPr>
          <w:rFonts w:cs="Times New Roman"/>
          <w:vertAlign w:val="superscript"/>
        </w:rPr>
        <w:footnoteReference w:id="153"/>
      </w:r>
      <w:r w:rsidRPr="00AA2F39">
        <w:rPr>
          <w:rFonts w:cs="Times New Roman"/>
        </w:rPr>
        <w:t xml:space="preserve"> This has potentially dire consequences for the UK’s main insolvency tourist attraction: the scheme of arrangement.</w:t>
      </w:r>
      <w:r w:rsidRPr="00AA2F39">
        <w:rPr>
          <w:rFonts w:cs="Times New Roman"/>
          <w:vertAlign w:val="superscript"/>
        </w:rPr>
        <w:footnoteReference w:id="154"/>
      </w:r>
      <w:r w:rsidRPr="00AA2F39">
        <w:rPr>
          <w:rFonts w:cs="Times New Roman"/>
        </w:rPr>
        <w:t xml:space="preserve"> It is yet to be seen how this situation might be resolved to the benefit of the UK restructuring market.</w:t>
      </w:r>
    </w:p>
    <w:p w14:paraId="57F6AF00" w14:textId="205F47DA" w:rsidR="00ED222C" w:rsidRPr="00AA2F39" w:rsidRDefault="00ED222C" w:rsidP="00F04954">
      <w:pPr>
        <w:spacing w:before="120" w:after="120"/>
        <w:jc w:val="both"/>
        <w:rPr>
          <w:rFonts w:cs="Times New Roman"/>
        </w:rPr>
      </w:pPr>
      <w:r w:rsidRPr="00AA2F39">
        <w:rPr>
          <w:rFonts w:cs="Times New Roman"/>
        </w:rPr>
        <w:t>Directives, however, having been implemented into UK legislation will continue to apply.</w:t>
      </w:r>
      <w:r w:rsidRPr="00AA2F39">
        <w:rPr>
          <w:rFonts w:cs="Times New Roman"/>
          <w:vertAlign w:val="superscript"/>
        </w:rPr>
        <w:footnoteReference w:id="155"/>
      </w:r>
      <w:r w:rsidRPr="00AA2F39">
        <w:rPr>
          <w:rFonts w:cs="Times New Roman"/>
        </w:rPr>
        <w:t xml:space="preserve"> But equally, following Brexit may be amended or repealed depending on their fit with the policy interests at play. The impact of Brexit, given the timeline of 29</w:t>
      </w:r>
      <w:r w:rsidRPr="00AA2F39">
        <w:rPr>
          <w:rFonts w:cs="Times New Roman"/>
          <w:vertAlign w:val="superscript"/>
        </w:rPr>
        <w:t>th</w:t>
      </w:r>
      <w:r w:rsidRPr="00AA2F39">
        <w:rPr>
          <w:rFonts w:cs="Times New Roman"/>
        </w:rPr>
        <w:t xml:space="preserve"> March 2019 as the final exit date, means that (1) it is highly unlikely that the Restructuring Directive will ever find its way into UK legislation, and (2) the flexibility of UK restructuring procedures may be lost to EU member states seeking to use them due to the disapplication of the EIR and its Recast. Though this will not apply to the Scheme of Arrangement, the Restructuring Directive is introducing procedures that jurisdictions such as </w:t>
      </w:r>
      <w:r w:rsidR="00B72578">
        <w:rPr>
          <w:rFonts w:cs="Times New Roman"/>
        </w:rPr>
        <w:t>T</w:t>
      </w:r>
      <w:r w:rsidRPr="00AA2F39">
        <w:rPr>
          <w:rFonts w:cs="Times New Roman"/>
        </w:rPr>
        <w:t xml:space="preserve">he Netherlands and Germany are already seizing, which means greater competition with the UK as a destination for restructuring. While the UK already has many procedures in place that reflect what the Restructuring </w:t>
      </w:r>
      <w:r w:rsidRPr="00AA2F39">
        <w:rPr>
          <w:rFonts w:cs="Times New Roman"/>
        </w:rPr>
        <w:lastRenderedPageBreak/>
        <w:t>Directive is proposing, the greatest obstacle to its continued development in line with the EU rescue culture must certainly be its pendin</w:t>
      </w:r>
      <w:r w:rsidR="009875FA" w:rsidRPr="00AA2F39">
        <w:rPr>
          <w:rFonts w:cs="Times New Roman"/>
        </w:rPr>
        <w:t>g divorce from the Union.</w:t>
      </w:r>
    </w:p>
    <w:p w14:paraId="14CBD66E" w14:textId="77777777" w:rsidR="00583D19" w:rsidRPr="00AA2F39" w:rsidRDefault="00583D19" w:rsidP="00F04954">
      <w:pPr>
        <w:spacing w:before="120" w:after="120"/>
      </w:pPr>
    </w:p>
    <w:p w14:paraId="571ECDC4" w14:textId="10735AC6" w:rsidR="00CA3253" w:rsidRPr="00AA2F39" w:rsidRDefault="00D055B5" w:rsidP="00F04954">
      <w:pPr>
        <w:spacing w:before="120" w:after="120"/>
        <w:jc w:val="both"/>
        <w:rPr>
          <w:rFonts w:cs="Times New Roman"/>
          <w:b/>
        </w:rPr>
      </w:pPr>
      <w:r w:rsidRPr="00AA2F39">
        <w:rPr>
          <w:rFonts w:cs="Times New Roman"/>
          <w:b/>
        </w:rPr>
        <w:t>4</w:t>
      </w:r>
      <w:r w:rsidR="00CA3253" w:rsidRPr="00AA2F39">
        <w:rPr>
          <w:rFonts w:cs="Times New Roman"/>
          <w:b/>
        </w:rPr>
        <w:t>.</w:t>
      </w:r>
      <w:r w:rsidR="00CA3253" w:rsidRPr="00AA2F39">
        <w:rPr>
          <w:rFonts w:cs="Times New Roman"/>
          <w:b/>
        </w:rPr>
        <w:tab/>
        <w:t>Comparative Review</w:t>
      </w:r>
    </w:p>
    <w:p w14:paraId="11F7EFA2" w14:textId="49540DCA" w:rsidR="005C0CBE" w:rsidRPr="00AA2F39" w:rsidRDefault="35B6F049" w:rsidP="35B6F049">
      <w:pPr>
        <w:spacing w:before="120" w:after="120"/>
        <w:jc w:val="both"/>
        <w:rPr>
          <w:rFonts w:cs="Times New Roman"/>
        </w:rPr>
      </w:pPr>
      <w:r w:rsidRPr="35B6F049">
        <w:rPr>
          <w:rFonts w:cs="Times New Roman"/>
        </w:rPr>
        <w:t>The country reports on the “state of the art” of restructuring law and practice in Denmark, France, Germany, The Netherlands, and the United Kingdom have shown quite a diversity of approaches. In this section, the findings will be compared and linked to the Proposal. This section will mainly focus on four broad clusters for a comparative review: (1) the availability of an early restructuring mechanism, (2) the possibility to bind dissenting creditors by a majority vote, (3) the incentives to enter a preventive/early restructuring mechanism, and (4) the “restructuring culture”, i.e., the soft indicators such as the stigma of insolvency versus the spirit of a second chance/fresh start.</w:t>
      </w:r>
    </w:p>
    <w:p w14:paraId="76A43C14" w14:textId="77777777" w:rsidR="00752FB2" w:rsidRDefault="00C9739F" w:rsidP="00F04954">
      <w:pPr>
        <w:spacing w:before="120" w:after="120"/>
        <w:jc w:val="both"/>
        <w:rPr>
          <w:rFonts w:cs="Times New Roman"/>
        </w:rPr>
      </w:pPr>
      <w:r w:rsidRPr="00AA2F39">
        <w:rPr>
          <w:rFonts w:cs="Times New Roman"/>
        </w:rPr>
        <w:t xml:space="preserve">(1) </w:t>
      </w:r>
      <w:r w:rsidRPr="00AA2F39">
        <w:rPr>
          <w:rFonts w:cs="Times New Roman"/>
          <w:i/>
        </w:rPr>
        <w:t xml:space="preserve">The Availability of an Early Restructuring </w:t>
      </w:r>
      <w:r w:rsidR="00DF7033" w:rsidRPr="00AA2F39">
        <w:rPr>
          <w:rFonts w:cs="Times New Roman"/>
          <w:i/>
        </w:rPr>
        <w:t>Mechanism</w:t>
      </w:r>
      <w:r w:rsidR="00DF7033" w:rsidRPr="00AA2F39">
        <w:rPr>
          <w:rFonts w:cs="Times New Roman"/>
        </w:rPr>
        <w:t>:</w:t>
      </w:r>
      <w:r w:rsidR="00663E70" w:rsidRPr="00AA2F39">
        <w:rPr>
          <w:rFonts w:cs="Times New Roman"/>
        </w:rPr>
        <w:t xml:space="preserve"> The </w:t>
      </w:r>
      <w:r w:rsidR="00752FB2">
        <w:rPr>
          <w:rFonts w:cs="Times New Roman"/>
        </w:rPr>
        <w:t xml:space="preserve">Proposal </w:t>
      </w:r>
      <w:r w:rsidR="00663E70" w:rsidRPr="00AA2F39">
        <w:rPr>
          <w:rFonts w:cs="Times New Roman"/>
        </w:rPr>
        <w:t>provides for an ea</w:t>
      </w:r>
      <w:r w:rsidR="002E0DD6" w:rsidRPr="00AA2F39">
        <w:rPr>
          <w:rFonts w:cs="Times New Roman"/>
        </w:rPr>
        <w:t>rly restructuring option, which shall be available in the “likelihood of insolvency”.</w:t>
      </w:r>
      <w:r w:rsidR="002E0DD6" w:rsidRPr="00AA2F39">
        <w:rPr>
          <w:rStyle w:val="FootnoteReference"/>
          <w:rFonts w:cs="Times New Roman"/>
        </w:rPr>
        <w:footnoteReference w:id="156"/>
      </w:r>
      <w:r w:rsidR="002E0DD6" w:rsidRPr="00AA2F39">
        <w:rPr>
          <w:rFonts w:cs="Times New Roman"/>
        </w:rPr>
        <w:t xml:space="preserve"> In our </w:t>
      </w:r>
      <w:r w:rsidR="00910614" w:rsidRPr="00AA2F39">
        <w:rPr>
          <w:rFonts w:cs="Times New Roman"/>
        </w:rPr>
        <w:t>five-country</w:t>
      </w:r>
      <w:r w:rsidR="00DE7DC0" w:rsidRPr="00AA2F39">
        <w:rPr>
          <w:rFonts w:cs="Times New Roman"/>
        </w:rPr>
        <w:t xml:space="preserve"> analysis, the UK </w:t>
      </w:r>
      <w:r w:rsidR="00BA5507" w:rsidRPr="00AA2F39">
        <w:rPr>
          <w:rFonts w:cs="Times New Roman"/>
        </w:rPr>
        <w:t xml:space="preserve">is the country </w:t>
      </w:r>
      <w:r w:rsidR="00752FB2">
        <w:rPr>
          <w:rFonts w:cs="Times New Roman"/>
        </w:rPr>
        <w:t xml:space="preserve">that </w:t>
      </w:r>
      <w:r w:rsidR="00BA5507" w:rsidRPr="00AA2F39">
        <w:rPr>
          <w:rFonts w:cs="Times New Roman"/>
        </w:rPr>
        <w:t>provides for the most effective restructuring procedure at a very early stage in time</w:t>
      </w:r>
      <w:r w:rsidR="00910614" w:rsidRPr="00AA2F39">
        <w:rPr>
          <w:rFonts w:cs="Times New Roman"/>
        </w:rPr>
        <w:t>, largely because it is not technically an insolvency procedure, sitting as it does within the Company Law Act 2006.</w:t>
      </w:r>
      <w:r w:rsidR="00BA5507" w:rsidRPr="00AA2F39">
        <w:rPr>
          <w:rFonts w:cs="Times New Roman"/>
        </w:rPr>
        <w:t xml:space="preserve"> The Scheme of Arrangement, which has featured prominently in Europe in forum shopping cases, is available without any threshold for commencement, i.e., </w:t>
      </w:r>
      <w:r w:rsidR="007804A5" w:rsidRPr="00AA2F39">
        <w:rPr>
          <w:rFonts w:cs="Times New Roman"/>
        </w:rPr>
        <w:t xml:space="preserve">it </w:t>
      </w:r>
      <w:r w:rsidR="00BA5507" w:rsidRPr="00AA2F39">
        <w:rPr>
          <w:rFonts w:cs="Times New Roman"/>
        </w:rPr>
        <w:t>offers a restructuring option for still solvent debtors. The CVA, similarly, does not require the debtor to be insolvent, though it would not bind secured or preferential creditors.</w:t>
      </w:r>
      <w:r w:rsidR="002F11F7" w:rsidRPr="00AA2F39">
        <w:rPr>
          <w:rFonts w:cs="Times New Roman"/>
        </w:rPr>
        <w:t xml:space="preserve"> </w:t>
      </w:r>
      <w:r w:rsidR="00752FB2">
        <w:rPr>
          <w:rFonts w:cs="Times New Roman"/>
        </w:rPr>
        <w:t xml:space="preserve">While these two procedures are often entered via an administration or pre-pack procedure, they still offer a non-insolvent restructuring solution. </w:t>
      </w:r>
    </w:p>
    <w:p w14:paraId="001E9DBB" w14:textId="797918A5" w:rsidR="00C9739F" w:rsidRPr="00AA2F39" w:rsidRDefault="00910614" w:rsidP="35B6F049">
      <w:pPr>
        <w:spacing w:before="120" w:after="120"/>
        <w:jc w:val="both"/>
        <w:rPr>
          <w:rFonts w:cs="Times New Roman"/>
        </w:rPr>
      </w:pPr>
      <w:r w:rsidRPr="00AA2F39">
        <w:rPr>
          <w:rFonts w:cs="Times New Roman"/>
        </w:rPr>
        <w:t xml:space="preserve">While the Scheme of Arrangement has been viewed as more effective, French law provides </w:t>
      </w:r>
      <w:r w:rsidR="002F11F7" w:rsidRPr="00AA2F39">
        <w:rPr>
          <w:rFonts w:cs="Times New Roman"/>
        </w:rPr>
        <w:t>two procedures prior to insolvency</w:t>
      </w:r>
      <w:r w:rsidRPr="00AA2F39">
        <w:rPr>
          <w:rFonts w:cs="Times New Roman"/>
        </w:rPr>
        <w:t xml:space="preserve"> that are conceptually closer to the Proposal, providing more extensive restructuring tools than the Scheme.</w:t>
      </w:r>
      <w:r w:rsidRPr="00AA2F39">
        <w:rPr>
          <w:rStyle w:val="FootnoteReference"/>
          <w:rFonts w:cs="Times New Roman"/>
        </w:rPr>
        <w:footnoteReference w:id="157"/>
      </w:r>
      <w:r w:rsidR="002F11F7" w:rsidRPr="00AA2F39">
        <w:rPr>
          <w:rFonts w:cs="Times New Roman"/>
        </w:rPr>
        <w:t xml:space="preserve"> </w:t>
      </w:r>
      <w:r w:rsidR="00931793" w:rsidRPr="00AA2F39">
        <w:rPr>
          <w:rFonts w:cs="Times New Roman"/>
        </w:rPr>
        <w:t xml:space="preserve">The </w:t>
      </w:r>
      <w:proofErr w:type="spellStart"/>
      <w:r w:rsidR="002F11F7" w:rsidRPr="35B6F049">
        <w:rPr>
          <w:rFonts w:cs="Times New Roman"/>
          <w:i/>
          <w:iCs/>
        </w:rPr>
        <w:t>Mandat</w:t>
      </w:r>
      <w:proofErr w:type="spellEnd"/>
      <w:r w:rsidR="002F11F7" w:rsidRPr="35B6F049">
        <w:rPr>
          <w:rFonts w:cs="Times New Roman"/>
          <w:i/>
          <w:iCs/>
        </w:rPr>
        <w:t xml:space="preserve"> ad hoc </w:t>
      </w:r>
      <w:r w:rsidR="002F11F7" w:rsidRPr="00AA2F39">
        <w:rPr>
          <w:rFonts w:cs="Times New Roman"/>
        </w:rPr>
        <w:t xml:space="preserve">and </w:t>
      </w:r>
      <w:r w:rsidR="002F11F7" w:rsidRPr="35B6F049">
        <w:rPr>
          <w:rFonts w:cs="Times New Roman"/>
          <w:i/>
          <w:iCs/>
        </w:rPr>
        <w:t>conciliation</w:t>
      </w:r>
      <w:r w:rsidR="00931793" w:rsidRPr="35B6F049">
        <w:rPr>
          <w:rFonts w:cs="Times New Roman"/>
          <w:i/>
          <w:iCs/>
        </w:rPr>
        <w:t xml:space="preserve"> </w:t>
      </w:r>
      <w:r w:rsidR="002F11F7" w:rsidRPr="00AA2F39">
        <w:rPr>
          <w:rFonts w:cs="Times New Roman"/>
        </w:rPr>
        <w:t>are not</w:t>
      </w:r>
      <w:r w:rsidR="00931793" w:rsidRPr="00AA2F39">
        <w:rPr>
          <w:rFonts w:cs="Times New Roman"/>
        </w:rPr>
        <w:t>, however,</w:t>
      </w:r>
      <w:r w:rsidR="002F11F7" w:rsidRPr="00AA2F39">
        <w:rPr>
          <w:rFonts w:cs="Times New Roman"/>
        </w:rPr>
        <w:t xml:space="preserve"> equi</w:t>
      </w:r>
      <w:r w:rsidR="0097429B" w:rsidRPr="00AA2F39">
        <w:rPr>
          <w:rFonts w:cs="Times New Roman"/>
        </w:rPr>
        <w:t xml:space="preserve">pped with the tools of binding dissenting creditors. </w:t>
      </w:r>
      <w:r w:rsidR="007804A5" w:rsidRPr="00AA2F39">
        <w:rPr>
          <w:rFonts w:cs="Times New Roman"/>
        </w:rPr>
        <w:t xml:space="preserve">A fully </w:t>
      </w:r>
      <w:r w:rsidRPr="00AA2F39">
        <w:rPr>
          <w:rFonts w:cs="Times New Roman"/>
        </w:rPr>
        <w:t>equipped</w:t>
      </w:r>
      <w:r w:rsidR="007804A5" w:rsidRPr="00AA2F39">
        <w:rPr>
          <w:rFonts w:cs="Times New Roman"/>
        </w:rPr>
        <w:t xml:space="preserve"> restructuring procedure is available with the </w:t>
      </w:r>
      <w:proofErr w:type="spellStart"/>
      <w:r w:rsidR="007804A5" w:rsidRPr="35B6F049">
        <w:rPr>
          <w:rFonts w:cs="Times New Roman"/>
          <w:i/>
          <w:iCs/>
        </w:rPr>
        <w:t>sauvegarde</w:t>
      </w:r>
      <w:proofErr w:type="spellEnd"/>
      <w:r w:rsidR="007804A5" w:rsidRPr="35B6F049">
        <w:rPr>
          <w:rFonts w:cs="Times New Roman"/>
          <w:i/>
          <w:iCs/>
        </w:rPr>
        <w:t xml:space="preserve"> </w:t>
      </w:r>
      <w:r w:rsidR="007804A5" w:rsidRPr="00AA2F39">
        <w:rPr>
          <w:rFonts w:cs="Times New Roman"/>
        </w:rPr>
        <w:t xml:space="preserve">procedure, which may be entered upon the experience of financial difficulties. A threshold </w:t>
      </w:r>
      <w:r w:rsidR="00841004" w:rsidRPr="00AA2F39">
        <w:rPr>
          <w:rFonts w:cs="Times New Roman"/>
        </w:rPr>
        <w:t xml:space="preserve">for entry </w:t>
      </w:r>
      <w:r w:rsidR="007804A5" w:rsidRPr="00AA2F39">
        <w:rPr>
          <w:rFonts w:cs="Times New Roman"/>
        </w:rPr>
        <w:t xml:space="preserve">exists, </w:t>
      </w:r>
      <w:r w:rsidR="00841004" w:rsidRPr="00AA2F39">
        <w:rPr>
          <w:rFonts w:cs="Times New Roman"/>
        </w:rPr>
        <w:t xml:space="preserve">even </w:t>
      </w:r>
      <w:r w:rsidR="007804A5" w:rsidRPr="00AA2F39">
        <w:rPr>
          <w:rFonts w:cs="Times New Roman"/>
        </w:rPr>
        <w:t xml:space="preserve">though it is not high. In practice, nonetheless, many businesses wait too long </w:t>
      </w:r>
      <w:r w:rsidR="00752FB2">
        <w:rPr>
          <w:rFonts w:cs="Times New Roman"/>
        </w:rPr>
        <w:t>due to a desire to</w:t>
      </w:r>
      <w:r w:rsidR="007804A5" w:rsidRPr="00AA2F39">
        <w:rPr>
          <w:rFonts w:cs="Times New Roman"/>
        </w:rPr>
        <w:t xml:space="preserve"> avoid the stigma of insolvency. In Denmark, the definition of insolvency applies quite broadly so that the debtor may enter the </w:t>
      </w:r>
      <w:r w:rsidR="00002EF8" w:rsidRPr="00AA2F39">
        <w:rPr>
          <w:rFonts w:cs="Times New Roman"/>
        </w:rPr>
        <w:t xml:space="preserve">available restructuring </w:t>
      </w:r>
      <w:r w:rsidR="007804A5" w:rsidRPr="00AA2F39">
        <w:rPr>
          <w:rFonts w:cs="Times New Roman"/>
        </w:rPr>
        <w:t>procedure</w:t>
      </w:r>
      <w:r w:rsidR="00752FB2">
        <w:rPr>
          <w:rFonts w:cs="Times New Roman"/>
        </w:rPr>
        <w:t>,</w:t>
      </w:r>
      <w:r w:rsidR="007804A5" w:rsidRPr="00AA2F39">
        <w:rPr>
          <w:rFonts w:cs="Times New Roman"/>
        </w:rPr>
        <w:t xml:space="preserve"> </w:t>
      </w:r>
      <w:proofErr w:type="spellStart"/>
      <w:r w:rsidR="00002EF8" w:rsidRPr="35B6F049">
        <w:rPr>
          <w:rFonts w:cs="Times New Roman"/>
          <w:i/>
          <w:iCs/>
        </w:rPr>
        <w:t>Rekonstruktion</w:t>
      </w:r>
      <w:proofErr w:type="spellEnd"/>
      <w:r w:rsidR="00752FB2" w:rsidRPr="35B6F049">
        <w:rPr>
          <w:rFonts w:cs="Times New Roman"/>
          <w:i/>
          <w:iCs/>
        </w:rPr>
        <w:t>,</w:t>
      </w:r>
      <w:r w:rsidR="00002EF8" w:rsidRPr="00AA2F39">
        <w:rPr>
          <w:rFonts w:cs="Times New Roman"/>
        </w:rPr>
        <w:t xml:space="preserve"> </w:t>
      </w:r>
      <w:r w:rsidR="007804A5" w:rsidRPr="00AA2F39">
        <w:rPr>
          <w:rFonts w:cs="Times New Roman"/>
        </w:rPr>
        <w:t>at an early stage in time</w:t>
      </w:r>
      <w:r w:rsidR="00931793" w:rsidRPr="00AA2F39">
        <w:rPr>
          <w:rFonts w:cs="Times New Roman"/>
        </w:rPr>
        <w:t>, although insolvency is still required</w:t>
      </w:r>
      <w:r w:rsidR="007804A5" w:rsidRPr="00AA2F39">
        <w:rPr>
          <w:rFonts w:cs="Times New Roman"/>
        </w:rPr>
        <w:t xml:space="preserve">. In Germany, the </w:t>
      </w:r>
      <w:r w:rsidR="00002EF8" w:rsidRPr="00AA2F39">
        <w:rPr>
          <w:rFonts w:cs="Times New Roman"/>
        </w:rPr>
        <w:t xml:space="preserve">debtor must be (imminent) cash-flow insolvent or balance-sheet insolvent to enter a court-supervised restructuring </w:t>
      </w:r>
      <w:r w:rsidR="00E90933" w:rsidRPr="00AA2F39">
        <w:rPr>
          <w:rFonts w:cs="Times New Roman"/>
        </w:rPr>
        <w:t>procedure. Also</w:t>
      </w:r>
      <w:r w:rsidR="00931793" w:rsidRPr="00AA2F39">
        <w:rPr>
          <w:rFonts w:cs="Times New Roman"/>
        </w:rPr>
        <w:t>,</w:t>
      </w:r>
      <w:r w:rsidR="00E90933" w:rsidRPr="00AA2F39">
        <w:rPr>
          <w:rFonts w:cs="Times New Roman"/>
        </w:rPr>
        <w:t xml:space="preserve"> the umbrella procedure requires imminent cash-flow or balance sheet insolvency to be opened, i.e., is not available for solvent debtors. In </w:t>
      </w:r>
      <w:r w:rsidR="00B72578">
        <w:rPr>
          <w:rFonts w:cs="Times New Roman"/>
        </w:rPr>
        <w:t>T</w:t>
      </w:r>
      <w:r w:rsidR="00E90933" w:rsidRPr="00AA2F39">
        <w:rPr>
          <w:rFonts w:cs="Times New Roman"/>
        </w:rPr>
        <w:t>he Netherlands, finally, there is no official restructuring procedure</w:t>
      </w:r>
      <w:r w:rsidR="00931793" w:rsidRPr="00AA2F39">
        <w:rPr>
          <w:rFonts w:cs="Times New Roman"/>
        </w:rPr>
        <w:t xml:space="preserve"> available at all,</w:t>
      </w:r>
      <w:r w:rsidR="00E90933" w:rsidRPr="00AA2F39">
        <w:rPr>
          <w:rFonts w:cs="Times New Roman"/>
        </w:rPr>
        <w:t xml:space="preserve"> apart from a temporary </w:t>
      </w:r>
      <w:r w:rsidR="008823CA" w:rsidRPr="00AA2F39">
        <w:rPr>
          <w:rFonts w:cs="Times New Roman"/>
        </w:rPr>
        <w:t xml:space="preserve">suspension </w:t>
      </w:r>
      <w:r w:rsidR="00E90933" w:rsidRPr="00AA2F39">
        <w:rPr>
          <w:rFonts w:cs="Times New Roman"/>
        </w:rPr>
        <w:t>of payments (</w:t>
      </w:r>
      <w:proofErr w:type="spellStart"/>
      <w:r w:rsidR="00E90933" w:rsidRPr="35B6F049">
        <w:rPr>
          <w:rFonts w:cs="Times New Roman"/>
          <w:i/>
          <w:iCs/>
        </w:rPr>
        <w:t>surseance</w:t>
      </w:r>
      <w:proofErr w:type="spellEnd"/>
      <w:r w:rsidR="00E90933" w:rsidRPr="35B6F049">
        <w:rPr>
          <w:rFonts w:cs="Times New Roman"/>
          <w:i/>
          <w:iCs/>
        </w:rPr>
        <w:t xml:space="preserve"> van </w:t>
      </w:r>
      <w:proofErr w:type="spellStart"/>
      <w:r w:rsidR="00E90933" w:rsidRPr="35B6F049">
        <w:rPr>
          <w:rFonts w:cs="Times New Roman"/>
          <w:i/>
          <w:iCs/>
        </w:rPr>
        <w:t>betaling</w:t>
      </w:r>
      <w:proofErr w:type="spellEnd"/>
      <w:r w:rsidR="00E90933" w:rsidRPr="00AA2F39">
        <w:rPr>
          <w:rFonts w:cs="Times New Roman"/>
        </w:rPr>
        <w:t xml:space="preserve">). The effective pragmatism in designing a pre-pack without legislative support worked for quite a while until the CJEU </w:t>
      </w:r>
      <w:r w:rsidR="008823CA" w:rsidRPr="00AA2F39">
        <w:rPr>
          <w:rFonts w:cs="Times New Roman"/>
        </w:rPr>
        <w:t xml:space="preserve">limited the extent to which </w:t>
      </w:r>
      <w:r w:rsidR="00E90933" w:rsidRPr="00AA2F39">
        <w:rPr>
          <w:rFonts w:cs="Times New Roman"/>
        </w:rPr>
        <w:t>such procedures</w:t>
      </w:r>
      <w:r w:rsidR="008823CA" w:rsidRPr="00AA2F39">
        <w:rPr>
          <w:rFonts w:cs="Times New Roman"/>
        </w:rPr>
        <w:t xml:space="preserve"> can be used when it impacts</w:t>
      </w:r>
      <w:r w:rsidR="00D90146" w:rsidRPr="00AA2F39">
        <w:rPr>
          <w:rFonts w:cs="Times New Roman"/>
        </w:rPr>
        <w:t xml:space="preserve"> </w:t>
      </w:r>
      <w:r w:rsidR="008823CA" w:rsidRPr="00AA2F39">
        <w:rPr>
          <w:rFonts w:cs="Times New Roman"/>
        </w:rPr>
        <w:t xml:space="preserve">the </w:t>
      </w:r>
      <w:r w:rsidR="00E90933" w:rsidRPr="00AA2F39">
        <w:rPr>
          <w:rFonts w:cs="Times New Roman"/>
        </w:rPr>
        <w:t xml:space="preserve">workforce. </w:t>
      </w:r>
    </w:p>
    <w:p w14:paraId="2CDB76E4" w14:textId="3F92C6C3" w:rsidR="00BC296E" w:rsidRPr="00AA2F39" w:rsidRDefault="00DF7033" w:rsidP="00F04954">
      <w:pPr>
        <w:spacing w:before="120" w:after="120"/>
        <w:jc w:val="both"/>
        <w:rPr>
          <w:rFonts w:cs="Times New Roman"/>
        </w:rPr>
      </w:pPr>
      <w:r w:rsidRPr="00AA2F39">
        <w:rPr>
          <w:rFonts w:cs="Times New Roman"/>
        </w:rPr>
        <w:t xml:space="preserve">(2) </w:t>
      </w:r>
      <w:r w:rsidRPr="00AA2F39">
        <w:rPr>
          <w:rFonts w:cs="Times New Roman"/>
          <w:i/>
        </w:rPr>
        <w:t>The Possibility to Bind Dissenting Creditors</w:t>
      </w:r>
      <w:r w:rsidR="00806F8C" w:rsidRPr="00AA2F39">
        <w:rPr>
          <w:rFonts w:cs="Times New Roman"/>
          <w:i/>
        </w:rPr>
        <w:t xml:space="preserve"> by a</w:t>
      </w:r>
      <w:r w:rsidR="00B96AF6" w:rsidRPr="00AA2F39">
        <w:rPr>
          <w:rFonts w:cs="Times New Roman"/>
          <w:i/>
        </w:rPr>
        <w:t xml:space="preserve"> Majority Vote</w:t>
      </w:r>
      <w:r w:rsidRPr="00AA2F39">
        <w:rPr>
          <w:rFonts w:cs="Times New Roman"/>
        </w:rPr>
        <w:t>:</w:t>
      </w:r>
      <w:r w:rsidR="002B2D7F" w:rsidRPr="00AA2F39">
        <w:rPr>
          <w:rFonts w:cs="Times New Roman"/>
        </w:rPr>
        <w:t xml:space="preserve"> </w:t>
      </w:r>
      <w:r w:rsidR="00B96AF6" w:rsidRPr="00AA2F39">
        <w:rPr>
          <w:rFonts w:cs="Times New Roman"/>
        </w:rPr>
        <w:t xml:space="preserve">The </w:t>
      </w:r>
      <w:r w:rsidR="000773AB" w:rsidRPr="00AA2F39">
        <w:rPr>
          <w:rFonts w:cs="Times New Roman"/>
        </w:rPr>
        <w:t>Proposal</w:t>
      </w:r>
      <w:r w:rsidR="00B96AF6" w:rsidRPr="00AA2F39">
        <w:rPr>
          <w:rFonts w:cs="Times New Roman"/>
        </w:rPr>
        <w:t xml:space="preserve"> woul</w:t>
      </w:r>
      <w:r w:rsidR="005F39D9" w:rsidRPr="00AA2F39">
        <w:rPr>
          <w:rFonts w:cs="Times New Roman"/>
        </w:rPr>
        <w:t xml:space="preserve">d come with a mechanism to bind </w:t>
      </w:r>
      <w:r w:rsidR="00B96AF6" w:rsidRPr="00AA2F39">
        <w:rPr>
          <w:rFonts w:cs="Times New Roman"/>
        </w:rPr>
        <w:t xml:space="preserve">dissenting creditors </w:t>
      </w:r>
      <w:r w:rsidR="005F39D9" w:rsidRPr="00AA2F39">
        <w:rPr>
          <w:rFonts w:cs="Times New Roman"/>
        </w:rPr>
        <w:t xml:space="preserve">(and members) </w:t>
      </w:r>
      <w:r w:rsidR="00B96AF6" w:rsidRPr="00AA2F39">
        <w:rPr>
          <w:rFonts w:cs="Times New Roman"/>
        </w:rPr>
        <w:t xml:space="preserve">by a </w:t>
      </w:r>
      <w:r w:rsidR="005F39D9" w:rsidRPr="00AA2F39">
        <w:rPr>
          <w:rFonts w:cs="Times New Roman"/>
        </w:rPr>
        <w:t xml:space="preserve">qualified </w:t>
      </w:r>
      <w:r w:rsidR="00B96AF6" w:rsidRPr="00AA2F39">
        <w:rPr>
          <w:rFonts w:cs="Times New Roman"/>
        </w:rPr>
        <w:t xml:space="preserve">majority </w:t>
      </w:r>
      <w:r w:rsidR="005F39D9" w:rsidRPr="00AA2F39">
        <w:rPr>
          <w:rFonts w:cs="Times New Roman"/>
        </w:rPr>
        <w:t>vote in each class.</w:t>
      </w:r>
      <w:r w:rsidR="005F39D9" w:rsidRPr="00AA2F39">
        <w:rPr>
          <w:rStyle w:val="FootnoteReference"/>
          <w:rFonts w:cs="Times New Roman"/>
        </w:rPr>
        <w:footnoteReference w:id="158"/>
      </w:r>
      <w:r w:rsidR="005F39D9" w:rsidRPr="00AA2F39">
        <w:rPr>
          <w:rFonts w:cs="Times New Roman"/>
        </w:rPr>
        <w:t xml:space="preserve"> </w:t>
      </w:r>
      <w:r w:rsidR="00AD0A93" w:rsidRPr="00AA2F39">
        <w:rPr>
          <w:rFonts w:cs="Times New Roman"/>
        </w:rPr>
        <w:t xml:space="preserve">Such a mechanism to bind creditors is paramount in case of dispersed and loose lending relations whereas a cooperative restructuring without a mechanism to bind </w:t>
      </w:r>
      <w:r w:rsidR="00AD0A93" w:rsidRPr="00AA2F39">
        <w:rPr>
          <w:rFonts w:cs="Times New Roman"/>
        </w:rPr>
        <w:lastRenderedPageBreak/>
        <w:t>dissenting creditors may still work out quite smoothly in case of concentrated relationship-lending.</w:t>
      </w:r>
      <w:r w:rsidR="00FF4098" w:rsidRPr="00AA2F39" w:rsidDel="00FF4098">
        <w:rPr>
          <w:rStyle w:val="FootnoteReference"/>
          <w:rFonts w:cs="Times New Roman"/>
        </w:rPr>
        <w:t xml:space="preserve"> </w:t>
      </w:r>
      <w:r w:rsidR="005A6462" w:rsidRPr="00AA2F39">
        <w:rPr>
          <w:rFonts w:cs="Times New Roman"/>
        </w:rPr>
        <w:t>A</w:t>
      </w:r>
      <w:r w:rsidR="00D87384" w:rsidRPr="00AA2F39">
        <w:rPr>
          <w:rFonts w:cs="Times New Roman"/>
        </w:rPr>
        <w:t xml:space="preserve">ccording to the </w:t>
      </w:r>
      <w:r w:rsidR="000773AB" w:rsidRPr="00AA2F39">
        <w:rPr>
          <w:rFonts w:cs="Times New Roman"/>
        </w:rPr>
        <w:t>Proposal</w:t>
      </w:r>
      <w:r w:rsidR="005F39D9" w:rsidRPr="00AA2F39">
        <w:rPr>
          <w:rFonts w:cs="Times New Roman"/>
        </w:rPr>
        <w:t xml:space="preserve">, the affirmative vote of one </w:t>
      </w:r>
      <w:r w:rsidR="0074556E" w:rsidRPr="00AA2F39">
        <w:rPr>
          <w:rFonts w:cs="Times New Roman"/>
        </w:rPr>
        <w:t xml:space="preserve">creditor </w:t>
      </w:r>
      <w:r w:rsidR="005F39D9" w:rsidRPr="00AA2F39">
        <w:rPr>
          <w:rFonts w:cs="Times New Roman"/>
        </w:rPr>
        <w:t xml:space="preserve">class </w:t>
      </w:r>
      <w:r w:rsidR="00937163" w:rsidRPr="00AA2F39">
        <w:rPr>
          <w:rFonts w:cs="Times New Roman"/>
        </w:rPr>
        <w:t>‘in-the-money’</w:t>
      </w:r>
      <w:r w:rsidR="005A6462" w:rsidRPr="00AA2F39">
        <w:rPr>
          <w:rFonts w:cs="Times New Roman"/>
        </w:rPr>
        <w:t xml:space="preserve"> </w:t>
      </w:r>
      <w:r w:rsidR="00937163" w:rsidRPr="00AA2F39">
        <w:rPr>
          <w:rFonts w:cs="Times New Roman"/>
        </w:rPr>
        <w:t xml:space="preserve">and </w:t>
      </w:r>
      <w:r w:rsidR="005F39D9" w:rsidRPr="00AA2F39">
        <w:rPr>
          <w:rFonts w:cs="Times New Roman"/>
        </w:rPr>
        <w:t xml:space="preserve">affected </w:t>
      </w:r>
      <w:r w:rsidR="0074556E" w:rsidRPr="00AA2F39">
        <w:rPr>
          <w:rFonts w:cs="Times New Roman"/>
        </w:rPr>
        <w:t xml:space="preserve">by the plan </w:t>
      </w:r>
      <w:r w:rsidR="005F39D9" w:rsidRPr="00AA2F39">
        <w:rPr>
          <w:rFonts w:cs="Times New Roman"/>
        </w:rPr>
        <w:t xml:space="preserve">shall </w:t>
      </w:r>
      <w:r w:rsidR="00CC0638" w:rsidRPr="00AA2F39">
        <w:rPr>
          <w:rFonts w:cs="Times New Roman"/>
        </w:rPr>
        <w:t>be sufficient for a cross-class</w:t>
      </w:r>
      <w:r w:rsidR="00931793" w:rsidRPr="00AA2F39">
        <w:rPr>
          <w:rFonts w:cs="Times New Roman"/>
        </w:rPr>
        <w:t xml:space="preserve"> </w:t>
      </w:r>
      <w:r w:rsidR="00CC0638" w:rsidRPr="00AA2F39">
        <w:rPr>
          <w:rFonts w:cs="Times New Roman"/>
        </w:rPr>
        <w:t>cram</w:t>
      </w:r>
      <w:r w:rsidR="00931793" w:rsidRPr="00AA2F39">
        <w:rPr>
          <w:rFonts w:cs="Times New Roman"/>
        </w:rPr>
        <w:t>-</w:t>
      </w:r>
      <w:r w:rsidR="00CC0638" w:rsidRPr="00AA2F39">
        <w:rPr>
          <w:rFonts w:cs="Times New Roman"/>
        </w:rPr>
        <w:t xml:space="preserve">down </w:t>
      </w:r>
      <w:r w:rsidR="0074556E" w:rsidRPr="00AA2F39">
        <w:rPr>
          <w:rFonts w:cs="Times New Roman"/>
        </w:rPr>
        <w:t>after</w:t>
      </w:r>
      <w:r w:rsidR="00CC0638" w:rsidRPr="00AA2F39">
        <w:rPr>
          <w:rFonts w:cs="Times New Roman"/>
        </w:rPr>
        <w:t xml:space="preserve"> closer examination </w:t>
      </w:r>
      <w:r w:rsidR="0074556E" w:rsidRPr="00AA2F39">
        <w:rPr>
          <w:rFonts w:cs="Times New Roman"/>
        </w:rPr>
        <w:t>by a</w:t>
      </w:r>
      <w:r w:rsidR="00CC0638" w:rsidRPr="00AA2F39">
        <w:rPr>
          <w:rFonts w:cs="Times New Roman"/>
        </w:rPr>
        <w:t xml:space="preserve"> competent</w:t>
      </w:r>
      <w:r w:rsidR="0074556E" w:rsidRPr="00AA2F39">
        <w:rPr>
          <w:rFonts w:cs="Times New Roman"/>
        </w:rPr>
        <w:t xml:space="preserve"> authority and only in case that the absolute priority rule applies.</w:t>
      </w:r>
      <w:r w:rsidR="00AD5224" w:rsidRPr="00AA2F39">
        <w:rPr>
          <w:rFonts w:cs="Times New Roman"/>
        </w:rPr>
        <w:t xml:space="preserve"> The member states may increase the number of classes necessary for a cross-class</w:t>
      </w:r>
      <w:r w:rsidR="00931793" w:rsidRPr="00AA2F39">
        <w:rPr>
          <w:rFonts w:cs="Times New Roman"/>
        </w:rPr>
        <w:t xml:space="preserve"> </w:t>
      </w:r>
      <w:r w:rsidR="00AD5224" w:rsidRPr="00AA2F39">
        <w:rPr>
          <w:rFonts w:cs="Times New Roman"/>
        </w:rPr>
        <w:t>cram</w:t>
      </w:r>
      <w:r w:rsidR="00931793" w:rsidRPr="00AA2F39">
        <w:rPr>
          <w:rFonts w:cs="Times New Roman"/>
        </w:rPr>
        <w:t>-</w:t>
      </w:r>
      <w:r w:rsidR="00AD5224" w:rsidRPr="00AA2F39">
        <w:rPr>
          <w:rFonts w:cs="Times New Roman"/>
        </w:rPr>
        <w:t>down.</w:t>
      </w:r>
      <w:r w:rsidR="0074556E" w:rsidRPr="00AA2F39">
        <w:rPr>
          <w:rStyle w:val="FootnoteReference"/>
          <w:rFonts w:cs="Times New Roman"/>
        </w:rPr>
        <w:footnoteReference w:id="159"/>
      </w:r>
      <w:r w:rsidR="0074556E" w:rsidRPr="00AA2F39">
        <w:rPr>
          <w:rFonts w:cs="Times New Roman"/>
        </w:rPr>
        <w:t xml:space="preserve"> </w:t>
      </w:r>
    </w:p>
    <w:p w14:paraId="1D35BE53" w14:textId="4872A43A" w:rsidR="00DF7033" w:rsidRPr="00AA2F39" w:rsidRDefault="0074556E" w:rsidP="00F04954">
      <w:pPr>
        <w:spacing w:before="120" w:after="120"/>
        <w:jc w:val="both"/>
        <w:rPr>
          <w:rFonts w:cs="Times New Roman"/>
        </w:rPr>
      </w:pPr>
      <w:r w:rsidRPr="00AA2F39">
        <w:rPr>
          <w:rFonts w:cs="Times New Roman"/>
        </w:rPr>
        <w:t>Out of the five countries evaluated, the UK provides for the earliest restructuring option to bind (secured and unsecured) creditors of a (still solvent) debtor</w:t>
      </w:r>
      <w:r w:rsidR="00E4165A" w:rsidRPr="00AA2F39">
        <w:rPr>
          <w:rFonts w:cs="Times New Roman"/>
        </w:rPr>
        <w:t xml:space="preserve"> with the Scheme of Arrangement</w:t>
      </w:r>
      <w:r w:rsidRPr="00AA2F39">
        <w:rPr>
          <w:rFonts w:cs="Times New Roman"/>
        </w:rPr>
        <w:t xml:space="preserve">. The preventive restructuring mechanism would go a few steps further. Not only </w:t>
      </w:r>
      <w:r w:rsidR="008C13AD" w:rsidRPr="00AA2F39">
        <w:rPr>
          <w:rFonts w:cs="Times New Roman"/>
        </w:rPr>
        <w:t>would a majority be entitled to bind a dissenting minority so as to overcome the free rider dilemma in restructuring negotiations</w:t>
      </w:r>
      <w:r w:rsidR="00931793" w:rsidRPr="00AA2F39">
        <w:rPr>
          <w:rFonts w:cs="Times New Roman"/>
        </w:rPr>
        <w:t xml:space="preserve">, but </w:t>
      </w:r>
      <w:r w:rsidR="008C13AD" w:rsidRPr="00AA2F39">
        <w:rPr>
          <w:rFonts w:cs="Times New Roman"/>
        </w:rPr>
        <w:t>a minority of all creditors, i.e., the majority of just one class, would</w:t>
      </w:r>
      <w:r w:rsidR="00931793" w:rsidRPr="00AA2F39">
        <w:rPr>
          <w:rFonts w:cs="Times New Roman"/>
        </w:rPr>
        <w:t xml:space="preserve"> also</w:t>
      </w:r>
      <w:r w:rsidR="008C13AD" w:rsidRPr="00AA2F39">
        <w:rPr>
          <w:rFonts w:cs="Times New Roman"/>
        </w:rPr>
        <w:t xml:space="preserve"> be able to bind the majority of dissenting creditors in </w:t>
      </w:r>
      <w:r w:rsidR="00AD5224" w:rsidRPr="00AA2F39">
        <w:rPr>
          <w:rFonts w:cs="Times New Roman"/>
        </w:rPr>
        <w:t xml:space="preserve">all </w:t>
      </w:r>
      <w:r w:rsidR="008C13AD" w:rsidRPr="00AA2F39">
        <w:rPr>
          <w:rFonts w:cs="Times New Roman"/>
        </w:rPr>
        <w:t>other classes. Such a tool features in other</w:t>
      </w:r>
      <w:r w:rsidR="00AD5224" w:rsidRPr="00AA2F39">
        <w:rPr>
          <w:rFonts w:cs="Times New Roman"/>
        </w:rPr>
        <w:t xml:space="preserve"> insolvency regimes as well. </w:t>
      </w:r>
      <w:r w:rsidR="00937163" w:rsidRPr="00AA2F39">
        <w:rPr>
          <w:rFonts w:cs="Times New Roman"/>
        </w:rPr>
        <w:t xml:space="preserve">The </w:t>
      </w:r>
      <w:r w:rsidR="000773AB" w:rsidRPr="00AA2F39">
        <w:rPr>
          <w:rFonts w:cs="Times New Roman"/>
        </w:rPr>
        <w:t>Proposal’s</w:t>
      </w:r>
      <w:r w:rsidR="00937163" w:rsidRPr="00AA2F39">
        <w:rPr>
          <w:rFonts w:cs="Times New Roman"/>
        </w:rPr>
        <w:t xml:space="preserve"> mechanisms seem to be modelled after the US Chapter 11 procedure in this regard. Other countries, such as Germany, would require the approval of the plan by at least the majority of classes (and not just a single class) for a cross-class</w:t>
      </w:r>
      <w:r w:rsidR="000773AB" w:rsidRPr="00AA2F39">
        <w:rPr>
          <w:rFonts w:cs="Times New Roman"/>
        </w:rPr>
        <w:t xml:space="preserve"> </w:t>
      </w:r>
      <w:r w:rsidR="00937163" w:rsidRPr="00AA2F39">
        <w:rPr>
          <w:rFonts w:cs="Times New Roman"/>
        </w:rPr>
        <w:t>cram-down.</w:t>
      </w:r>
      <w:r w:rsidR="00AD5224" w:rsidRPr="00AA2F39">
        <w:rPr>
          <w:rFonts w:cs="Times New Roman"/>
        </w:rPr>
        <w:t xml:space="preserve"> </w:t>
      </w:r>
      <w:r w:rsidR="00ED6F5A" w:rsidRPr="00AA2F39">
        <w:rPr>
          <w:rFonts w:cs="Times New Roman"/>
        </w:rPr>
        <w:t xml:space="preserve">In France, dissenting secured and unsecured creditors may be bound by a majority vote to a restructuring plan under the </w:t>
      </w:r>
      <w:proofErr w:type="spellStart"/>
      <w:r w:rsidR="00ED6F5A" w:rsidRPr="00AA2F39">
        <w:rPr>
          <w:rFonts w:cs="Times New Roman"/>
          <w:i/>
        </w:rPr>
        <w:t>sauvegarde</w:t>
      </w:r>
      <w:proofErr w:type="spellEnd"/>
      <w:r w:rsidR="00ED6F5A" w:rsidRPr="00AA2F39">
        <w:rPr>
          <w:rFonts w:cs="Times New Roman"/>
        </w:rPr>
        <w:t xml:space="preserve"> procedure</w:t>
      </w:r>
      <w:r w:rsidR="008032FB" w:rsidRPr="00AA2F39">
        <w:rPr>
          <w:rFonts w:cs="Times New Roman"/>
        </w:rPr>
        <w:t>. However, there is no cross-class cram</w:t>
      </w:r>
      <w:r w:rsidR="000773AB" w:rsidRPr="00AA2F39">
        <w:rPr>
          <w:rFonts w:cs="Times New Roman"/>
        </w:rPr>
        <w:t>-do</w:t>
      </w:r>
      <w:r w:rsidR="008032FB" w:rsidRPr="00AA2F39">
        <w:rPr>
          <w:rFonts w:cs="Times New Roman"/>
        </w:rPr>
        <w:t>wn mechanism, yet it has been mentioned as a point for improvement by the European Parliament.</w:t>
      </w:r>
      <w:r w:rsidR="008032FB" w:rsidRPr="00AA2F39">
        <w:rPr>
          <w:rStyle w:val="FootnoteReference"/>
          <w:rFonts w:cs="Times New Roman"/>
        </w:rPr>
        <w:footnoteReference w:id="160"/>
      </w:r>
      <w:r w:rsidR="00ED6F5A" w:rsidRPr="00AA2F39">
        <w:rPr>
          <w:rFonts w:cs="Times New Roman"/>
        </w:rPr>
        <w:t xml:space="preserve"> In Denmark,</w:t>
      </w:r>
      <w:r w:rsidR="00304D2F" w:rsidRPr="00AA2F39">
        <w:rPr>
          <w:rFonts w:cs="Times New Roman"/>
        </w:rPr>
        <w:t xml:space="preserve"> </w:t>
      </w:r>
      <w:r w:rsidR="00ED6F5A" w:rsidRPr="00AA2F39">
        <w:rPr>
          <w:rFonts w:cs="Times New Roman"/>
        </w:rPr>
        <w:t>only unsecured creditors can be bound to a plan while secured creditors may not be affected by a plan</w:t>
      </w:r>
      <w:r w:rsidR="00377E90" w:rsidRPr="00AA2F39">
        <w:rPr>
          <w:rFonts w:cs="Times New Roman"/>
        </w:rPr>
        <w:t xml:space="preserve"> and still enforce their claim</w:t>
      </w:r>
      <w:r w:rsidR="000773AB" w:rsidRPr="00AA2F39">
        <w:rPr>
          <w:rFonts w:cs="Times New Roman"/>
        </w:rPr>
        <w:t xml:space="preserve"> once the proceeding is complete</w:t>
      </w:r>
      <w:r w:rsidR="00ED6F5A" w:rsidRPr="00AA2F39">
        <w:rPr>
          <w:rFonts w:cs="Times New Roman"/>
        </w:rPr>
        <w:t>.</w:t>
      </w:r>
      <w:r w:rsidR="00377E90" w:rsidRPr="00AA2F39">
        <w:rPr>
          <w:rFonts w:cs="Times New Roman"/>
        </w:rPr>
        <w:t xml:space="preserve"> Considering the high level of collateralization in Denmark a key element for successful restructurings is missing</w:t>
      </w:r>
      <w:r w:rsidR="00E36B9F" w:rsidRPr="00AA2F39">
        <w:rPr>
          <w:rFonts w:cs="Times New Roman"/>
        </w:rPr>
        <w:t>,</w:t>
      </w:r>
      <w:r w:rsidR="00377E90" w:rsidRPr="00AA2F39">
        <w:rPr>
          <w:rFonts w:cs="Times New Roman"/>
        </w:rPr>
        <w:t xml:space="preserve"> at least in </w:t>
      </w:r>
      <w:r w:rsidR="000773AB" w:rsidRPr="00AA2F39">
        <w:rPr>
          <w:rFonts w:cs="Times New Roman"/>
        </w:rPr>
        <w:t xml:space="preserve">the </w:t>
      </w:r>
      <w:r w:rsidR="00377E90" w:rsidRPr="00AA2F39">
        <w:rPr>
          <w:rFonts w:cs="Times New Roman"/>
        </w:rPr>
        <w:t>case that the debtor is confronted with a dispersed credit structure.</w:t>
      </w:r>
      <w:r w:rsidR="00304D2F" w:rsidRPr="00AA2F39">
        <w:rPr>
          <w:rFonts w:cs="Times New Roman"/>
        </w:rPr>
        <w:t xml:space="preserve"> </w:t>
      </w:r>
      <w:r w:rsidR="00AD5224" w:rsidRPr="00AA2F39">
        <w:rPr>
          <w:rFonts w:cs="Times New Roman"/>
        </w:rPr>
        <w:t xml:space="preserve">In </w:t>
      </w:r>
      <w:r w:rsidR="00B72578">
        <w:rPr>
          <w:rFonts w:cs="Times New Roman"/>
        </w:rPr>
        <w:t>T</w:t>
      </w:r>
      <w:r w:rsidR="00AD5224" w:rsidRPr="00AA2F39">
        <w:rPr>
          <w:rFonts w:cs="Times New Roman"/>
        </w:rPr>
        <w:t>he Netherlands</w:t>
      </w:r>
      <w:r w:rsidR="009E08F6" w:rsidRPr="00AA2F39">
        <w:rPr>
          <w:rFonts w:cs="Times New Roman"/>
        </w:rPr>
        <w:t>,</w:t>
      </w:r>
      <w:r w:rsidR="00AD5224" w:rsidRPr="00AA2F39">
        <w:rPr>
          <w:rFonts w:cs="Times New Roman"/>
        </w:rPr>
        <w:t xml:space="preserve"> </w:t>
      </w:r>
      <w:r w:rsidR="00E36B9F" w:rsidRPr="00AA2F39">
        <w:rPr>
          <w:rFonts w:cs="Times New Roman"/>
        </w:rPr>
        <w:t xml:space="preserve">a court-confirmed composition in a </w:t>
      </w:r>
      <w:r w:rsidR="00F964CB" w:rsidRPr="00AA2F39">
        <w:rPr>
          <w:rFonts w:cs="Times New Roman"/>
        </w:rPr>
        <w:t xml:space="preserve">bankruptcy or suspension of payments </w:t>
      </w:r>
      <w:r w:rsidR="00E36B9F" w:rsidRPr="00AA2F39">
        <w:rPr>
          <w:rFonts w:cs="Times New Roman"/>
        </w:rPr>
        <w:t xml:space="preserve">proceeding binds dissenting creditors. Currently, </w:t>
      </w:r>
      <w:r w:rsidR="00AD5224" w:rsidRPr="00AA2F39">
        <w:rPr>
          <w:rFonts w:cs="Times New Roman"/>
        </w:rPr>
        <w:t>no such procedure exist</w:t>
      </w:r>
      <w:r w:rsidR="00377E90" w:rsidRPr="00AA2F39">
        <w:rPr>
          <w:rFonts w:cs="Times New Roman"/>
        </w:rPr>
        <w:t>s to bind dissenting creditors</w:t>
      </w:r>
      <w:r w:rsidR="00E36B9F" w:rsidRPr="00AA2F39">
        <w:rPr>
          <w:rFonts w:cs="Times New Roman"/>
        </w:rPr>
        <w:t xml:space="preserve"> in the pre-insolvency phase, but legislation is pending in this respect</w:t>
      </w:r>
      <w:r w:rsidR="00377E90" w:rsidRPr="00AA2F39">
        <w:rPr>
          <w:rFonts w:cs="Times New Roman"/>
        </w:rPr>
        <w:t>.</w:t>
      </w:r>
    </w:p>
    <w:p w14:paraId="680CC390" w14:textId="288D1DB4" w:rsidR="004C30E9" w:rsidRPr="00AA2F39" w:rsidRDefault="00DF7033" w:rsidP="00F04954">
      <w:pPr>
        <w:spacing w:before="120" w:after="120"/>
        <w:jc w:val="both"/>
        <w:rPr>
          <w:rFonts w:cs="Times New Roman"/>
        </w:rPr>
      </w:pPr>
      <w:r w:rsidRPr="00AA2F39">
        <w:rPr>
          <w:rFonts w:cs="Times New Roman"/>
        </w:rPr>
        <w:t xml:space="preserve">(3) </w:t>
      </w:r>
      <w:r w:rsidRPr="00AA2F39">
        <w:rPr>
          <w:rFonts w:cs="Times New Roman"/>
          <w:i/>
        </w:rPr>
        <w:t>The Incentives to Enter a Preventive/Early Restructuring Mechanism</w:t>
      </w:r>
      <w:r w:rsidRPr="00AA2F39">
        <w:rPr>
          <w:rFonts w:cs="Times New Roman"/>
        </w:rPr>
        <w:t>:</w:t>
      </w:r>
      <w:r w:rsidR="00137CE3" w:rsidRPr="00AA2F39">
        <w:rPr>
          <w:rFonts w:cs="Times New Roman"/>
        </w:rPr>
        <w:t xml:space="preserve"> </w:t>
      </w:r>
      <w:r w:rsidR="0095295B" w:rsidRPr="00AA2F39">
        <w:rPr>
          <w:rFonts w:cs="Times New Roman"/>
        </w:rPr>
        <w:t xml:space="preserve">An early entry into restructuring negotiations is regularly associated with a win-win-situation for the parties involved. The debtor should possess sufficient assets for a turn-around and the need for relatively </w:t>
      </w:r>
      <w:r w:rsidR="00BD57C1" w:rsidRPr="00AA2F39">
        <w:rPr>
          <w:rFonts w:cs="Times New Roman"/>
        </w:rPr>
        <w:t>small concessions may increase the creditors</w:t>
      </w:r>
      <w:r w:rsidR="002659F1" w:rsidRPr="00AA2F39">
        <w:rPr>
          <w:rFonts w:cs="Times New Roman"/>
        </w:rPr>
        <w:t>’</w:t>
      </w:r>
      <w:r w:rsidR="00BD57C1" w:rsidRPr="00AA2F39">
        <w:rPr>
          <w:rFonts w:cs="Times New Roman"/>
        </w:rPr>
        <w:t xml:space="preserve"> willingness to cooperate.</w:t>
      </w:r>
      <w:r w:rsidR="0095295B" w:rsidRPr="00AA2F39">
        <w:rPr>
          <w:rFonts w:cs="Times New Roman"/>
        </w:rPr>
        <w:t xml:space="preserve"> </w:t>
      </w:r>
      <w:r w:rsidR="00137CE3" w:rsidRPr="00AA2F39">
        <w:rPr>
          <w:rFonts w:cs="Times New Roman"/>
        </w:rPr>
        <w:t xml:space="preserve">The best incentive to enter a restructuring procedure for </w:t>
      </w:r>
      <w:r w:rsidR="00711488" w:rsidRPr="00AA2F39">
        <w:rPr>
          <w:rFonts w:cs="Times New Roman"/>
        </w:rPr>
        <w:t>the</w:t>
      </w:r>
      <w:r w:rsidR="00E93D47" w:rsidRPr="00AA2F39">
        <w:rPr>
          <w:rFonts w:cs="Times New Roman"/>
        </w:rPr>
        <w:t xml:space="preserve"> debtor and its creditors </w:t>
      </w:r>
      <w:r w:rsidR="0095295B" w:rsidRPr="00AA2F39">
        <w:rPr>
          <w:rFonts w:cs="Times New Roman"/>
        </w:rPr>
        <w:t xml:space="preserve">at an early point in time </w:t>
      </w:r>
      <w:r w:rsidR="00E93D47" w:rsidRPr="00AA2F39">
        <w:rPr>
          <w:rFonts w:cs="Times New Roman"/>
        </w:rPr>
        <w:t>is a good prospect</w:t>
      </w:r>
      <w:r w:rsidR="0095295B" w:rsidRPr="00AA2F39">
        <w:rPr>
          <w:rFonts w:cs="Times New Roman"/>
        </w:rPr>
        <w:t xml:space="preserve"> for</w:t>
      </w:r>
      <w:r w:rsidR="00F41D2B" w:rsidRPr="00AA2F39">
        <w:rPr>
          <w:rFonts w:cs="Times New Roman"/>
        </w:rPr>
        <w:t xml:space="preserve"> a successful </w:t>
      </w:r>
      <w:r w:rsidR="0095295B" w:rsidRPr="00AA2F39">
        <w:rPr>
          <w:rFonts w:cs="Times New Roman"/>
        </w:rPr>
        <w:t>restructuring</w:t>
      </w:r>
      <w:r w:rsidR="00F41D2B" w:rsidRPr="00AA2F39">
        <w:rPr>
          <w:rFonts w:cs="Times New Roman"/>
        </w:rPr>
        <w:t xml:space="preserve"> agreement</w:t>
      </w:r>
      <w:r w:rsidR="0095295B" w:rsidRPr="00AA2F39">
        <w:rPr>
          <w:rFonts w:cs="Times New Roman"/>
        </w:rPr>
        <w:t xml:space="preserve">. Once an official restructuring procedure is initiated, procedural costs </w:t>
      </w:r>
      <w:r w:rsidR="000773AB" w:rsidRPr="00AA2F39">
        <w:rPr>
          <w:rFonts w:cs="Times New Roman"/>
        </w:rPr>
        <w:t>are incurred</w:t>
      </w:r>
      <w:r w:rsidR="0095295B" w:rsidRPr="00AA2F39">
        <w:rPr>
          <w:rFonts w:cs="Times New Roman"/>
        </w:rPr>
        <w:t xml:space="preserve"> and information about the </w:t>
      </w:r>
      <w:r w:rsidR="00BD57C1" w:rsidRPr="00AA2F39">
        <w:rPr>
          <w:rFonts w:cs="Times New Roman"/>
        </w:rPr>
        <w:t>debtor’s evaluation that a restructuring</w:t>
      </w:r>
      <w:r w:rsidR="0095295B" w:rsidRPr="00AA2F39">
        <w:rPr>
          <w:rFonts w:cs="Times New Roman"/>
        </w:rPr>
        <w:t xml:space="preserve"> </w:t>
      </w:r>
      <w:r w:rsidR="00BD57C1" w:rsidRPr="00AA2F39">
        <w:rPr>
          <w:rFonts w:cs="Times New Roman"/>
        </w:rPr>
        <w:t>is necessary circulate</w:t>
      </w:r>
      <w:r w:rsidR="00F41D2B" w:rsidRPr="00AA2F39">
        <w:rPr>
          <w:rFonts w:cs="Times New Roman"/>
        </w:rPr>
        <w:t>s</w:t>
      </w:r>
      <w:r w:rsidR="0095295B" w:rsidRPr="00AA2F39">
        <w:rPr>
          <w:rFonts w:cs="Times New Roman"/>
        </w:rPr>
        <w:t xml:space="preserve">. If the restructuring eventually fails, the debtor has to carry the procedural and reputational costs without the benefit of a </w:t>
      </w:r>
      <w:r w:rsidR="000773AB" w:rsidRPr="00AA2F39">
        <w:rPr>
          <w:rFonts w:cs="Times New Roman"/>
        </w:rPr>
        <w:t>reorganised</w:t>
      </w:r>
      <w:r w:rsidR="0095295B" w:rsidRPr="00AA2F39">
        <w:rPr>
          <w:rFonts w:cs="Times New Roman"/>
        </w:rPr>
        <w:t xml:space="preserve"> </w:t>
      </w:r>
      <w:r w:rsidR="00BD57C1" w:rsidRPr="00AA2F39">
        <w:rPr>
          <w:rFonts w:cs="Times New Roman"/>
        </w:rPr>
        <w:t xml:space="preserve">capital structure. </w:t>
      </w:r>
      <w:r w:rsidR="00F41D2B" w:rsidRPr="00AA2F39">
        <w:rPr>
          <w:rFonts w:cs="Times New Roman"/>
        </w:rPr>
        <w:t>The start of restructuring negotiations, thus, comes as a risk</w:t>
      </w:r>
      <w:r w:rsidR="000962F0" w:rsidRPr="00AA2F39">
        <w:rPr>
          <w:rFonts w:cs="Times New Roman"/>
        </w:rPr>
        <w:t>y</w:t>
      </w:r>
      <w:r w:rsidR="00F41D2B" w:rsidRPr="00AA2F39">
        <w:rPr>
          <w:rFonts w:cs="Times New Roman"/>
        </w:rPr>
        <w:t xml:space="preserve"> investment </w:t>
      </w:r>
      <w:r w:rsidR="000773AB" w:rsidRPr="00AA2F39">
        <w:rPr>
          <w:rFonts w:cs="Times New Roman"/>
        </w:rPr>
        <w:t>that</w:t>
      </w:r>
      <w:r w:rsidR="00F41D2B" w:rsidRPr="00AA2F39">
        <w:rPr>
          <w:rFonts w:cs="Times New Roman"/>
        </w:rPr>
        <w:t xml:space="preserve"> will only pay off </w:t>
      </w:r>
      <w:r w:rsidR="00BD57C1" w:rsidRPr="00AA2F39">
        <w:rPr>
          <w:rFonts w:cs="Times New Roman"/>
        </w:rPr>
        <w:t xml:space="preserve">if there </w:t>
      </w:r>
      <w:r w:rsidR="000B6195" w:rsidRPr="00AA2F39">
        <w:rPr>
          <w:rFonts w:cs="Times New Roman"/>
        </w:rPr>
        <w:t>is</w:t>
      </w:r>
      <w:r w:rsidR="00BD57C1" w:rsidRPr="00AA2F39">
        <w:rPr>
          <w:rFonts w:cs="Times New Roman"/>
        </w:rPr>
        <w:t xml:space="preserve"> a sufficient/high probability of success. </w:t>
      </w:r>
      <w:r w:rsidR="002659F1" w:rsidRPr="00AA2F39">
        <w:rPr>
          <w:rFonts w:cs="Times New Roman"/>
        </w:rPr>
        <w:t>While in a concentrated relationship lending structure, restructuring can work very well without a formal procedure, a more dispersed or rather loose lending structure requires a more formal approach,</w:t>
      </w:r>
      <w:r w:rsidR="005A0973" w:rsidRPr="00AA2F39">
        <w:rPr>
          <w:rFonts w:cs="Times New Roman"/>
        </w:rPr>
        <w:t xml:space="preserve"> such as a </w:t>
      </w:r>
      <w:r w:rsidR="002659F1" w:rsidRPr="00AA2F39">
        <w:rPr>
          <w:rFonts w:cs="Times New Roman"/>
        </w:rPr>
        <w:t>mechanism to bind dissenting creditors</w:t>
      </w:r>
      <w:r w:rsidR="00582B48">
        <w:rPr>
          <w:rFonts w:cs="Times New Roman"/>
        </w:rPr>
        <w:t xml:space="preserve">, </w:t>
      </w:r>
      <w:r w:rsidR="00063B3B">
        <w:rPr>
          <w:rFonts w:cs="Times New Roman"/>
        </w:rPr>
        <w:t>which may</w:t>
      </w:r>
      <w:r w:rsidR="00582B48">
        <w:rPr>
          <w:rFonts w:cs="Times New Roman"/>
        </w:rPr>
        <w:t xml:space="preserve"> also promote the involved parties to restructure in the shadow of such laws</w:t>
      </w:r>
      <w:r w:rsidR="002659F1" w:rsidRPr="00AA2F39">
        <w:rPr>
          <w:rFonts w:cs="Times New Roman"/>
        </w:rPr>
        <w:t xml:space="preserve">. </w:t>
      </w:r>
      <w:r w:rsidR="000B6195" w:rsidRPr="00AA2F39">
        <w:rPr>
          <w:rFonts w:cs="Times New Roman"/>
        </w:rPr>
        <w:t>Such a tool</w:t>
      </w:r>
      <w:r w:rsidR="00D903FA" w:rsidRPr="00AA2F39">
        <w:rPr>
          <w:rFonts w:cs="Times New Roman"/>
        </w:rPr>
        <w:t xml:space="preserve"> </w:t>
      </w:r>
      <w:r w:rsidR="000B6195" w:rsidRPr="00AA2F39">
        <w:rPr>
          <w:rFonts w:cs="Times New Roman"/>
        </w:rPr>
        <w:t xml:space="preserve">is thus </w:t>
      </w:r>
      <w:r w:rsidR="00173E3C" w:rsidRPr="00AA2F39">
        <w:rPr>
          <w:rFonts w:cs="Times New Roman"/>
        </w:rPr>
        <w:t xml:space="preserve">a key incentive for the initiation of </w:t>
      </w:r>
      <w:r w:rsidR="008752B3" w:rsidRPr="00AA2F39">
        <w:rPr>
          <w:rFonts w:cs="Times New Roman"/>
        </w:rPr>
        <w:t xml:space="preserve">a restructuring procedure for the debtor. If the debtor sees no real prospect to succeed with its restructuring offer, the debtor will </w:t>
      </w:r>
      <w:r w:rsidR="00CC2DB7" w:rsidRPr="00AA2F39">
        <w:rPr>
          <w:rFonts w:cs="Times New Roman"/>
        </w:rPr>
        <w:t xml:space="preserve">be incentivized </w:t>
      </w:r>
      <w:r w:rsidR="008752B3" w:rsidRPr="00AA2F39">
        <w:rPr>
          <w:rFonts w:cs="Times New Roman"/>
        </w:rPr>
        <w:t xml:space="preserve">to delay </w:t>
      </w:r>
      <w:r w:rsidR="00D903FA" w:rsidRPr="00AA2F39">
        <w:rPr>
          <w:rFonts w:cs="Times New Roman"/>
        </w:rPr>
        <w:t>any formal procedure and opt for more risky turn-around strategies with a lower expectation value</w:t>
      </w:r>
      <w:r w:rsidR="000B6195" w:rsidRPr="00AA2F39">
        <w:rPr>
          <w:rFonts w:cs="Times New Roman"/>
        </w:rPr>
        <w:t xml:space="preserve"> </w:t>
      </w:r>
      <w:r w:rsidR="00D903FA" w:rsidRPr="00AA2F39">
        <w:rPr>
          <w:rFonts w:cs="Times New Roman"/>
        </w:rPr>
        <w:t xml:space="preserve">than a successful restructuring regime could offer. As discussed in the previous sub-section 4(2), all </w:t>
      </w:r>
      <w:r w:rsidR="00D903FA" w:rsidRPr="00AA2F39">
        <w:rPr>
          <w:rFonts w:cs="Times New Roman"/>
        </w:rPr>
        <w:lastRenderedPageBreak/>
        <w:t>countries ex</w:t>
      </w:r>
      <w:r w:rsidR="00B72578">
        <w:rPr>
          <w:rFonts w:cs="Times New Roman"/>
        </w:rPr>
        <w:t>cep</w:t>
      </w:r>
      <w:r w:rsidR="00D903FA" w:rsidRPr="00AA2F39">
        <w:rPr>
          <w:rFonts w:cs="Times New Roman"/>
        </w:rPr>
        <w:t xml:space="preserve">t </w:t>
      </w:r>
      <w:r w:rsidR="00B72578">
        <w:rPr>
          <w:rFonts w:cs="Times New Roman"/>
        </w:rPr>
        <w:t>T</w:t>
      </w:r>
      <w:r w:rsidR="00D903FA" w:rsidRPr="00AA2F39">
        <w:rPr>
          <w:rFonts w:cs="Times New Roman"/>
        </w:rPr>
        <w:t>he Netherlands provide for such a mechanism</w:t>
      </w:r>
      <w:r w:rsidR="003637E9" w:rsidRPr="00AA2F39">
        <w:rPr>
          <w:rFonts w:cs="Times New Roman"/>
        </w:rPr>
        <w:t xml:space="preserve"> for restructuring proceedings, although</w:t>
      </w:r>
      <w:r w:rsidR="00D903FA" w:rsidRPr="00AA2F39">
        <w:rPr>
          <w:rFonts w:cs="Times New Roman"/>
        </w:rPr>
        <w:t xml:space="preserve"> </w:t>
      </w:r>
      <w:r w:rsidR="00D90146" w:rsidRPr="00AA2F39">
        <w:rPr>
          <w:rFonts w:cs="Times New Roman"/>
        </w:rPr>
        <w:t xml:space="preserve">legislation is pending </w:t>
      </w:r>
      <w:r w:rsidR="003637E9" w:rsidRPr="00AA2F39">
        <w:rPr>
          <w:rFonts w:cs="Times New Roman"/>
        </w:rPr>
        <w:t>in this respect</w:t>
      </w:r>
      <w:r w:rsidR="00FF4098" w:rsidRPr="00AA2F39">
        <w:rPr>
          <w:rFonts w:cs="Times New Roman"/>
        </w:rPr>
        <w:t>.</w:t>
      </w:r>
      <w:r w:rsidR="00D90146" w:rsidRPr="00AA2F39">
        <w:rPr>
          <w:rFonts w:cs="Times New Roman"/>
        </w:rPr>
        <w:t xml:space="preserve"> </w:t>
      </w:r>
      <w:r w:rsidR="00FF4098" w:rsidRPr="00AA2F39">
        <w:rPr>
          <w:rFonts w:cs="Times New Roman"/>
        </w:rPr>
        <w:t>While the</w:t>
      </w:r>
      <w:r w:rsidR="00D903FA" w:rsidRPr="00AA2F39">
        <w:rPr>
          <w:rFonts w:cs="Times New Roman"/>
        </w:rPr>
        <w:t xml:space="preserve"> Danish regime </w:t>
      </w:r>
      <w:r w:rsidR="00FF4098" w:rsidRPr="00AA2F39">
        <w:rPr>
          <w:rFonts w:cs="Times New Roman"/>
        </w:rPr>
        <w:t xml:space="preserve">allows for a binding majority vote, it </w:t>
      </w:r>
      <w:r w:rsidR="00D903FA" w:rsidRPr="00AA2F39">
        <w:rPr>
          <w:rFonts w:cs="Times New Roman"/>
        </w:rPr>
        <w:t>limits the binding effect to unsecured creditors</w:t>
      </w:r>
      <w:r w:rsidR="00FF4098" w:rsidRPr="00AA2F39">
        <w:rPr>
          <w:rFonts w:cs="Times New Roman"/>
        </w:rPr>
        <w:t xml:space="preserve"> with no mechanism available to bind secured creditors, which however often hold a substantial share of companies’ debt, making cooperative restructurings a tough business</w:t>
      </w:r>
      <w:r w:rsidR="00D903FA" w:rsidRPr="00AA2F39">
        <w:rPr>
          <w:rFonts w:cs="Times New Roman"/>
        </w:rPr>
        <w:t xml:space="preserve">. </w:t>
      </w:r>
    </w:p>
    <w:p w14:paraId="752A75A5" w14:textId="6F8501BD" w:rsidR="00975F01" w:rsidRPr="00AA2F39" w:rsidRDefault="00021F45" w:rsidP="00F04954">
      <w:pPr>
        <w:spacing w:before="120" w:after="120"/>
        <w:jc w:val="both"/>
        <w:rPr>
          <w:rFonts w:cs="Times New Roman"/>
        </w:rPr>
      </w:pPr>
      <w:r w:rsidRPr="00AA2F39">
        <w:rPr>
          <w:rFonts w:cs="Times New Roman"/>
        </w:rPr>
        <w:t xml:space="preserve">Another key element for the debtor to enter into a restructuring procedure is that the debtor stays in possession. The debtor’s incentive is not simply that the restructuring is successful, but that the debtor (its shareholders) will have a stake in the restructured company or, even more important, that the directors with supposedly the best information and ability to influence the restructuring, will have a chance to stay on board after they </w:t>
      </w:r>
      <w:r w:rsidR="005A0973" w:rsidRPr="00AA2F39">
        <w:rPr>
          <w:rFonts w:cs="Times New Roman"/>
        </w:rPr>
        <w:t>having</w:t>
      </w:r>
      <w:r w:rsidRPr="00AA2F39">
        <w:rPr>
          <w:rFonts w:cs="Times New Roman"/>
        </w:rPr>
        <w:t xml:space="preserve"> </w:t>
      </w:r>
      <w:proofErr w:type="spellStart"/>
      <w:r w:rsidRPr="00AA2F39">
        <w:rPr>
          <w:rFonts w:cs="Times New Roman"/>
        </w:rPr>
        <w:t>maneuvered</w:t>
      </w:r>
      <w:proofErr w:type="spellEnd"/>
      <w:r w:rsidRPr="00AA2F39">
        <w:rPr>
          <w:rFonts w:cs="Times New Roman"/>
        </w:rPr>
        <w:t xml:space="preserve"> the company through rough sea. The </w:t>
      </w:r>
      <w:r w:rsidR="00531DEA" w:rsidRPr="00AA2F39">
        <w:rPr>
          <w:rFonts w:cs="Times New Roman"/>
        </w:rPr>
        <w:t xml:space="preserve">EU preventive restructuring framework is modelled as a </w:t>
      </w:r>
      <w:r w:rsidRPr="00AA2F39">
        <w:rPr>
          <w:rFonts w:cs="Times New Roman"/>
        </w:rPr>
        <w:t xml:space="preserve">debtor-in-possession </w:t>
      </w:r>
      <w:r w:rsidR="00531DEA" w:rsidRPr="00AA2F39">
        <w:rPr>
          <w:rFonts w:cs="Times New Roman"/>
        </w:rPr>
        <w:t>procedure.</w:t>
      </w:r>
      <w:r w:rsidR="00541B4E" w:rsidRPr="00AA2F39">
        <w:rPr>
          <w:rStyle w:val="FootnoteReference"/>
          <w:rFonts w:cs="Times New Roman"/>
        </w:rPr>
        <w:footnoteReference w:id="161"/>
      </w:r>
      <w:r w:rsidR="00531DEA" w:rsidRPr="00AA2F39">
        <w:rPr>
          <w:rFonts w:cs="Times New Roman"/>
        </w:rPr>
        <w:t xml:space="preserve"> The </w:t>
      </w:r>
      <w:proofErr w:type="spellStart"/>
      <w:r w:rsidR="004B50F7" w:rsidRPr="00AA2F39">
        <w:rPr>
          <w:rFonts w:cs="Times New Roman"/>
        </w:rPr>
        <w:t>SoA</w:t>
      </w:r>
      <w:proofErr w:type="spellEnd"/>
      <w:r w:rsidR="004B50F7" w:rsidRPr="00AA2F39">
        <w:rPr>
          <w:rFonts w:cs="Times New Roman"/>
        </w:rPr>
        <w:t xml:space="preserve"> and the CVA are debtor-in-possession procedures for a debtor still able to pay its debts, i.e., if they are not paired with the administration procedure. </w:t>
      </w:r>
      <w:r w:rsidR="00975F01" w:rsidRPr="00AA2F39">
        <w:rPr>
          <w:rFonts w:cs="Times New Roman"/>
        </w:rPr>
        <w:t>In France, the debtor stays in possession during the</w:t>
      </w:r>
      <w:r w:rsidR="00975F01" w:rsidRPr="00AA2F39">
        <w:rPr>
          <w:rFonts w:cs="Times New Roman"/>
          <w:i/>
        </w:rPr>
        <w:t xml:space="preserve"> </w:t>
      </w:r>
      <w:proofErr w:type="spellStart"/>
      <w:r w:rsidR="00975F01" w:rsidRPr="00AA2F39">
        <w:rPr>
          <w:rFonts w:cs="Times New Roman"/>
          <w:i/>
        </w:rPr>
        <w:t>mandat</w:t>
      </w:r>
      <w:proofErr w:type="spellEnd"/>
      <w:r w:rsidR="00975F01" w:rsidRPr="00AA2F39">
        <w:rPr>
          <w:rFonts w:cs="Times New Roman"/>
          <w:i/>
        </w:rPr>
        <w:t xml:space="preserve"> ad hoc, </w:t>
      </w:r>
      <w:r w:rsidR="00975F01" w:rsidRPr="00AA2F39">
        <w:rPr>
          <w:rFonts w:cs="Times New Roman"/>
        </w:rPr>
        <w:t>the</w:t>
      </w:r>
      <w:r w:rsidR="00975F01" w:rsidRPr="00AA2F39">
        <w:rPr>
          <w:rFonts w:cs="Times New Roman"/>
          <w:i/>
        </w:rPr>
        <w:t xml:space="preserve"> conciliation</w:t>
      </w:r>
      <w:r w:rsidR="00975F01" w:rsidRPr="00AA2F39">
        <w:rPr>
          <w:rFonts w:cs="Times New Roman"/>
        </w:rPr>
        <w:t>,</w:t>
      </w:r>
      <w:r w:rsidR="00975F01" w:rsidRPr="00AA2F39">
        <w:rPr>
          <w:rFonts w:cs="Times New Roman"/>
          <w:i/>
        </w:rPr>
        <w:t xml:space="preserve"> </w:t>
      </w:r>
      <w:r w:rsidR="00975F01" w:rsidRPr="00AA2F39">
        <w:rPr>
          <w:rFonts w:cs="Times New Roman"/>
        </w:rPr>
        <w:t>and, in principle, also during</w:t>
      </w:r>
      <w:r w:rsidR="00975F01" w:rsidRPr="00AA2F39">
        <w:rPr>
          <w:rFonts w:cs="Times New Roman"/>
          <w:i/>
        </w:rPr>
        <w:t xml:space="preserve"> </w:t>
      </w:r>
      <w:r w:rsidR="00975F01" w:rsidRPr="00AA2F39">
        <w:rPr>
          <w:rFonts w:cs="Times New Roman"/>
        </w:rPr>
        <w:t>the</w:t>
      </w:r>
      <w:r w:rsidR="00975F01" w:rsidRPr="00AA2F39">
        <w:rPr>
          <w:rFonts w:cs="Times New Roman"/>
          <w:i/>
        </w:rPr>
        <w:t xml:space="preserve"> </w:t>
      </w:r>
      <w:proofErr w:type="spellStart"/>
      <w:r w:rsidR="00975F01" w:rsidRPr="00AA2F39">
        <w:rPr>
          <w:rFonts w:cs="Times New Roman"/>
          <w:i/>
        </w:rPr>
        <w:t>sauvegarde</w:t>
      </w:r>
      <w:proofErr w:type="spellEnd"/>
      <w:r w:rsidR="00975F01" w:rsidRPr="00AA2F39">
        <w:rPr>
          <w:rFonts w:cs="Times New Roman"/>
          <w:i/>
        </w:rPr>
        <w:t xml:space="preserve"> </w:t>
      </w:r>
      <w:r w:rsidR="00975F01" w:rsidRPr="00AA2F39">
        <w:rPr>
          <w:rFonts w:cs="Times New Roman"/>
        </w:rPr>
        <w:t xml:space="preserve">procedure. The court, however, will appoint an administrator to assist and possibly supervise the debtor during the </w:t>
      </w:r>
      <w:proofErr w:type="spellStart"/>
      <w:r w:rsidR="00975F01" w:rsidRPr="00AA2F39">
        <w:rPr>
          <w:rFonts w:cs="Times New Roman"/>
          <w:i/>
        </w:rPr>
        <w:t>sauvegarde</w:t>
      </w:r>
      <w:proofErr w:type="spellEnd"/>
      <w:r w:rsidR="00975F01" w:rsidRPr="00AA2F39">
        <w:rPr>
          <w:rFonts w:cs="Times New Roman"/>
        </w:rPr>
        <w:t xml:space="preserve"> procedure.</w:t>
      </w:r>
      <w:r w:rsidR="00FA1FC7" w:rsidRPr="00AA2F39">
        <w:rPr>
          <w:rFonts w:cs="Times New Roman"/>
        </w:rPr>
        <w:t xml:space="preserve"> In Germany, there is a debtor-in-possession option. The vast majority of cases are still being handled in forced administration, but the debtor-in-possession option becomes more popular, especially for larger insolvencies. </w:t>
      </w:r>
      <w:r w:rsidR="00975F01" w:rsidRPr="00AA2F39">
        <w:rPr>
          <w:rFonts w:cs="Times New Roman"/>
        </w:rPr>
        <w:t xml:space="preserve">In Denmark, the appointment of an </w:t>
      </w:r>
      <w:r w:rsidR="00FA1FC7" w:rsidRPr="00AA2F39">
        <w:rPr>
          <w:rFonts w:cs="Times New Roman"/>
        </w:rPr>
        <w:t xml:space="preserve">administrator is mandatory for the </w:t>
      </w:r>
      <w:proofErr w:type="spellStart"/>
      <w:r w:rsidR="00FA1FC7" w:rsidRPr="00AA2F39">
        <w:rPr>
          <w:rFonts w:cs="Times New Roman"/>
          <w:i/>
        </w:rPr>
        <w:t>rekonstruktion</w:t>
      </w:r>
      <w:proofErr w:type="spellEnd"/>
      <w:r w:rsidR="00FA1FC7" w:rsidRPr="00AA2F39">
        <w:rPr>
          <w:rFonts w:cs="Times New Roman"/>
        </w:rPr>
        <w:t xml:space="preserve"> procedure. In </w:t>
      </w:r>
      <w:r w:rsidR="00B72578">
        <w:rPr>
          <w:rFonts w:cs="Times New Roman"/>
        </w:rPr>
        <w:t>T</w:t>
      </w:r>
      <w:r w:rsidR="00FA1FC7" w:rsidRPr="00AA2F39">
        <w:rPr>
          <w:rFonts w:cs="Times New Roman"/>
        </w:rPr>
        <w:t>he Netherlands, the debtor’s best chance for</w:t>
      </w:r>
      <w:r w:rsidR="003637E9" w:rsidRPr="00AA2F39">
        <w:rPr>
          <w:rFonts w:cs="Times New Roman"/>
        </w:rPr>
        <w:t xml:space="preserve"> a</w:t>
      </w:r>
      <w:r w:rsidR="00FA1FC7" w:rsidRPr="00AA2F39">
        <w:rPr>
          <w:rFonts w:cs="Times New Roman"/>
        </w:rPr>
        <w:t xml:space="preserve"> successful restructuring with the debtor having a share and the management having a role in the future company is </w:t>
      </w:r>
      <w:r w:rsidR="003637E9" w:rsidRPr="00AA2F39">
        <w:rPr>
          <w:rFonts w:cs="Times New Roman"/>
        </w:rPr>
        <w:t xml:space="preserve">currently </w:t>
      </w:r>
      <w:r w:rsidR="00FA1FC7" w:rsidRPr="00AA2F39">
        <w:rPr>
          <w:rFonts w:cs="Times New Roman"/>
        </w:rPr>
        <w:t>a cooperative pre-pack.</w:t>
      </w:r>
      <w:r w:rsidR="003637E9" w:rsidRPr="00AA2F39">
        <w:rPr>
          <w:rFonts w:cs="Times New Roman"/>
        </w:rPr>
        <w:t xml:space="preserve"> Legislation is </w:t>
      </w:r>
      <w:r w:rsidR="005A0973" w:rsidRPr="00AA2F39">
        <w:rPr>
          <w:rFonts w:cs="Times New Roman"/>
        </w:rPr>
        <w:t xml:space="preserve">being </w:t>
      </w:r>
      <w:r w:rsidR="003637E9" w:rsidRPr="00AA2F39">
        <w:rPr>
          <w:rFonts w:cs="Times New Roman"/>
        </w:rPr>
        <w:t>prepared to introduce a debtor-in-possession procedure.</w:t>
      </w:r>
    </w:p>
    <w:p w14:paraId="572CD3B3" w14:textId="16B4C32C" w:rsidR="007E0AEE" w:rsidRPr="00AA2F39" w:rsidRDefault="004C30E9" w:rsidP="00F04954">
      <w:pPr>
        <w:spacing w:before="120" w:after="120"/>
        <w:jc w:val="both"/>
        <w:rPr>
          <w:rFonts w:cs="Times New Roman"/>
        </w:rPr>
      </w:pPr>
      <w:r w:rsidRPr="00AA2F39">
        <w:rPr>
          <w:rFonts w:cs="Times New Roman"/>
        </w:rPr>
        <w:t>A</w:t>
      </w:r>
      <w:r w:rsidR="002659F1" w:rsidRPr="00AA2F39">
        <w:rPr>
          <w:rFonts w:cs="Times New Roman"/>
        </w:rPr>
        <w:t xml:space="preserve"> stay on enforcement or priority for fresh capital are crucial features of most insolvency regimes, i.e., when there is a high scarcity of resources</w:t>
      </w:r>
      <w:r w:rsidR="00021F45" w:rsidRPr="00AA2F39">
        <w:rPr>
          <w:rFonts w:cs="Times New Roman"/>
        </w:rPr>
        <w:t>, lack of liquidity,</w:t>
      </w:r>
      <w:r w:rsidR="002659F1" w:rsidRPr="00AA2F39">
        <w:rPr>
          <w:rFonts w:cs="Times New Roman"/>
        </w:rPr>
        <w:t xml:space="preserve"> and </w:t>
      </w:r>
      <w:r w:rsidR="00021F45" w:rsidRPr="00AA2F39">
        <w:rPr>
          <w:rFonts w:cs="Times New Roman"/>
        </w:rPr>
        <w:t xml:space="preserve">when </w:t>
      </w:r>
      <w:r w:rsidRPr="00AA2F39">
        <w:rPr>
          <w:rFonts w:cs="Times New Roman"/>
        </w:rPr>
        <w:t>the incentive to rush to enforcement is high. T</w:t>
      </w:r>
      <w:r w:rsidR="002659F1" w:rsidRPr="00AA2F39">
        <w:rPr>
          <w:rFonts w:cs="Times New Roman"/>
        </w:rPr>
        <w:t>hey are</w:t>
      </w:r>
      <w:r w:rsidRPr="00AA2F39">
        <w:rPr>
          <w:rFonts w:cs="Times New Roman"/>
        </w:rPr>
        <w:t>, however,</w:t>
      </w:r>
      <w:r w:rsidR="002659F1" w:rsidRPr="00AA2F39">
        <w:rPr>
          <w:rFonts w:cs="Times New Roman"/>
        </w:rPr>
        <w:t xml:space="preserve"> less important for </w:t>
      </w:r>
      <w:r w:rsidRPr="00AA2F39">
        <w:rPr>
          <w:rFonts w:cs="Times New Roman"/>
        </w:rPr>
        <w:t xml:space="preserve">an </w:t>
      </w:r>
      <w:r w:rsidR="002659F1" w:rsidRPr="00AA2F39">
        <w:rPr>
          <w:rFonts w:cs="Times New Roman"/>
        </w:rPr>
        <w:t xml:space="preserve">early </w:t>
      </w:r>
      <w:r w:rsidRPr="00AA2F39">
        <w:rPr>
          <w:rFonts w:cs="Times New Roman"/>
        </w:rPr>
        <w:t xml:space="preserve">(still solvent) restructuring and may even </w:t>
      </w:r>
      <w:r w:rsidR="00D35BA7" w:rsidRPr="00AA2F39">
        <w:rPr>
          <w:rFonts w:cs="Times New Roman"/>
        </w:rPr>
        <w:t xml:space="preserve">be easily misused by the debtor if not subject to diligent control by a court or organized creditor action. Considering the above, the </w:t>
      </w:r>
      <w:r w:rsidR="00021F45" w:rsidRPr="00AA2F39">
        <w:rPr>
          <w:rFonts w:cs="Times New Roman"/>
        </w:rPr>
        <w:t xml:space="preserve">proposed directive on a preventive restructuring framework would push the boundaries further than in any of the five countries analysed once the threshold of the ‘likelihood of insolvency’ is fulfilled. Not only would the debtor </w:t>
      </w:r>
      <w:r w:rsidR="00645193" w:rsidRPr="00AA2F39">
        <w:rPr>
          <w:rFonts w:cs="Times New Roman"/>
        </w:rPr>
        <w:t>stay in possession and be equipped with powerful and flexible tools of a binding vote and cram-down for a financial restructuring.</w:t>
      </w:r>
      <w:r w:rsidR="000B049D" w:rsidRPr="00AA2F39">
        <w:rPr>
          <w:rFonts w:cs="Times New Roman"/>
        </w:rPr>
        <w:t xml:space="preserve"> The debtor would also be in a position to </w:t>
      </w:r>
      <w:r w:rsidR="007E0AEE" w:rsidRPr="00AA2F39">
        <w:rPr>
          <w:rFonts w:cs="Times New Roman"/>
        </w:rPr>
        <w:t>initiate a stay</w:t>
      </w:r>
      <w:r w:rsidR="00541B4E" w:rsidRPr="00AA2F39">
        <w:rPr>
          <w:rStyle w:val="FootnoteReference"/>
          <w:rFonts w:cs="Times New Roman"/>
        </w:rPr>
        <w:footnoteReference w:id="162"/>
      </w:r>
      <w:r w:rsidR="007E0AEE" w:rsidRPr="00AA2F39">
        <w:rPr>
          <w:rFonts w:cs="Times New Roman"/>
        </w:rPr>
        <w:t xml:space="preserve"> and to seek priority for fresh capital.</w:t>
      </w:r>
      <w:r w:rsidR="007E0AEE" w:rsidRPr="00AA2F39">
        <w:rPr>
          <w:rStyle w:val="FootnoteReference"/>
          <w:rFonts w:cs="Times New Roman"/>
        </w:rPr>
        <w:footnoteReference w:id="163"/>
      </w:r>
      <w:r w:rsidR="007E0AEE" w:rsidRPr="00AA2F39">
        <w:rPr>
          <w:rFonts w:cs="Times New Roman"/>
        </w:rPr>
        <w:t xml:space="preserve"> Taking into account that the opening of the EU’s preventive restructuring framework should also stay the debtor’s obligation to fil</w:t>
      </w:r>
      <w:r w:rsidR="003637E9" w:rsidRPr="00AA2F39">
        <w:rPr>
          <w:rFonts w:cs="Times New Roman"/>
        </w:rPr>
        <w:t>e</w:t>
      </w:r>
      <w:r w:rsidR="007E0AEE" w:rsidRPr="00AA2F39">
        <w:rPr>
          <w:rFonts w:cs="Times New Roman"/>
        </w:rPr>
        <w:t xml:space="preserve"> for regular insolvency, there is a risk that not only debtors with a good prospect enter the preventive restructuring framework, but that also hopeless debtors will give it a last sh</w:t>
      </w:r>
      <w:r w:rsidR="00733B5F" w:rsidRPr="00AA2F39">
        <w:rPr>
          <w:rFonts w:cs="Times New Roman"/>
        </w:rPr>
        <w:t>o</w:t>
      </w:r>
      <w:r w:rsidR="007E0AEE" w:rsidRPr="00AA2F39">
        <w:rPr>
          <w:rFonts w:cs="Times New Roman"/>
        </w:rPr>
        <w:t>t in the preventive restructuring regime, stay creditors</w:t>
      </w:r>
      <w:r w:rsidR="003637E9" w:rsidRPr="00AA2F39">
        <w:rPr>
          <w:rFonts w:cs="Times New Roman"/>
        </w:rPr>
        <w:t>’</w:t>
      </w:r>
      <w:r w:rsidR="007E0AEE" w:rsidRPr="00AA2F39">
        <w:rPr>
          <w:rFonts w:cs="Times New Roman"/>
        </w:rPr>
        <w:t xml:space="preserve"> action, and dilute old claims with new priority debt. It has </w:t>
      </w:r>
      <w:r w:rsidR="005A0973" w:rsidRPr="00AA2F39">
        <w:rPr>
          <w:rFonts w:cs="Times New Roman"/>
        </w:rPr>
        <w:t xml:space="preserve">yet </w:t>
      </w:r>
      <w:r w:rsidR="007E0AEE" w:rsidRPr="00AA2F39">
        <w:rPr>
          <w:rFonts w:cs="Times New Roman"/>
        </w:rPr>
        <w:t xml:space="preserve">to be seen as to whether effective safeguards will be established to overcome these risks. The preventive restructuring framework will most certainly give the debtor a huge incentive to enter the procedure. It may, however, also increase the bargaining power of the debtor substantially and thus disadvantage its creditors, especially in case of concentrated lending relations, unfairly. None of the five countries in </w:t>
      </w:r>
      <w:r w:rsidR="00C6306C" w:rsidRPr="00AA2F39">
        <w:rPr>
          <w:rFonts w:cs="Times New Roman"/>
        </w:rPr>
        <w:t>this</w:t>
      </w:r>
      <w:r w:rsidR="007E0AEE" w:rsidRPr="00AA2F39">
        <w:rPr>
          <w:rFonts w:cs="Times New Roman"/>
        </w:rPr>
        <w:t xml:space="preserve"> analysis provides for a debtor-in-possession restructuring procedure </w:t>
      </w:r>
      <w:r w:rsidR="00C6306C" w:rsidRPr="00AA2F39">
        <w:rPr>
          <w:rFonts w:cs="Times New Roman"/>
        </w:rPr>
        <w:t>that</w:t>
      </w:r>
      <w:r w:rsidR="007E0AEE" w:rsidRPr="00AA2F39">
        <w:rPr>
          <w:rFonts w:cs="Times New Roman"/>
        </w:rPr>
        <w:t xml:space="preserve"> comes with such broad insolvency powers of priority financing and a stay for the debtor when there is only a li</w:t>
      </w:r>
      <w:r w:rsidR="00CC1958" w:rsidRPr="00AA2F39">
        <w:rPr>
          <w:rFonts w:cs="Times New Roman"/>
        </w:rPr>
        <w:t>kelihood of insolvency and absent diligent court oversight and/or supervision by an administrator.</w:t>
      </w:r>
    </w:p>
    <w:p w14:paraId="4AB05BA7" w14:textId="4BA9A1C8" w:rsidR="000B049D" w:rsidRPr="00AA2F39" w:rsidRDefault="007E0AEE" w:rsidP="00F04954">
      <w:pPr>
        <w:spacing w:before="120" w:after="120"/>
        <w:jc w:val="both"/>
        <w:rPr>
          <w:rFonts w:cs="Times New Roman"/>
        </w:rPr>
      </w:pPr>
      <w:r w:rsidRPr="00AA2F39">
        <w:rPr>
          <w:rFonts w:cs="Times New Roman"/>
        </w:rPr>
        <w:lastRenderedPageBreak/>
        <w:t xml:space="preserve">For the creditors, there is another incentive to be considered for their cooperation, </w:t>
      </w:r>
      <w:r w:rsidR="00C6306C" w:rsidRPr="00AA2F39">
        <w:rPr>
          <w:rFonts w:cs="Times New Roman"/>
        </w:rPr>
        <w:t>in addition to</w:t>
      </w:r>
      <w:r w:rsidRPr="00AA2F39">
        <w:rPr>
          <w:rFonts w:cs="Times New Roman"/>
        </w:rPr>
        <w:t xml:space="preserve"> the </w:t>
      </w:r>
      <w:r w:rsidR="00C6306C" w:rsidRPr="00AA2F39">
        <w:rPr>
          <w:rFonts w:cs="Times New Roman"/>
        </w:rPr>
        <w:t>previously</w:t>
      </w:r>
      <w:r w:rsidRPr="00AA2F39">
        <w:rPr>
          <w:rFonts w:cs="Times New Roman"/>
        </w:rPr>
        <w:t xml:space="preserve"> mentioned need for an </w:t>
      </w:r>
      <w:r w:rsidR="00CC1958" w:rsidRPr="00AA2F39">
        <w:rPr>
          <w:rFonts w:cs="Times New Roman"/>
        </w:rPr>
        <w:t xml:space="preserve">effective and binding restructuring procedure: </w:t>
      </w:r>
      <w:r w:rsidR="00F12C2A" w:rsidRPr="00AA2F39">
        <w:rPr>
          <w:rFonts w:cs="Times New Roman"/>
        </w:rPr>
        <w:t xml:space="preserve">Is their concession </w:t>
      </w:r>
      <w:r w:rsidR="00D775A0" w:rsidRPr="00AA2F39">
        <w:rPr>
          <w:rFonts w:cs="Times New Roman"/>
        </w:rPr>
        <w:t xml:space="preserve">or is their capital provided </w:t>
      </w:r>
      <w:r w:rsidR="00C6306C" w:rsidRPr="00AA2F39">
        <w:rPr>
          <w:rFonts w:cs="Times New Roman"/>
        </w:rPr>
        <w:t xml:space="preserve">as </w:t>
      </w:r>
      <w:r w:rsidR="00F12C2A" w:rsidRPr="00AA2F39">
        <w:rPr>
          <w:rFonts w:cs="Times New Roman"/>
        </w:rPr>
        <w:t xml:space="preserve">an investment into the stabilization of their debtor and would their cooperation, which may result in a theoretically lower return (haircut), decrease their risk, as it would also decrease the debtor’s </w:t>
      </w:r>
      <w:r w:rsidR="00D775A0" w:rsidRPr="00AA2F39">
        <w:rPr>
          <w:rFonts w:cs="Times New Roman"/>
        </w:rPr>
        <w:t>risk to eventually fail</w:t>
      </w:r>
      <w:r w:rsidR="00C6306C" w:rsidRPr="00AA2F39">
        <w:rPr>
          <w:rFonts w:cs="Times New Roman"/>
        </w:rPr>
        <w:t>?</w:t>
      </w:r>
      <w:r w:rsidR="00D775A0" w:rsidRPr="00AA2F39">
        <w:rPr>
          <w:rFonts w:cs="Times New Roman"/>
        </w:rPr>
        <w:t xml:space="preserve"> Taxation of debt reliefs and extensive claw-back provisions can make</w:t>
      </w:r>
      <w:r w:rsidR="00A96655" w:rsidRPr="00AA2F39">
        <w:rPr>
          <w:rFonts w:cs="Times New Roman"/>
        </w:rPr>
        <w:t xml:space="preserve"> restructurings outside of a formal insolvency procedure hard</w:t>
      </w:r>
      <w:r w:rsidR="00961B37" w:rsidRPr="00AA2F39">
        <w:rPr>
          <w:rFonts w:cs="Times New Roman"/>
        </w:rPr>
        <w:t>,</w:t>
      </w:r>
      <w:r w:rsidR="00A96655" w:rsidRPr="00AA2F39">
        <w:rPr>
          <w:rFonts w:cs="Times New Roman"/>
        </w:rPr>
        <w:t xml:space="preserve"> if not sometimes impossible</w:t>
      </w:r>
      <w:r w:rsidR="00961B37" w:rsidRPr="00AA2F39">
        <w:rPr>
          <w:rFonts w:cs="Times New Roman"/>
        </w:rPr>
        <w:t>. In particular,</w:t>
      </w:r>
      <w:r w:rsidR="00A96655" w:rsidRPr="00AA2F39">
        <w:rPr>
          <w:rFonts w:cs="Times New Roman"/>
        </w:rPr>
        <w:t xml:space="preserve"> when creditors have to fear that their concessions will be consumed by the treasury or make them vulnerable for claw-back actions.</w:t>
      </w:r>
      <w:r w:rsidR="00934C83" w:rsidRPr="00AA2F39">
        <w:rPr>
          <w:rFonts w:cs="Times New Roman"/>
        </w:rPr>
        <w:t xml:space="preserve"> Similarly, those parties involved in a complex restructuring out of a formal insolvency procedure, i.e., lawyers, accounts, consultants, and essentially also those parties responsible for the ongoing business, i.e., employees and business partners, should be less willing to cooperate if their payment is subject to </w:t>
      </w:r>
      <w:r w:rsidR="008F2FE7" w:rsidRPr="00AA2F39">
        <w:rPr>
          <w:rFonts w:cs="Times New Roman"/>
        </w:rPr>
        <w:t xml:space="preserve">extensive </w:t>
      </w:r>
      <w:r w:rsidR="00934C83" w:rsidRPr="00AA2F39">
        <w:rPr>
          <w:rFonts w:cs="Times New Roman"/>
        </w:rPr>
        <w:t>claw-back and avoidance</w:t>
      </w:r>
      <w:r w:rsidR="008F2FE7" w:rsidRPr="00AA2F39">
        <w:rPr>
          <w:rFonts w:cs="Times New Roman"/>
        </w:rPr>
        <w:t xml:space="preserve"> actions</w:t>
      </w:r>
      <w:r w:rsidR="00934C83" w:rsidRPr="00AA2F39">
        <w:rPr>
          <w:rFonts w:cs="Times New Roman"/>
        </w:rPr>
        <w:t xml:space="preserve">. The </w:t>
      </w:r>
      <w:r w:rsidR="00C6306C" w:rsidRPr="00AA2F39">
        <w:rPr>
          <w:rFonts w:cs="Times New Roman"/>
        </w:rPr>
        <w:t>Proposal</w:t>
      </w:r>
      <w:r w:rsidR="00934C83" w:rsidRPr="00AA2F39">
        <w:rPr>
          <w:rFonts w:cs="Times New Roman"/>
        </w:rPr>
        <w:t xml:space="preserve"> asks the member states to remove such hurdles for successful restructurings.</w:t>
      </w:r>
      <w:r w:rsidR="00934C83" w:rsidRPr="00AA2F39">
        <w:rPr>
          <w:rStyle w:val="FootnoteReference"/>
          <w:rFonts w:cs="Times New Roman"/>
        </w:rPr>
        <w:footnoteReference w:id="164"/>
      </w:r>
      <w:r w:rsidR="00934C83" w:rsidRPr="00AA2F39">
        <w:rPr>
          <w:rFonts w:cs="Times New Roman"/>
        </w:rPr>
        <w:t xml:space="preserve"> In Germany, the law-maker has just recently reformed its avoidance law</w:t>
      </w:r>
      <w:r w:rsidR="00C6306C" w:rsidRPr="00AA2F39">
        <w:rPr>
          <w:rFonts w:cs="Times New Roman"/>
        </w:rPr>
        <w:t>,</w:t>
      </w:r>
      <w:r w:rsidR="00934C83" w:rsidRPr="00AA2F39">
        <w:rPr>
          <w:rFonts w:cs="Times New Roman"/>
        </w:rPr>
        <w:t xml:space="preserve"> which was for long a serious deterrent for creditors, business partners, etc. to assist a debtor in the restructuring out of formal insolvency. </w:t>
      </w:r>
      <w:r w:rsidR="00102F1C" w:rsidRPr="00AA2F39">
        <w:rPr>
          <w:rFonts w:cs="Times New Roman"/>
        </w:rPr>
        <w:t xml:space="preserve">In </w:t>
      </w:r>
      <w:r w:rsidR="00C6306C" w:rsidRPr="00AA2F39">
        <w:rPr>
          <w:rFonts w:cs="Times New Roman"/>
        </w:rPr>
        <w:t>T</w:t>
      </w:r>
      <w:r w:rsidR="00102F1C" w:rsidRPr="00AA2F39">
        <w:rPr>
          <w:rFonts w:cs="Times New Roman"/>
        </w:rPr>
        <w:t>he Netherlands</w:t>
      </w:r>
      <w:r w:rsidR="00C6306C" w:rsidRPr="00AA2F39">
        <w:rPr>
          <w:rFonts w:cs="Times New Roman"/>
        </w:rPr>
        <w:t xml:space="preserve"> and Denmark</w:t>
      </w:r>
      <w:r w:rsidR="00102F1C" w:rsidRPr="00AA2F39">
        <w:rPr>
          <w:rFonts w:cs="Times New Roman"/>
        </w:rPr>
        <w:t xml:space="preserve">, no specific new finance provisions exist, </w:t>
      </w:r>
      <w:r w:rsidR="002461ED">
        <w:rPr>
          <w:rFonts w:cs="Times New Roman"/>
        </w:rPr>
        <w:t>whether in or</w:t>
      </w:r>
      <w:r w:rsidR="00102F1C" w:rsidRPr="00AA2F39">
        <w:rPr>
          <w:rFonts w:cs="Times New Roman"/>
        </w:rPr>
        <w:t xml:space="preserve"> out-of-court. The financier may grant new finance, which, in principle, can be secured with a security right. Where new financing is entered into by the insolvency practitioner in a bankruptcy proceeding, this will rank high.</w:t>
      </w:r>
      <w:r w:rsidR="00C6306C" w:rsidRPr="00AA2F39">
        <w:t xml:space="preserve"> </w:t>
      </w:r>
      <w:r w:rsidR="00C6306C" w:rsidRPr="00AA2F39">
        <w:rPr>
          <w:rFonts w:cs="Times New Roman"/>
        </w:rPr>
        <w:t xml:space="preserve">In France, the conciliation proceedings </w:t>
      </w:r>
      <w:proofErr w:type="gramStart"/>
      <w:r w:rsidR="00C6306C" w:rsidRPr="00AA2F39">
        <w:rPr>
          <w:rFonts w:cs="Times New Roman"/>
        </w:rPr>
        <w:t>protects</w:t>
      </w:r>
      <w:proofErr w:type="gramEnd"/>
      <w:r w:rsidR="00C6306C" w:rsidRPr="00AA2F39">
        <w:rPr>
          <w:rFonts w:cs="Times New Roman"/>
        </w:rPr>
        <w:t xml:space="preserve"> new financing and protects against avoidance actions, in the case of the opening of subsequent insolvency proceedings. In the UK</w:t>
      </w:r>
      <w:r w:rsidR="002461ED">
        <w:rPr>
          <w:rFonts w:cs="Times New Roman"/>
        </w:rPr>
        <w:t>, an administrator or liquidator can raise new finance on the unencumbered assets of the debtor company. Such funding will have a priority over all other claims, apart from fixed charges, and will be treated as an expense in the administration (or pre-pack). In Schemes of Arrangement and CVAs proceeding outside of the operation of an administration or pre-pack procedure, raising finance is a matter of agreement between the debtor company and its creditors.</w:t>
      </w:r>
      <w:r w:rsidR="002461ED">
        <w:rPr>
          <w:rStyle w:val="FootnoteReference"/>
          <w:rFonts w:cs="Times New Roman"/>
        </w:rPr>
        <w:footnoteReference w:id="165"/>
      </w:r>
    </w:p>
    <w:p w14:paraId="68A49492" w14:textId="78438F9B" w:rsidR="00DF7033" w:rsidRPr="00AA2F39" w:rsidRDefault="000B049D" w:rsidP="00F04954">
      <w:pPr>
        <w:spacing w:before="120" w:after="120"/>
        <w:jc w:val="both"/>
        <w:rPr>
          <w:rFonts w:cs="Times New Roman"/>
        </w:rPr>
      </w:pPr>
      <w:r w:rsidRPr="00AA2F39">
        <w:rPr>
          <w:rFonts w:cs="Times New Roman"/>
        </w:rPr>
        <w:t xml:space="preserve">Another quite decisive factor </w:t>
      </w:r>
      <w:r w:rsidR="00C6306C" w:rsidRPr="00AA2F39">
        <w:rPr>
          <w:rFonts w:cs="Times New Roman"/>
        </w:rPr>
        <w:t>especially for</w:t>
      </w:r>
      <w:r w:rsidRPr="00AA2F39">
        <w:rPr>
          <w:rFonts w:cs="Times New Roman"/>
        </w:rPr>
        <w:t xml:space="preserve"> the debtor’s calculation as to whether s/he should enter in a restructuring procedure is the ‘restructuring culture’ or the ‘stigma of insolvency’</w:t>
      </w:r>
      <w:r w:rsidR="007E0AEE" w:rsidRPr="00AA2F39">
        <w:rPr>
          <w:rFonts w:cs="Times New Roman"/>
        </w:rPr>
        <w:t>; a factor</w:t>
      </w:r>
      <w:r w:rsidRPr="00AA2F39">
        <w:rPr>
          <w:rFonts w:cs="Times New Roman"/>
        </w:rPr>
        <w:t xml:space="preserve"> to be discussed in the following sub-section 4(4). </w:t>
      </w:r>
    </w:p>
    <w:p w14:paraId="2720CBEA" w14:textId="6580F64C" w:rsidR="00DF7033" w:rsidRPr="00AA2F39" w:rsidRDefault="00DF7033" w:rsidP="00F04954">
      <w:pPr>
        <w:spacing w:before="120" w:after="120"/>
        <w:jc w:val="both"/>
        <w:rPr>
          <w:rFonts w:cs="Times New Roman"/>
        </w:rPr>
      </w:pPr>
      <w:r w:rsidRPr="00AA2F39">
        <w:rPr>
          <w:rFonts w:cs="Times New Roman"/>
        </w:rPr>
        <w:t xml:space="preserve">(4) </w:t>
      </w:r>
      <w:r w:rsidRPr="00AA2F39">
        <w:rPr>
          <w:rFonts w:cs="Times New Roman"/>
          <w:i/>
        </w:rPr>
        <w:t>The “Restructuring Culture”</w:t>
      </w:r>
      <w:r w:rsidRPr="00AA2F39">
        <w:rPr>
          <w:rFonts w:cs="Times New Roman"/>
        </w:rPr>
        <w:t>:</w:t>
      </w:r>
      <w:r w:rsidR="00CD0140" w:rsidRPr="00AA2F39">
        <w:rPr>
          <w:rFonts w:cs="Times New Roman"/>
        </w:rPr>
        <w:t xml:space="preserve"> The last </w:t>
      </w:r>
      <w:r w:rsidR="008F2FE7" w:rsidRPr="00AA2F39">
        <w:rPr>
          <w:rFonts w:cs="Times New Roman"/>
        </w:rPr>
        <w:t>point</w:t>
      </w:r>
      <w:r w:rsidR="00D15311" w:rsidRPr="00AA2F39">
        <w:rPr>
          <w:rFonts w:cs="Times New Roman"/>
        </w:rPr>
        <w:t xml:space="preserve"> in this comparative section is a soft factor</w:t>
      </w:r>
      <w:r w:rsidR="00934C83" w:rsidRPr="00AA2F39">
        <w:rPr>
          <w:rFonts w:cs="Times New Roman"/>
        </w:rPr>
        <w:t xml:space="preserve"> </w:t>
      </w:r>
      <w:r w:rsidR="00D15311" w:rsidRPr="00AA2F39">
        <w:rPr>
          <w:rFonts w:cs="Times New Roman"/>
        </w:rPr>
        <w:t xml:space="preserve">which translates into hard economic value. A restructuring-friendly environment, i.e., an environment where </w:t>
      </w:r>
      <w:r w:rsidR="00E51BA9" w:rsidRPr="00AA2F39">
        <w:rPr>
          <w:rFonts w:cs="Times New Roman"/>
        </w:rPr>
        <w:t xml:space="preserve">the request for a restructuring is seen not as failure but as the start of a new beginning, </w:t>
      </w:r>
      <w:r w:rsidR="002A46B6" w:rsidRPr="00AA2F39">
        <w:rPr>
          <w:rFonts w:cs="Times New Roman"/>
        </w:rPr>
        <w:t xml:space="preserve">has a significant value for the firm. </w:t>
      </w:r>
      <w:r w:rsidR="009906A5" w:rsidRPr="00AA2F39">
        <w:rPr>
          <w:rFonts w:cs="Times New Roman"/>
        </w:rPr>
        <w:t xml:space="preserve">In a restructuring-hostile environment, where the debtor is branded with the stigma of insolvency, the </w:t>
      </w:r>
      <w:r w:rsidR="0037760C" w:rsidRPr="00AA2F39">
        <w:rPr>
          <w:rFonts w:cs="Times New Roman"/>
        </w:rPr>
        <w:t>chance is higher that c</w:t>
      </w:r>
      <w:r w:rsidR="00961B37" w:rsidRPr="00AA2F39">
        <w:rPr>
          <w:rFonts w:cs="Times New Roman"/>
        </w:rPr>
        <w:t>u</w:t>
      </w:r>
      <w:r w:rsidR="0037760C" w:rsidRPr="00AA2F39">
        <w:rPr>
          <w:rFonts w:cs="Times New Roman"/>
        </w:rPr>
        <w:t>st</w:t>
      </w:r>
      <w:r w:rsidR="00961B37" w:rsidRPr="00AA2F39">
        <w:rPr>
          <w:rFonts w:cs="Times New Roman"/>
        </w:rPr>
        <w:t>o</w:t>
      </w:r>
      <w:r w:rsidR="0037760C" w:rsidRPr="00AA2F39">
        <w:rPr>
          <w:rFonts w:cs="Times New Roman"/>
        </w:rPr>
        <w:t xml:space="preserve">mers, creditors, business partners, and employees will </w:t>
      </w:r>
      <w:r w:rsidR="00961B37" w:rsidRPr="00AA2F39">
        <w:rPr>
          <w:rFonts w:cs="Times New Roman"/>
        </w:rPr>
        <w:t xml:space="preserve">leave </w:t>
      </w:r>
      <w:r w:rsidR="0037760C" w:rsidRPr="00AA2F39">
        <w:rPr>
          <w:rFonts w:cs="Times New Roman"/>
        </w:rPr>
        <w:t>the sinking ship than in a restructuring-friendly environment</w:t>
      </w:r>
      <w:r w:rsidR="004D29B3" w:rsidRPr="00AA2F39">
        <w:rPr>
          <w:rFonts w:cs="Times New Roman"/>
        </w:rPr>
        <w:t xml:space="preserve">. </w:t>
      </w:r>
      <w:r w:rsidR="00411BD6" w:rsidRPr="00AA2F39">
        <w:rPr>
          <w:rFonts w:cs="Times New Roman"/>
        </w:rPr>
        <w:t>In such a restructuring-hostile environment, t</w:t>
      </w:r>
      <w:r w:rsidR="004D29B3" w:rsidRPr="00AA2F39">
        <w:rPr>
          <w:rFonts w:cs="Times New Roman"/>
        </w:rPr>
        <w:t xml:space="preserve">he debtor will, thus, try to avoid insolvency as long as possible so as to not incur the (immense) indirect costs. </w:t>
      </w:r>
      <w:r w:rsidR="00411BD6" w:rsidRPr="00AA2F39">
        <w:rPr>
          <w:rFonts w:cs="Times New Roman"/>
        </w:rPr>
        <w:t>A chilling effect on entrepreneurial activity may also be associated with inflated costs of ‘failure’.</w:t>
      </w:r>
    </w:p>
    <w:p w14:paraId="58014AB4" w14:textId="4CE67D7E" w:rsidR="00B0104E" w:rsidRPr="00AA2F39" w:rsidRDefault="00BC296E" w:rsidP="00F04954">
      <w:pPr>
        <w:spacing w:before="120" w:after="120"/>
        <w:jc w:val="both"/>
        <w:rPr>
          <w:rFonts w:cs="Times New Roman"/>
        </w:rPr>
      </w:pPr>
      <w:r w:rsidRPr="00AA2F39">
        <w:rPr>
          <w:rFonts w:cs="Times New Roman"/>
        </w:rPr>
        <w:t xml:space="preserve">The </w:t>
      </w:r>
      <w:r w:rsidR="00E95AA3" w:rsidRPr="00AA2F39">
        <w:rPr>
          <w:rFonts w:cs="Times New Roman"/>
        </w:rPr>
        <w:t>Proposal</w:t>
      </w:r>
      <w:r w:rsidRPr="00AA2F39">
        <w:rPr>
          <w:rFonts w:cs="Times New Roman"/>
        </w:rPr>
        <w:t xml:space="preserve"> clearly sends out a signal for a very restructuring-friendly policy in Europe. One may even question as to whether the agenda is set </w:t>
      </w:r>
      <w:r w:rsidR="00B31D3B" w:rsidRPr="00AA2F39">
        <w:rPr>
          <w:rFonts w:cs="Times New Roman"/>
        </w:rPr>
        <w:t xml:space="preserve">just a little bit ‘too debtor-friendly’, i.e., gives the debtor too much power which the debtors can use to strengthen its bargaining position and may even exploit its creditors in desperate situations. This criticism may be voiced considering that most European countries still have a rather ex ante-oriented </w:t>
      </w:r>
      <w:r w:rsidR="002D53AC" w:rsidRPr="00AA2F39">
        <w:rPr>
          <w:rFonts w:cs="Times New Roman"/>
        </w:rPr>
        <w:t>financing</w:t>
      </w:r>
      <w:r w:rsidR="00B31D3B" w:rsidRPr="00AA2F39">
        <w:rPr>
          <w:rFonts w:cs="Times New Roman"/>
        </w:rPr>
        <w:t xml:space="preserve"> </w:t>
      </w:r>
      <w:r w:rsidR="002D53AC" w:rsidRPr="00AA2F39">
        <w:rPr>
          <w:rFonts w:cs="Times New Roman"/>
        </w:rPr>
        <w:t>structure</w:t>
      </w:r>
      <w:r w:rsidR="00B31D3B" w:rsidRPr="00AA2F39">
        <w:rPr>
          <w:rFonts w:cs="Times New Roman"/>
        </w:rPr>
        <w:t xml:space="preserve"> with strong relationship lenders.</w:t>
      </w:r>
    </w:p>
    <w:p w14:paraId="0FC92138" w14:textId="7398E219" w:rsidR="00105B2E" w:rsidRPr="00AA2F39" w:rsidRDefault="2683FA85" w:rsidP="35B6F049">
      <w:pPr>
        <w:spacing w:before="120" w:after="120"/>
        <w:jc w:val="both"/>
        <w:rPr>
          <w:rFonts w:cs="Times New Roman"/>
        </w:rPr>
      </w:pPr>
      <w:r w:rsidRPr="00AA2F39">
        <w:rPr>
          <w:rFonts w:cs="Times New Roman"/>
        </w:rPr>
        <w:lastRenderedPageBreak/>
        <w:t xml:space="preserve">Traditionally, all five countries analysed have had a rather creditor-friendly insolvency regime, probably as a response to relationship lending, with France having probably the most profound orientation towards the rescue of the business for the sake of employment protection and social integration. While the UK insolvency law (administration and liquidation) sets the interest of creditors first and is not </w:t>
      </w:r>
      <w:r w:rsidR="00A601B5">
        <w:rPr>
          <w:rFonts w:cs="Times New Roman"/>
        </w:rPr>
        <w:t>particularly</w:t>
      </w:r>
      <w:r w:rsidRPr="00AA2F39">
        <w:rPr>
          <w:rFonts w:cs="Times New Roman"/>
        </w:rPr>
        <w:t xml:space="preserve"> debtor-friendly, the existence the scheme of arrangement </w:t>
      </w:r>
      <w:r w:rsidR="00A601B5">
        <w:rPr>
          <w:rFonts w:cs="Times New Roman"/>
        </w:rPr>
        <w:t xml:space="preserve">in particular </w:t>
      </w:r>
      <w:r w:rsidRPr="00AA2F39">
        <w:rPr>
          <w:rFonts w:cs="Times New Roman"/>
        </w:rPr>
        <w:t xml:space="preserve">has encouraged early (and still solvent) restructurings in the mutual interest of creditors and debtors before the debtor was unable to pay its debt. Germany has reformed its insolvency laws within the last two decades, with some significant improvements towards a more restructuring-friendly environment. The insolvency practice, nonetheless, awaits further improvements and the proposed directive would mean a substantial change. In both Denmark and The Netherlands, a mechanism is missing which can bind dissenting secured and unsecured creditors to a restructuring plan (outside a formal insolvency proceeding). For The Netherlands, the Proposal is a valuable and important force for proceeding with national legislative efforts to introduce further restructuring tools. For Denmark, the possibility to restructure a business using “insolvency tools” such as cram-downs and a moratorium at a time when the debtor is not yet insolvent and possibly even out of court is a very new, and in the light of rescuing, welcoming thought. In addition to this, </w:t>
      </w:r>
      <w:r w:rsidR="008B763A">
        <w:rPr>
          <w:rFonts w:cs="Times New Roman"/>
        </w:rPr>
        <w:t>t</w:t>
      </w:r>
      <w:r w:rsidRPr="00AA2F39">
        <w:rPr>
          <w:rFonts w:cs="Times New Roman"/>
        </w:rPr>
        <w:t>he EU Proposal will finally set the need for amendments of the exi</w:t>
      </w:r>
      <w:r w:rsidR="00410899">
        <w:rPr>
          <w:rFonts w:cs="Times New Roman"/>
        </w:rPr>
        <w:t>s</w:t>
      </w:r>
      <w:r w:rsidRPr="00AA2F39">
        <w:rPr>
          <w:rFonts w:cs="Times New Roman"/>
        </w:rPr>
        <w:t>ting restructuring regime on the political agenda</w:t>
      </w:r>
      <w:r w:rsidRPr="00410899">
        <w:rPr>
          <w:rFonts w:cs="Times New Roman"/>
        </w:rPr>
        <w:t xml:space="preserve">. </w:t>
      </w:r>
      <w:r w:rsidRPr="00AA2F39">
        <w:rPr>
          <w:rFonts w:cs="Times New Roman"/>
        </w:rPr>
        <w:t xml:space="preserve">The law following the implementation of the directive, then, may </w:t>
      </w:r>
      <w:r w:rsidR="00410899">
        <w:rPr>
          <w:rFonts w:cs="Times New Roman"/>
        </w:rPr>
        <w:t xml:space="preserve">also </w:t>
      </w:r>
      <w:r w:rsidRPr="00AA2F39">
        <w:rPr>
          <w:rFonts w:cs="Times New Roman"/>
        </w:rPr>
        <w:t>inspire a new thinking of restructuring</w:t>
      </w:r>
      <w:r w:rsidR="003E29C1">
        <w:rPr>
          <w:rFonts w:cs="Times New Roman"/>
        </w:rPr>
        <w:t>,</w:t>
      </w:r>
      <w:bookmarkStart w:id="1" w:name="_GoBack"/>
      <w:bookmarkEnd w:id="1"/>
      <w:r w:rsidRPr="00AA2F39">
        <w:rPr>
          <w:rFonts w:cs="Times New Roman"/>
        </w:rPr>
        <w:t xml:space="preserve"> not simply as failure and end of the enterprise, but as the chance for a new beginning.</w:t>
      </w:r>
    </w:p>
    <w:p w14:paraId="70F89EA7" w14:textId="77777777" w:rsidR="009B185B" w:rsidRPr="00AA2F39" w:rsidRDefault="009B185B" w:rsidP="00F04954">
      <w:pPr>
        <w:spacing w:before="120" w:after="120"/>
        <w:jc w:val="both"/>
        <w:rPr>
          <w:rFonts w:cs="Times New Roman"/>
          <w:b/>
        </w:rPr>
      </w:pPr>
    </w:p>
    <w:p w14:paraId="53C8A9CD" w14:textId="2BEE16C9" w:rsidR="00CA3253" w:rsidRPr="00AA2F39" w:rsidRDefault="00D055B5" w:rsidP="00F04954">
      <w:pPr>
        <w:spacing w:before="120" w:after="120"/>
        <w:jc w:val="both"/>
        <w:rPr>
          <w:rFonts w:cs="Times New Roman"/>
          <w:b/>
        </w:rPr>
      </w:pPr>
      <w:r w:rsidRPr="00AA2F39">
        <w:rPr>
          <w:rFonts w:cs="Times New Roman"/>
          <w:b/>
        </w:rPr>
        <w:t>5</w:t>
      </w:r>
      <w:r w:rsidR="00CA3253" w:rsidRPr="00AA2F39">
        <w:rPr>
          <w:rFonts w:cs="Times New Roman"/>
          <w:b/>
        </w:rPr>
        <w:t>.</w:t>
      </w:r>
      <w:r w:rsidR="00CA3253" w:rsidRPr="00AA2F39">
        <w:rPr>
          <w:rFonts w:cs="Times New Roman"/>
          <w:b/>
        </w:rPr>
        <w:tab/>
      </w:r>
      <w:r w:rsidR="00147C43" w:rsidRPr="00AA2F39">
        <w:rPr>
          <w:rFonts w:cs="Times New Roman"/>
          <w:b/>
        </w:rPr>
        <w:t>Conclusion</w:t>
      </w:r>
    </w:p>
    <w:p w14:paraId="3172FD71" w14:textId="416928CF" w:rsidR="00A601B5" w:rsidRDefault="00A601B5" w:rsidP="00A601B5">
      <w:pPr>
        <w:jc w:val="both"/>
      </w:pPr>
      <w:r>
        <w:t xml:space="preserve">The </w:t>
      </w:r>
      <w:r w:rsidR="00681DF1">
        <w:t xml:space="preserve">Proposal </w:t>
      </w:r>
      <w:r>
        <w:t xml:space="preserve">leaves so much open to the member states that the effects of the directive’s implementation are difficult to foresee. Minimum harmonisation requirements may not lead to the convergence envisaged by the Recommendation or the early discussions on the purpose of the Proposal and its eventual form as a Preventive Restructuring Directive. The wording in the Proposal tends to take an almost optional approach, using the word “may” instead of something more prescriptive that would present a more obligatory implementation parameter. The impression left by the wording in the Articles is vague and even voluntary. These watered-down provisions can be traced to the hesitancy of member states to take on obligatory changes from the EU given the legal culture laden aspects of the approach to insolvency and preventive restructuring generally. </w:t>
      </w:r>
    </w:p>
    <w:p w14:paraId="29D1C37A" w14:textId="77777777" w:rsidR="00A601B5" w:rsidRDefault="00A601B5" w:rsidP="00A601B5">
      <w:pPr>
        <w:jc w:val="both"/>
      </w:pPr>
    </w:p>
    <w:p w14:paraId="2371AB86" w14:textId="4E8A816D" w:rsidR="00A601B5" w:rsidRDefault="00A601B5" w:rsidP="00A601B5">
      <w:pPr>
        <w:jc w:val="both"/>
      </w:pPr>
      <w:r>
        <w:t xml:space="preserve">The Proposal does tend to codify what has been considered best practices across the member states. While this does not change much in relation to pre-existing preventive restructuring frameworks in a number of EU countries, it does set a baseline for those jurisdictions that do not yet have such effective regimes, to improve their approach. For example, in Germany it will prompt fairly massive reform (if they take a more obligatory approach to its implementation) in the introduction of a pre-insolvency procedure with a species of cross-class cram down. Similarly for </w:t>
      </w:r>
      <w:r w:rsidR="00B72578">
        <w:t>T</w:t>
      </w:r>
      <w:r>
        <w:t xml:space="preserve">he Netherlands, even the minimum framework set in the Proposal will create a new standard, given that jurisdiction’s previous emphasis on liquidation outcomes. In addition, as the Proposal introduces debtor led restructuring processes, a debtor may be encouraged to forum shop. However, the Proposal introduces procedures that may also have the effect of lessening the degree of forum shopping as the competition for effective preventive restructuring procedures will also be lessened should member states engage in a thorough implementation process in line with the Proposal. </w:t>
      </w:r>
    </w:p>
    <w:p w14:paraId="4006DA62" w14:textId="77777777" w:rsidR="00A601B5" w:rsidRDefault="00A601B5" w:rsidP="00A601B5">
      <w:pPr>
        <w:jc w:val="both"/>
      </w:pPr>
    </w:p>
    <w:p w14:paraId="2A29642F" w14:textId="0D09DDB1" w:rsidR="00A601B5" w:rsidRDefault="00A601B5" w:rsidP="00A601B5">
      <w:pPr>
        <w:jc w:val="both"/>
      </w:pPr>
      <w:r>
        <w:t xml:space="preserve">The question remains, however, as to whether the Proposal has introduced provisions of an obligatory enough nature to go beyond what was set out in the original Recommendation, </w:t>
      </w:r>
      <w:r>
        <w:lastRenderedPageBreak/>
        <w:t xml:space="preserve">which did not see a major change among the Member State. If the Recommendation failed to encourage reform, will a watered-down Preventive Restructuring Directive allowing massive margins of appreciation in its implementation result in member state implementation that </w:t>
      </w:r>
      <w:proofErr w:type="gramStart"/>
      <w:r>
        <w:t>actually bridges</w:t>
      </w:r>
      <w:proofErr w:type="gramEnd"/>
      <w:r>
        <w:t xml:space="preserve"> the gap between procedures, fomenting European harmonisation in member state approaches to preventive restructuring? Or will member states whose regimes are already quite different from the Proposal seek to maintain their status quo as far as possible, implementing the provisions in the least disruptive manner possible? </w:t>
      </w:r>
      <w:r w:rsidR="00E95AA3">
        <w:t xml:space="preserve">Given the current text is merely a confirmed compromise with a view to agreement, it is yet to be seen how its implementation in the member states will </w:t>
      </w:r>
      <w:r w:rsidR="00987754">
        <w:t xml:space="preserve">affect preventive restructuring frameworks in Europe, and the EU’s goal to harmonise in this area as far as possible. </w:t>
      </w:r>
    </w:p>
    <w:p w14:paraId="1C77D783" w14:textId="0C07B28E" w:rsidR="00CA3253" w:rsidRPr="00AA2F39" w:rsidRDefault="00CA3253" w:rsidP="009B185B">
      <w:pPr>
        <w:pStyle w:val="ListParagraph"/>
        <w:spacing w:before="240" w:after="240"/>
        <w:contextualSpacing w:val="0"/>
        <w:jc w:val="both"/>
        <w:rPr>
          <w:rFonts w:cs="Times New Roman"/>
          <w:highlight w:val="yellow"/>
        </w:rPr>
      </w:pPr>
    </w:p>
    <w:sectPr w:rsidR="00CA3253" w:rsidRPr="00AA2F39" w:rsidSect="00B0288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AFCEF" w14:textId="77777777" w:rsidR="00A86CD0" w:rsidRDefault="00A86CD0" w:rsidP="00E770F8">
      <w:r>
        <w:separator/>
      </w:r>
    </w:p>
  </w:endnote>
  <w:endnote w:type="continuationSeparator" w:id="0">
    <w:p w14:paraId="2C22EE8C" w14:textId="77777777" w:rsidR="00A86CD0" w:rsidRDefault="00A86CD0" w:rsidP="00E7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3CCE" w14:textId="77777777" w:rsidR="00A86CD0" w:rsidRDefault="00A86CD0" w:rsidP="00E770F8">
      <w:r>
        <w:separator/>
      </w:r>
    </w:p>
  </w:footnote>
  <w:footnote w:type="continuationSeparator" w:id="0">
    <w:p w14:paraId="2E8DEB8A" w14:textId="77777777" w:rsidR="00A86CD0" w:rsidRDefault="00A86CD0" w:rsidP="00E770F8">
      <w:r>
        <w:continuationSeparator/>
      </w:r>
    </w:p>
  </w:footnote>
  <w:footnote w:id="1">
    <w:p w14:paraId="5329FF35" w14:textId="7A06D367" w:rsidR="002276A3" w:rsidRPr="00A008DB" w:rsidRDefault="002276A3" w:rsidP="00A008DB">
      <w:pPr>
        <w:pStyle w:val="FootnoteText"/>
        <w:jc w:val="both"/>
        <w:rPr>
          <w:color w:val="FF0000"/>
        </w:rPr>
      </w:pPr>
      <w:r w:rsidRPr="00A008DB">
        <w:rPr>
          <w:rStyle w:val="FootnoteReference"/>
        </w:rPr>
        <w:footnoteRef/>
      </w:r>
      <w:r w:rsidRPr="00A008DB">
        <w:t xml:space="preserve"> </w:t>
      </w:r>
      <w:r w:rsidRPr="00A008DB">
        <w:rPr>
          <w:rFonts w:cs="Times New Roman"/>
        </w:rPr>
        <w:t>The law in this article is</w:t>
      </w:r>
      <w:r w:rsidR="00A008DB">
        <w:rPr>
          <w:rFonts w:cs="Times New Roman"/>
        </w:rPr>
        <w:t xml:space="preserve"> current as</w:t>
      </w:r>
      <w:r w:rsidRPr="00A008DB">
        <w:rPr>
          <w:rFonts w:cs="Times New Roman"/>
        </w:rPr>
        <w:t xml:space="preserve"> stated </w:t>
      </w:r>
      <w:r w:rsidR="00A008DB">
        <w:rPr>
          <w:rFonts w:cs="Times New Roman"/>
        </w:rPr>
        <w:t>on</w:t>
      </w:r>
      <w:r w:rsidRPr="00A008DB">
        <w:rPr>
          <w:rFonts w:cs="Times New Roman"/>
        </w:rPr>
        <w:t xml:space="preserve"> 31 January 2019. </w:t>
      </w:r>
    </w:p>
  </w:footnote>
  <w:footnote w:id="2">
    <w:p w14:paraId="0A3B4E20" w14:textId="00431EA6"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Proposal for a Directive of the European Union and the Council COM(2016)723 final on preventive restructuring frameworks, second chance and measures to increase the efficiency of restructuring, insolvency and discharge procedures and amending Directive 2012/30/EU [22/11/2016]</w:t>
      </w:r>
      <w:r w:rsidR="0052374B" w:rsidRPr="00A008DB">
        <w:rPr>
          <w:rFonts w:cs="Times New Roman"/>
        </w:rPr>
        <w:t xml:space="preserve">; for the purposes of this article, the proposal and its various iterations up to and including the most recent publication on 17 December 2018 confirming its wording with a view to agreement, will be referred to as </w:t>
      </w:r>
      <w:r w:rsidRPr="00A008DB">
        <w:rPr>
          <w:rFonts w:cs="Times New Roman"/>
        </w:rPr>
        <w:t>the “Proposal”</w:t>
      </w:r>
      <w:r w:rsidR="00EE7D04" w:rsidRPr="00A008DB">
        <w:rPr>
          <w:rFonts w:cs="Times New Roman"/>
        </w:rPr>
        <w:t>, except where the other iterations of the Proposal require specificity</w:t>
      </w:r>
      <w:r w:rsidRPr="00A008DB">
        <w:rPr>
          <w:rFonts w:cs="Times New Roman"/>
        </w:rPr>
        <w:t>.</w:t>
      </w:r>
      <w:r w:rsidR="00B72578" w:rsidRPr="00A008DB">
        <w:rPr>
          <w:rFonts w:cs="Times New Roman"/>
        </w:rPr>
        <w:t xml:space="preserve"> </w:t>
      </w:r>
    </w:p>
  </w:footnote>
  <w:footnote w:id="3">
    <w:p w14:paraId="0AD0B4FE" w14:textId="1DF53F48"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The US Chapter 11 Bankruptcy Code (reorganisation proceeding) was introduced in 1978. It introduced the Debtor in Possession model, which has inspired legislators across the world. For the international take of Chapter 11, see for instance, Bob Wessels and </w:t>
      </w:r>
      <w:proofErr w:type="spellStart"/>
      <w:r w:rsidRPr="00A008DB">
        <w:rPr>
          <w:rFonts w:cs="Times New Roman"/>
        </w:rPr>
        <w:t>Rolef</w:t>
      </w:r>
      <w:proofErr w:type="spellEnd"/>
      <w:r w:rsidRPr="00A008DB">
        <w:rPr>
          <w:rFonts w:cs="Times New Roman"/>
        </w:rPr>
        <w:t xml:space="preserve"> J de </w:t>
      </w:r>
      <w:proofErr w:type="spellStart"/>
      <w:r w:rsidRPr="00A008DB">
        <w:rPr>
          <w:rFonts w:cs="Times New Roman"/>
        </w:rPr>
        <w:t>Weijs</w:t>
      </w:r>
      <w:proofErr w:type="spellEnd"/>
      <w:r w:rsidRPr="00A008DB" w:rsidDel="00331A35">
        <w:rPr>
          <w:rFonts w:cs="Times New Roman"/>
        </w:rPr>
        <w:t xml:space="preserve"> </w:t>
      </w:r>
      <w:r w:rsidRPr="00A008DB">
        <w:rPr>
          <w:rFonts w:cs="Times New Roman"/>
        </w:rPr>
        <w:t>(eds)</w:t>
      </w:r>
      <w:r w:rsidRPr="00A008DB">
        <w:rPr>
          <w:rFonts w:cs="Times New Roman"/>
          <w:i/>
        </w:rPr>
        <w:t>, International Contributions to the Reform of Chapter 11 U.S. Bankruptcy Code</w:t>
      </w:r>
      <w:r w:rsidRPr="00A008DB">
        <w:rPr>
          <w:rFonts w:cs="Times New Roman"/>
        </w:rPr>
        <w:t xml:space="preserve"> (European and International Insolvency Law Studies Volume 2, Eleven International Publishing 2015).</w:t>
      </w:r>
    </w:p>
  </w:footnote>
  <w:footnote w:id="4">
    <w:p w14:paraId="70658193" w14:textId="5AE4FE1B"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Bob Wessels, ‘On the future of European Insolvency Law’, in Rebecca Parry (ed), </w:t>
      </w:r>
      <w:r w:rsidRPr="00A008DB">
        <w:rPr>
          <w:rFonts w:cs="Times New Roman"/>
          <w:i/>
        </w:rPr>
        <w:t>European Insolvency Law: Prospects for Reform</w:t>
      </w:r>
      <w:r w:rsidRPr="00A008DB">
        <w:rPr>
          <w:rFonts w:cs="Times New Roman"/>
        </w:rPr>
        <w:t xml:space="preserve"> (INSOL Europe 2014) 131-158; Gert-Jan Boon &amp; Stephan Madaus, ‘Toward a European Business Rescue Culture’, in Jan </w:t>
      </w:r>
      <w:proofErr w:type="spellStart"/>
      <w:r w:rsidRPr="00A008DB">
        <w:rPr>
          <w:rFonts w:cs="Times New Roman"/>
        </w:rPr>
        <w:t>Adriaanse</w:t>
      </w:r>
      <w:proofErr w:type="spellEnd"/>
      <w:r w:rsidRPr="00A008DB">
        <w:rPr>
          <w:rFonts w:cs="Times New Roman"/>
        </w:rPr>
        <w:t xml:space="preserve"> &amp; Jean-Pierre van der Rest (eds), </w:t>
      </w:r>
      <w:r w:rsidRPr="00A008DB">
        <w:rPr>
          <w:rFonts w:cs="Times New Roman"/>
          <w:i/>
        </w:rPr>
        <w:t>Turnaround Management and Bankruptcy: A Research Companion</w:t>
      </w:r>
      <w:r w:rsidRPr="00A008DB">
        <w:rPr>
          <w:rFonts w:cs="Times New Roman"/>
        </w:rPr>
        <w:t xml:space="preserve"> (Routledge Advances in Management and Business Studies, Routledge 2016) 238-258.</w:t>
      </w:r>
    </w:p>
  </w:footnote>
  <w:footnote w:id="5">
    <w:p w14:paraId="30FAC3A5" w14:textId="1F840409" w:rsidR="000423EA" w:rsidRPr="00A008DB" w:rsidRDefault="000423EA" w:rsidP="00A008DB">
      <w:pPr>
        <w:pStyle w:val="FootnoteText"/>
        <w:jc w:val="both"/>
      </w:pPr>
      <w:r w:rsidRPr="00A008DB">
        <w:rPr>
          <w:rStyle w:val="FootnoteReference"/>
        </w:rPr>
        <w:footnoteRef/>
      </w:r>
      <w:r w:rsidRPr="00A008DB">
        <w:t xml:space="preserve"> Commission Staff Working Document Executive Summary and Impact Assessment </w:t>
      </w:r>
      <w:proofErr w:type="gramStart"/>
      <w:r w:rsidRPr="00A008DB">
        <w:t>SWD(</w:t>
      </w:r>
      <w:proofErr w:type="gramEnd"/>
      <w:r w:rsidRPr="00A008DB">
        <w:t xml:space="preserve">2014) 62 final </w:t>
      </w:r>
      <w:r w:rsidRPr="00A008DB">
        <w:rPr>
          <w:i/>
        </w:rPr>
        <w:t xml:space="preserve">Accompanying the document </w:t>
      </w:r>
      <w:r w:rsidRPr="00A008DB">
        <w:t xml:space="preserve">Commission Recommendation on a new approach to business failure and insolvency C(2014) 1500 final, 2. </w:t>
      </w:r>
    </w:p>
  </w:footnote>
  <w:footnote w:id="6">
    <w:p w14:paraId="704AD4B1" w14:textId="77777777" w:rsidR="000423EA" w:rsidRPr="00A008DB" w:rsidRDefault="000423EA"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Commission Recommendation </w:t>
      </w:r>
      <w:proofErr w:type="gramStart"/>
      <w:r w:rsidRPr="00A008DB">
        <w:rPr>
          <w:rFonts w:cs="Times New Roman"/>
        </w:rPr>
        <w:t>C(</w:t>
      </w:r>
      <w:proofErr w:type="gramEnd"/>
      <w:r w:rsidRPr="00A008DB">
        <w:rPr>
          <w:rFonts w:cs="Times New Roman"/>
        </w:rPr>
        <w:t xml:space="preserve">2014) 1500 final on a new approach to business failure and insolvency [12.03.2014] </w:t>
      </w:r>
      <w:r w:rsidRPr="00A008DB">
        <w:rPr>
          <w:rFonts w:cs="Times New Roman"/>
          <w:i/>
        </w:rPr>
        <w:t xml:space="preserve">OJ : JOL_2014_074_R_0065_01 </w:t>
      </w:r>
      <w:r w:rsidRPr="00A008DB">
        <w:rPr>
          <w:rFonts w:cs="Times New Roman"/>
        </w:rPr>
        <w:t>(the “Recommendation”).</w:t>
      </w:r>
    </w:p>
  </w:footnote>
  <w:footnote w:id="7">
    <w:p w14:paraId="0082C6BB" w14:textId="247507A8"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H </w:t>
      </w:r>
      <w:proofErr w:type="spellStart"/>
      <w:r w:rsidRPr="00A008DB">
        <w:rPr>
          <w:rFonts w:cs="Times New Roman"/>
        </w:rPr>
        <w:t>Eidenmuller</w:t>
      </w:r>
      <w:proofErr w:type="spellEnd"/>
      <w:r w:rsidRPr="00A008DB">
        <w:rPr>
          <w:rFonts w:cs="Times New Roman"/>
        </w:rPr>
        <w:t>, ‘Contracting for a European Insolvency Regime’ (2017) 18 Eur Bus Org LR 273, 275-276.</w:t>
      </w:r>
    </w:p>
  </w:footnote>
  <w:footnote w:id="8">
    <w:p w14:paraId="6A1E38C7" w14:textId="28C8118F" w:rsidR="002276A3" w:rsidRPr="00A008DB" w:rsidRDefault="002276A3" w:rsidP="00A008DB">
      <w:pPr>
        <w:pStyle w:val="FootnoteText"/>
        <w:jc w:val="both"/>
      </w:pPr>
      <w:r w:rsidRPr="00A008DB">
        <w:rPr>
          <w:rStyle w:val="FootnoteReference"/>
        </w:rPr>
        <w:footnoteRef/>
      </w:r>
      <w:r w:rsidRPr="00A008DB">
        <w:t xml:space="preserve"> See the Report by the European Parliament (COM(2016)0723 – C8-0475/2016 – 2016/0359(COD)) on the Proposal for a Directive of the European Parliament and of the Council on preventive restructuring frameworks, second chance, and measures to increase efficiency and restructuring, insolvency, and discharge procedures and amending Directive 2012/30/EU [21.08.2018] and the Report by the Council of the European Union 2012/30/EU (2016/0359(COD) on a Proposal for a Directive of the European Parliament and of the Council on preventive restructuring frameworks, second chance, and measures to increase efficiency and restructuring, insolvency, and discharge procedures and amending Directive 2012/30/EU – the General Approach [01.10.2018]. </w:t>
      </w:r>
    </w:p>
  </w:footnote>
  <w:footnote w:id="9">
    <w:p w14:paraId="08A9C3B1" w14:textId="02CE4B9B" w:rsidR="002276A3" w:rsidRPr="00A008DB" w:rsidRDefault="002276A3" w:rsidP="00A008DB">
      <w:pPr>
        <w:pStyle w:val="FootnoteText"/>
        <w:jc w:val="both"/>
      </w:pPr>
      <w:r w:rsidRPr="00A008DB">
        <w:rPr>
          <w:rStyle w:val="FootnoteReference"/>
        </w:rPr>
        <w:footnoteRef/>
      </w:r>
      <w:r w:rsidRPr="00A008DB">
        <w:t xml:space="preserve"> Communication from the Commission to the European Parliament, the Council, the European Economic and Social committee, and the Committee of the Regions </w:t>
      </w:r>
      <w:proofErr w:type="gramStart"/>
      <w:r w:rsidRPr="00A008DB">
        <w:t>COM(</w:t>
      </w:r>
      <w:proofErr w:type="gramEnd"/>
      <w:r w:rsidRPr="00A008DB">
        <w:t>2015)468 final Action Plan on Building a Capital Markets Union [30.09.2015].</w:t>
      </w:r>
    </w:p>
  </w:footnote>
  <w:footnote w:id="10">
    <w:p w14:paraId="11B586E7" w14:textId="02FFD06A" w:rsidR="002276A3" w:rsidRPr="00A008DB" w:rsidRDefault="002276A3" w:rsidP="00A008DB">
      <w:pPr>
        <w:pStyle w:val="FootnoteText"/>
        <w:jc w:val="both"/>
      </w:pPr>
      <w:r w:rsidRPr="00A008DB">
        <w:rPr>
          <w:rStyle w:val="FootnoteReference"/>
        </w:rPr>
        <w:footnoteRef/>
      </w:r>
      <w:r w:rsidRPr="00A008DB">
        <w:t xml:space="preserve"> The Proposal (n 2) 2.</w:t>
      </w:r>
    </w:p>
  </w:footnote>
  <w:footnote w:id="11">
    <w:p w14:paraId="4941E480" w14:textId="53AACAE4" w:rsidR="002276A3" w:rsidRPr="00A008DB" w:rsidRDefault="002276A3" w:rsidP="00A008DB">
      <w:pPr>
        <w:pStyle w:val="FootnoteText"/>
        <w:jc w:val="both"/>
      </w:pPr>
      <w:r w:rsidRPr="00A008DB">
        <w:rPr>
          <w:rStyle w:val="FootnoteReference"/>
        </w:rPr>
        <w:footnoteRef/>
      </w:r>
      <w:r w:rsidRPr="00A008DB">
        <w:t xml:space="preserve"> ibid.</w:t>
      </w:r>
    </w:p>
  </w:footnote>
  <w:footnote w:id="12">
    <w:p w14:paraId="298A2FC1" w14:textId="48FF9F61" w:rsidR="00B71786" w:rsidRPr="00A008DB" w:rsidRDefault="00B71786" w:rsidP="00A008DB">
      <w:pPr>
        <w:pStyle w:val="FootnoteText"/>
        <w:jc w:val="both"/>
      </w:pPr>
      <w:r w:rsidRPr="00A008DB">
        <w:rPr>
          <w:rStyle w:val="FootnoteReference"/>
        </w:rPr>
        <w:footnoteRef/>
      </w:r>
      <w:r w:rsidRPr="00A008DB">
        <w:t xml:space="preserve"> Proposal for a Directive of the European Parliament and of the Council on preventive restructuring frameworks, second chance, and measures to increase efficiency and restructuring, insolvency, and discharge procedures and amending Directive 2012/30/EU – Confirmation of the final compromise text with a view to agreement [17.12.2018].</w:t>
      </w:r>
    </w:p>
  </w:footnote>
  <w:footnote w:id="13">
    <w:p w14:paraId="03363F1D" w14:textId="44EBB1CD" w:rsidR="002276A3" w:rsidRPr="00A008DB" w:rsidRDefault="002276A3" w:rsidP="00A008DB">
      <w:pPr>
        <w:pStyle w:val="FootnoteText"/>
        <w:jc w:val="both"/>
      </w:pPr>
      <w:r w:rsidRPr="00A008DB">
        <w:rPr>
          <w:rStyle w:val="FootnoteReference"/>
        </w:rPr>
        <w:footnoteRef/>
      </w:r>
      <w:r w:rsidRPr="00A008DB">
        <w:t xml:space="preserve"> Report by the Council of the European Union 2012/30/EU (2016/0359(COD) on a Proposal for a Directive of the European Parliament and of the Council on preventive restructuring frameworks, second chance, and measures to increase efficiency and restructuring, insolvency, and discharge procedures and amending Directive 2012/30/EU – the General Approach [01.10.2018].</w:t>
      </w:r>
    </w:p>
  </w:footnote>
  <w:footnote w:id="14">
    <w:p w14:paraId="72C38917" w14:textId="27668CF2" w:rsidR="002276A3" w:rsidRPr="00A008DB" w:rsidRDefault="002276A3" w:rsidP="00A008DB">
      <w:pPr>
        <w:pStyle w:val="FootnoteText"/>
        <w:jc w:val="both"/>
      </w:pPr>
      <w:r w:rsidRPr="00A008DB">
        <w:rPr>
          <w:rStyle w:val="FootnoteReference"/>
        </w:rPr>
        <w:footnoteRef/>
      </w:r>
      <w:r w:rsidRPr="00A008DB">
        <w:t xml:space="preserve"> Report by the Council of the European Union 2016/0359(COD) on the Proposal for a Directive of the European Parliament and of the Council on preventive restructuring frameworks, second chance, and measures to increase efficiency and restructuring, insolvency, and discharge procedures and amending Directive 2012/30/EU – confirmation of the final compromise with a view to agreement [17.12.2018] 3-5.</w:t>
      </w:r>
    </w:p>
  </w:footnote>
  <w:footnote w:id="15">
    <w:p w14:paraId="66EB2DC8" w14:textId="58C0C100"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Restructuring in the form of a going concern sale is possible during the liquidation process and the regulation on workers’ rights ‘is more flexible in bankruptcy than in restructuring and out of court proceedings, which incentivises sales during bankruptcy proceedings.’ See more </w:t>
      </w:r>
      <w:proofErr w:type="spellStart"/>
      <w:r w:rsidRPr="00A008DB">
        <w:rPr>
          <w:rFonts w:cs="Times New Roman"/>
        </w:rPr>
        <w:t>Betænkning</w:t>
      </w:r>
      <w:proofErr w:type="spellEnd"/>
      <w:r w:rsidRPr="00A008DB">
        <w:rPr>
          <w:rFonts w:cs="Times New Roman"/>
        </w:rPr>
        <w:t xml:space="preserve"> nr. 1555/2015 om </w:t>
      </w:r>
      <w:proofErr w:type="spellStart"/>
      <w:r w:rsidRPr="00A008DB">
        <w:rPr>
          <w:rFonts w:cs="Times New Roman"/>
        </w:rPr>
        <w:t>Ansattes</w:t>
      </w:r>
      <w:proofErr w:type="spellEnd"/>
      <w:r w:rsidRPr="00A008DB">
        <w:rPr>
          <w:rFonts w:cs="Times New Roman"/>
        </w:rPr>
        <w:t xml:space="preserve"> </w:t>
      </w:r>
      <w:proofErr w:type="spellStart"/>
      <w:r w:rsidRPr="00A008DB">
        <w:rPr>
          <w:rFonts w:cs="Times New Roman"/>
        </w:rPr>
        <w:t>retsstilling</w:t>
      </w:r>
      <w:proofErr w:type="spellEnd"/>
      <w:r w:rsidRPr="00A008DB">
        <w:rPr>
          <w:rFonts w:cs="Times New Roman"/>
        </w:rPr>
        <w:t xml:space="preserve"> under </w:t>
      </w:r>
      <w:proofErr w:type="spellStart"/>
      <w:r w:rsidRPr="00A008DB">
        <w:rPr>
          <w:rFonts w:cs="Times New Roman"/>
        </w:rPr>
        <w:t>insolvensbehandling</w:t>
      </w:r>
      <w:proofErr w:type="spellEnd"/>
      <w:r w:rsidRPr="00A008DB">
        <w:rPr>
          <w:rFonts w:cs="Times New Roman"/>
        </w:rPr>
        <w:t>, s 183-200.</w:t>
      </w:r>
    </w:p>
  </w:footnote>
  <w:footnote w:id="16">
    <w:p w14:paraId="6748518F" w14:textId="25D4334C"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proofErr w:type="spellStart"/>
      <w:r w:rsidRPr="00A008DB">
        <w:rPr>
          <w:rFonts w:cs="Times New Roman"/>
        </w:rPr>
        <w:t>Betænkning</w:t>
      </w:r>
      <w:proofErr w:type="spellEnd"/>
      <w:r w:rsidRPr="00A008DB">
        <w:rPr>
          <w:rFonts w:cs="Times New Roman"/>
        </w:rPr>
        <w:t xml:space="preserve"> nr. 1512/2009 om </w:t>
      </w:r>
      <w:proofErr w:type="spellStart"/>
      <w:r w:rsidRPr="00A008DB">
        <w:rPr>
          <w:rFonts w:cs="Times New Roman"/>
        </w:rPr>
        <w:t>rekonstruktion</w:t>
      </w:r>
      <w:proofErr w:type="spellEnd"/>
      <w:r w:rsidRPr="00A008DB">
        <w:rPr>
          <w:rFonts w:cs="Times New Roman"/>
        </w:rPr>
        <w:t xml:space="preserve"> mv, 55-56. Suspension of payments was considered a tool that could facilitate creditor solutions such as creditors’ compositions: </w:t>
      </w:r>
      <w:proofErr w:type="spellStart"/>
      <w:r w:rsidRPr="00A008DB">
        <w:rPr>
          <w:rFonts w:cs="Times New Roman"/>
        </w:rPr>
        <w:t>Betænkning</w:t>
      </w:r>
      <w:proofErr w:type="spellEnd"/>
      <w:r w:rsidRPr="00A008DB">
        <w:rPr>
          <w:rFonts w:cs="Times New Roman"/>
        </w:rPr>
        <w:t xml:space="preserve"> nr. 983/1983 om </w:t>
      </w:r>
      <w:proofErr w:type="spellStart"/>
      <w:r w:rsidRPr="00A008DB">
        <w:rPr>
          <w:rFonts w:cs="Times New Roman"/>
        </w:rPr>
        <w:t>betalingsstandsning</w:t>
      </w:r>
      <w:proofErr w:type="spellEnd"/>
      <w:r w:rsidRPr="00A008DB">
        <w:rPr>
          <w:rFonts w:cs="Times New Roman"/>
        </w:rPr>
        <w:t xml:space="preserve">, 7. </w:t>
      </w:r>
    </w:p>
  </w:footnote>
  <w:footnote w:id="17">
    <w:p w14:paraId="5C6DB71C" w14:textId="0CDA5944"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proofErr w:type="spellStart"/>
      <w:r w:rsidRPr="00A008DB">
        <w:rPr>
          <w:rFonts w:cs="Times New Roman"/>
        </w:rPr>
        <w:t>Betænkning</w:t>
      </w:r>
      <w:proofErr w:type="spellEnd"/>
      <w:r w:rsidRPr="00A008DB">
        <w:rPr>
          <w:rFonts w:cs="Times New Roman"/>
        </w:rPr>
        <w:t xml:space="preserve"> nr. 1555 om </w:t>
      </w:r>
      <w:proofErr w:type="spellStart"/>
      <w:r w:rsidRPr="00A008DB">
        <w:rPr>
          <w:rFonts w:cs="Times New Roman"/>
        </w:rPr>
        <w:t>Ansattes</w:t>
      </w:r>
      <w:proofErr w:type="spellEnd"/>
      <w:r w:rsidRPr="00A008DB">
        <w:rPr>
          <w:rFonts w:cs="Times New Roman"/>
        </w:rPr>
        <w:t xml:space="preserve"> </w:t>
      </w:r>
      <w:proofErr w:type="spellStart"/>
      <w:r w:rsidRPr="00A008DB">
        <w:rPr>
          <w:rFonts w:cs="Times New Roman"/>
        </w:rPr>
        <w:t>retsstilling</w:t>
      </w:r>
      <w:proofErr w:type="spellEnd"/>
      <w:r w:rsidRPr="00A008DB">
        <w:rPr>
          <w:rFonts w:cs="Times New Roman"/>
        </w:rPr>
        <w:t xml:space="preserve"> under </w:t>
      </w:r>
      <w:proofErr w:type="spellStart"/>
      <w:r w:rsidRPr="00A008DB">
        <w:rPr>
          <w:rFonts w:cs="Times New Roman"/>
        </w:rPr>
        <w:t>insolvensbehandling</w:t>
      </w:r>
      <w:proofErr w:type="spellEnd"/>
      <w:r w:rsidRPr="00A008DB">
        <w:rPr>
          <w:rFonts w:cs="Times New Roman"/>
        </w:rPr>
        <w:t>, 190-200.</w:t>
      </w:r>
    </w:p>
  </w:footnote>
  <w:footnote w:id="18">
    <w:p w14:paraId="7816970B" w14:textId="77FE19C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Danish Bankruptcy Act, § 12c. There are few exemptions from the stay, i.e. credit secured by receivables can be enforced during the proceeding.</w:t>
      </w:r>
    </w:p>
  </w:footnote>
  <w:footnote w:id="19">
    <w:p w14:paraId="15AD7417" w14:textId="38A71BD1"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Danish Bankruptcy Act</w:t>
      </w:r>
      <w:r w:rsidR="00093C6B" w:rsidRPr="00A008DB">
        <w:rPr>
          <w:rFonts w:cs="Times New Roman"/>
        </w:rPr>
        <w:t>,</w:t>
      </w:r>
      <w:r w:rsidRPr="00A008DB">
        <w:rPr>
          <w:rFonts w:cs="Times New Roman"/>
        </w:rPr>
        <w:t xml:space="preserve"> §§ 10, 10a and 10b.</w:t>
      </w:r>
    </w:p>
  </w:footnote>
  <w:footnote w:id="20">
    <w:p w14:paraId="755C420C" w14:textId="318C95E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Danish </w:t>
      </w:r>
      <w:proofErr w:type="spellStart"/>
      <w:r w:rsidRPr="00A008DB">
        <w:rPr>
          <w:rFonts w:cs="Times New Roman"/>
        </w:rPr>
        <w:t>Bankrutpcy</w:t>
      </w:r>
      <w:proofErr w:type="spellEnd"/>
      <w:r w:rsidRPr="00A008DB">
        <w:rPr>
          <w:rFonts w:cs="Times New Roman"/>
        </w:rPr>
        <w:t xml:space="preserve"> Act, § 13d</w:t>
      </w:r>
      <w:r w:rsidR="00AA2F39" w:rsidRPr="00A008DB">
        <w:rPr>
          <w:rFonts w:cs="Times New Roman"/>
        </w:rPr>
        <w:t>.</w:t>
      </w:r>
    </w:p>
  </w:footnote>
  <w:footnote w:id="21">
    <w:p w14:paraId="6F5EC61C" w14:textId="15C9908D"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Danish Bankruptcy Act, § 10c. The </w:t>
      </w:r>
      <w:proofErr w:type="spellStart"/>
      <w:r w:rsidRPr="00A008DB">
        <w:rPr>
          <w:rFonts w:cs="Times New Roman"/>
        </w:rPr>
        <w:t>undersecured</w:t>
      </w:r>
      <w:proofErr w:type="spellEnd"/>
      <w:r w:rsidRPr="00A008DB">
        <w:rPr>
          <w:rFonts w:cs="Times New Roman"/>
        </w:rPr>
        <w:t xml:space="preserve"> credit is treated as unsecured. Preferential creditors will not be affected by a haircut: § 10a (2)-(3). </w:t>
      </w:r>
    </w:p>
  </w:footnote>
  <w:footnote w:id="22">
    <w:p w14:paraId="21E314D6" w14:textId="10BC7C5B" w:rsidR="002276A3" w:rsidRPr="00A008DB" w:rsidRDefault="002276A3" w:rsidP="00A008DB">
      <w:pPr>
        <w:pStyle w:val="FootnoteText"/>
        <w:jc w:val="both"/>
        <w:rPr>
          <w:rFonts w:cs="Times New Roman"/>
          <w:lang w:val="de-DE"/>
        </w:rPr>
      </w:pPr>
      <w:r w:rsidRPr="00A008DB">
        <w:rPr>
          <w:rStyle w:val="FootnoteReference"/>
          <w:rFonts w:cs="Times New Roman"/>
        </w:rPr>
        <w:footnoteRef/>
      </w:r>
      <w:r w:rsidRPr="00A008DB">
        <w:rPr>
          <w:rFonts w:cs="Times New Roman"/>
          <w:lang w:val="de-DE"/>
        </w:rPr>
        <w:t xml:space="preserve"> </w:t>
      </w:r>
      <w:r w:rsidRPr="00A008DB">
        <w:rPr>
          <w:rFonts w:cs="Times New Roman"/>
          <w:lang w:val="de-DE"/>
        </w:rPr>
        <w:t>Danish Bankrutpcy Act, § 14c (4).</w:t>
      </w:r>
    </w:p>
  </w:footnote>
  <w:footnote w:id="23">
    <w:p w14:paraId="1FA3288A" w14:textId="3FB32D37" w:rsidR="002276A3" w:rsidRPr="00A008DB" w:rsidRDefault="002276A3" w:rsidP="00A008DB">
      <w:pPr>
        <w:pStyle w:val="FootnoteText"/>
        <w:jc w:val="both"/>
        <w:rPr>
          <w:rFonts w:cs="Times New Roman"/>
          <w:lang w:val="de-DE"/>
        </w:rPr>
      </w:pPr>
      <w:r w:rsidRPr="00A008DB">
        <w:rPr>
          <w:rStyle w:val="FootnoteReference"/>
          <w:rFonts w:cs="Times New Roman"/>
        </w:rPr>
        <w:footnoteRef/>
      </w:r>
      <w:r w:rsidRPr="00A008DB">
        <w:rPr>
          <w:rFonts w:cs="Times New Roman"/>
          <w:lang w:val="de-DE"/>
        </w:rPr>
        <w:t xml:space="preserve"> </w:t>
      </w:r>
      <w:r w:rsidRPr="00A008DB">
        <w:rPr>
          <w:rFonts w:cs="Times New Roman"/>
          <w:lang w:val="de-DE"/>
        </w:rPr>
        <w:t>Jens Paulsen: “5 år med Rekonstruktion,” ET 2017.23.</w:t>
      </w:r>
    </w:p>
  </w:footnote>
  <w:footnote w:id="24">
    <w:p w14:paraId="515704F5" w14:textId="57DA7E15" w:rsidR="002276A3" w:rsidRPr="00A008DB" w:rsidRDefault="002276A3" w:rsidP="00A008DB">
      <w:pPr>
        <w:pStyle w:val="FootnoteText"/>
        <w:jc w:val="both"/>
        <w:rPr>
          <w:rFonts w:cs="Times New Roman"/>
          <w:lang w:val="de-DE"/>
        </w:rPr>
      </w:pPr>
      <w:r w:rsidRPr="00A008DB">
        <w:rPr>
          <w:rStyle w:val="FootnoteReference"/>
          <w:rFonts w:cs="Times New Roman"/>
        </w:rPr>
        <w:footnoteRef/>
      </w:r>
      <w:r w:rsidRPr="00A008DB">
        <w:rPr>
          <w:rFonts w:cs="Times New Roman"/>
          <w:lang w:val="de-DE"/>
        </w:rPr>
        <w:t xml:space="preserve"> </w:t>
      </w:r>
      <w:r w:rsidRPr="00A008DB">
        <w:rPr>
          <w:rFonts w:cs="Times New Roman"/>
          <w:lang w:val="de-DE"/>
        </w:rPr>
        <w:t>Danmarks statistik – perioden 2012-1015 og Jens Paulsen: 5 år med rekonstruktionsbehandling.</w:t>
      </w:r>
    </w:p>
  </w:footnote>
  <w:footnote w:id="25">
    <w:p w14:paraId="12660825" w14:textId="0DA6508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There are no official numbers on remuneration and costs, but a small survey done by KPMG in 2012 showed that on average the restructuring costs are DKK 1.3 million DKK. See more “</w:t>
      </w:r>
      <w:proofErr w:type="spellStart"/>
      <w:r w:rsidRPr="00A008DB">
        <w:rPr>
          <w:rFonts w:cs="Times New Roman"/>
        </w:rPr>
        <w:t>Præsentation</w:t>
      </w:r>
      <w:proofErr w:type="spellEnd"/>
      <w:r w:rsidRPr="00A008DB">
        <w:rPr>
          <w:rFonts w:cs="Times New Roman"/>
        </w:rPr>
        <w:t xml:space="preserve"> for </w:t>
      </w:r>
      <w:proofErr w:type="spellStart"/>
      <w:r w:rsidRPr="00A008DB">
        <w:rPr>
          <w:rFonts w:cs="Times New Roman"/>
        </w:rPr>
        <w:t>Konkursrådet</w:t>
      </w:r>
      <w:proofErr w:type="spellEnd"/>
      <w:r w:rsidRPr="00A008DB">
        <w:rPr>
          <w:rFonts w:cs="Times New Roman"/>
        </w:rPr>
        <w:t xml:space="preserve"> 11. </w:t>
      </w:r>
      <w:proofErr w:type="spellStart"/>
      <w:r w:rsidRPr="00A008DB">
        <w:rPr>
          <w:rFonts w:cs="Times New Roman"/>
        </w:rPr>
        <w:t>oktober</w:t>
      </w:r>
      <w:proofErr w:type="spellEnd"/>
      <w:r w:rsidRPr="00A008DB">
        <w:rPr>
          <w:rFonts w:cs="Times New Roman"/>
        </w:rPr>
        <w:t xml:space="preserve"> 2012”</w:t>
      </w:r>
      <w:r w:rsidRPr="00A008DB">
        <w:rPr>
          <w:rFonts w:cs="Times New Roman"/>
          <w:i/>
        </w:rPr>
        <w:t xml:space="preserve"> </w:t>
      </w:r>
      <w:r w:rsidRPr="00A008DB">
        <w:rPr>
          <w:rFonts w:cs="Times New Roman"/>
        </w:rPr>
        <w:t xml:space="preserve">by KPMG. </w:t>
      </w:r>
    </w:p>
  </w:footnote>
  <w:footnote w:id="26">
    <w:p w14:paraId="6F531E73" w14:textId="486852FF"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proofErr w:type="spellStart"/>
      <w:r w:rsidRPr="00A008DB">
        <w:rPr>
          <w:rFonts w:cs="Times New Roman"/>
        </w:rPr>
        <w:t>Betænkning</w:t>
      </w:r>
      <w:proofErr w:type="spellEnd"/>
      <w:r w:rsidRPr="00A008DB">
        <w:rPr>
          <w:rFonts w:cs="Times New Roman"/>
        </w:rPr>
        <w:t xml:space="preserve"> nr. 1555 om </w:t>
      </w:r>
      <w:proofErr w:type="spellStart"/>
      <w:r w:rsidRPr="00A008DB">
        <w:rPr>
          <w:rFonts w:cs="Times New Roman"/>
        </w:rPr>
        <w:t>Ansattes</w:t>
      </w:r>
      <w:proofErr w:type="spellEnd"/>
      <w:r w:rsidRPr="00A008DB">
        <w:rPr>
          <w:rFonts w:cs="Times New Roman"/>
        </w:rPr>
        <w:t xml:space="preserve"> </w:t>
      </w:r>
      <w:proofErr w:type="spellStart"/>
      <w:r w:rsidRPr="00A008DB">
        <w:rPr>
          <w:rFonts w:cs="Times New Roman"/>
        </w:rPr>
        <w:t>retsstilling</w:t>
      </w:r>
      <w:proofErr w:type="spellEnd"/>
      <w:r w:rsidRPr="00A008DB">
        <w:rPr>
          <w:rFonts w:cs="Times New Roman"/>
        </w:rPr>
        <w:t xml:space="preserve"> under </w:t>
      </w:r>
      <w:proofErr w:type="spellStart"/>
      <w:r w:rsidRPr="00A008DB">
        <w:rPr>
          <w:rFonts w:cs="Times New Roman"/>
        </w:rPr>
        <w:t>insolvensbehandling</w:t>
      </w:r>
      <w:proofErr w:type="spellEnd"/>
      <w:r w:rsidRPr="00A008DB">
        <w:rPr>
          <w:rFonts w:cs="Times New Roman"/>
        </w:rPr>
        <w:t>, 190.</w:t>
      </w:r>
    </w:p>
  </w:footnote>
  <w:footnote w:id="27">
    <w:p w14:paraId="62C405A8" w14:textId="77777777" w:rsidR="002276A3" w:rsidRPr="00A008DB" w:rsidRDefault="002276A3" w:rsidP="00A008DB">
      <w:pPr>
        <w:pStyle w:val="FootnoteText"/>
        <w:jc w:val="both"/>
        <w:rPr>
          <w:rFonts w:cs="Times New Roman"/>
          <w:lang w:val="de-DE"/>
        </w:rPr>
      </w:pPr>
      <w:r w:rsidRPr="00A008DB">
        <w:rPr>
          <w:rStyle w:val="FootnoteReference"/>
          <w:rFonts w:cs="Times New Roman"/>
        </w:rPr>
        <w:footnoteRef/>
      </w:r>
      <w:r w:rsidRPr="00A008DB">
        <w:rPr>
          <w:rFonts w:cs="Times New Roman"/>
          <w:lang w:val="de-DE"/>
        </w:rPr>
        <w:t xml:space="preserve"> </w:t>
      </w:r>
      <w:r w:rsidRPr="00A008DB">
        <w:rPr>
          <w:rFonts w:cs="Times New Roman"/>
          <w:lang w:val="de-DE"/>
        </w:rPr>
        <w:t xml:space="preserve">Jens Paulsen: 5 år med rekonstruktionsbehandling, ET 2017.23, s. 10. </w:t>
      </w:r>
    </w:p>
  </w:footnote>
  <w:footnote w:id="28">
    <w:p w14:paraId="1519DCD2" w14:textId="6DF862B5" w:rsidR="002276A3" w:rsidRPr="00A008DB" w:rsidRDefault="002276A3" w:rsidP="00A008DB">
      <w:pPr>
        <w:pStyle w:val="FootnoteText"/>
        <w:contextualSpacing/>
        <w:jc w:val="both"/>
        <w:rPr>
          <w:rFonts w:cs="Times New Roman"/>
        </w:rPr>
      </w:pPr>
      <w:r w:rsidRPr="00A008DB">
        <w:rPr>
          <w:rStyle w:val="FootnoteReference"/>
          <w:rFonts w:cs="Times New Roman"/>
        </w:rPr>
        <w:footnoteRef/>
      </w:r>
      <w:r w:rsidRPr="00A008DB">
        <w:rPr>
          <w:rFonts w:cs="Times New Roman"/>
        </w:rPr>
        <w:t xml:space="preserve"> These difficulties are not only problematic in the in-court proceedings but just as relevant in the out-of-court proceedings.</w:t>
      </w:r>
    </w:p>
  </w:footnote>
  <w:footnote w:id="29">
    <w:p w14:paraId="1C390F27" w14:textId="3552F57B" w:rsidR="002276A3" w:rsidRPr="00A008DB" w:rsidRDefault="002276A3" w:rsidP="00A008DB">
      <w:pPr>
        <w:autoSpaceDE w:val="0"/>
        <w:autoSpaceDN w:val="0"/>
        <w:adjustRightInd w:val="0"/>
        <w:contextualSpacing/>
        <w:jc w:val="both"/>
        <w:rPr>
          <w:rFonts w:cs="Times New Roman"/>
          <w:sz w:val="20"/>
          <w:szCs w:val="20"/>
        </w:rPr>
      </w:pPr>
      <w:r w:rsidRPr="00A008DB">
        <w:rPr>
          <w:rStyle w:val="FootnoteReference"/>
          <w:rFonts w:cs="Times New Roman"/>
          <w:sz w:val="20"/>
          <w:szCs w:val="20"/>
        </w:rPr>
        <w:footnoteRef/>
      </w:r>
      <w:r w:rsidRPr="00A008DB">
        <w:rPr>
          <w:rFonts w:cs="Times New Roman"/>
          <w:sz w:val="20"/>
          <w:szCs w:val="20"/>
        </w:rPr>
        <w:t xml:space="preserve"> </w:t>
      </w:r>
      <w:proofErr w:type="spellStart"/>
      <w:r w:rsidRPr="00A008DB">
        <w:rPr>
          <w:rFonts w:cs="Times New Roman"/>
          <w:sz w:val="20"/>
          <w:szCs w:val="20"/>
        </w:rPr>
        <w:t>Retsudvalget</w:t>
      </w:r>
      <w:proofErr w:type="spellEnd"/>
      <w:r w:rsidRPr="00A008DB">
        <w:rPr>
          <w:rFonts w:cs="Times New Roman"/>
          <w:sz w:val="20"/>
          <w:szCs w:val="20"/>
        </w:rPr>
        <w:t xml:space="preserve"> 2011-12, REU </w:t>
      </w:r>
      <w:proofErr w:type="spellStart"/>
      <w:r w:rsidRPr="00A008DB">
        <w:rPr>
          <w:rFonts w:cs="Times New Roman"/>
          <w:sz w:val="20"/>
          <w:szCs w:val="20"/>
        </w:rPr>
        <w:t>alm</w:t>
      </w:r>
      <w:proofErr w:type="spellEnd"/>
      <w:r w:rsidRPr="00A008DB">
        <w:rPr>
          <w:rFonts w:cs="Times New Roman"/>
          <w:sz w:val="20"/>
          <w:szCs w:val="20"/>
        </w:rPr>
        <w:t xml:space="preserve"> del </w:t>
      </w:r>
      <w:proofErr w:type="spellStart"/>
      <w:r w:rsidRPr="00A008DB">
        <w:rPr>
          <w:rFonts w:cs="Times New Roman"/>
          <w:sz w:val="20"/>
          <w:szCs w:val="20"/>
        </w:rPr>
        <w:t>Bilag</w:t>
      </w:r>
      <w:proofErr w:type="spellEnd"/>
      <w:r w:rsidRPr="00A008DB">
        <w:rPr>
          <w:rFonts w:cs="Times New Roman"/>
          <w:sz w:val="20"/>
          <w:szCs w:val="20"/>
        </w:rPr>
        <w:t xml:space="preserve"> 244, 7.</w:t>
      </w:r>
    </w:p>
  </w:footnote>
  <w:footnote w:id="30">
    <w:p w14:paraId="2ACE5857" w14:textId="2808AFC8" w:rsidR="002276A3" w:rsidRPr="00A008DB" w:rsidRDefault="002276A3" w:rsidP="00A008DB">
      <w:pPr>
        <w:pStyle w:val="FootnoteText"/>
        <w:contextualSpacing/>
        <w:jc w:val="both"/>
        <w:rPr>
          <w:rFonts w:cs="Times New Roman"/>
        </w:rPr>
      </w:pPr>
      <w:r w:rsidRPr="00A008DB">
        <w:rPr>
          <w:rStyle w:val="FootnoteReference"/>
          <w:rFonts w:cs="Times New Roman"/>
        </w:rPr>
        <w:footnoteRef/>
      </w:r>
      <w:r w:rsidRPr="00A008DB">
        <w:rPr>
          <w:rFonts w:cs="Times New Roman"/>
        </w:rPr>
        <w:t xml:space="preserve"> </w:t>
      </w:r>
      <w:proofErr w:type="spellStart"/>
      <w:r w:rsidRPr="00A008DB">
        <w:rPr>
          <w:rFonts w:cs="Times New Roman"/>
          <w:i/>
        </w:rPr>
        <w:t>Ulrik</w:t>
      </w:r>
      <w:proofErr w:type="spellEnd"/>
      <w:r w:rsidRPr="00A008DB">
        <w:rPr>
          <w:rFonts w:cs="Times New Roman"/>
          <w:i/>
        </w:rPr>
        <w:t xml:space="preserve"> </w:t>
      </w:r>
      <w:proofErr w:type="spellStart"/>
      <w:r w:rsidRPr="00A008DB">
        <w:rPr>
          <w:rFonts w:cs="Times New Roman"/>
          <w:i/>
        </w:rPr>
        <w:t>Rammeskow</w:t>
      </w:r>
      <w:proofErr w:type="spellEnd"/>
      <w:r w:rsidRPr="00A008DB">
        <w:rPr>
          <w:rFonts w:cs="Times New Roman"/>
          <w:i/>
        </w:rPr>
        <w:t xml:space="preserve"> Bang-Pedersen et al</w:t>
      </w:r>
      <w:r w:rsidRPr="00A008DB">
        <w:rPr>
          <w:rFonts w:cs="Times New Roman"/>
        </w:rPr>
        <w:t xml:space="preserve">: </w:t>
      </w:r>
      <w:proofErr w:type="spellStart"/>
      <w:r w:rsidRPr="00A008DB">
        <w:rPr>
          <w:rFonts w:cs="Times New Roman"/>
        </w:rPr>
        <w:t>Rekonstruktion</w:t>
      </w:r>
      <w:proofErr w:type="spellEnd"/>
      <w:r w:rsidRPr="00A008DB">
        <w:rPr>
          <w:rFonts w:cs="Times New Roman"/>
        </w:rPr>
        <w:t xml:space="preserve"> – </w:t>
      </w:r>
      <w:proofErr w:type="spellStart"/>
      <w:r w:rsidRPr="00A008DB">
        <w:rPr>
          <w:rFonts w:cs="Times New Roman"/>
        </w:rPr>
        <w:t>teori</w:t>
      </w:r>
      <w:proofErr w:type="spellEnd"/>
      <w:r w:rsidRPr="00A008DB">
        <w:rPr>
          <w:rFonts w:cs="Times New Roman"/>
        </w:rPr>
        <w:t xml:space="preserve"> </w:t>
      </w:r>
      <w:proofErr w:type="spellStart"/>
      <w:r w:rsidRPr="00A008DB">
        <w:rPr>
          <w:rFonts w:cs="Times New Roman"/>
        </w:rPr>
        <w:t>og</w:t>
      </w:r>
      <w:proofErr w:type="spellEnd"/>
      <w:r w:rsidRPr="00A008DB">
        <w:rPr>
          <w:rFonts w:cs="Times New Roman"/>
        </w:rPr>
        <w:t xml:space="preserve"> </w:t>
      </w:r>
      <w:proofErr w:type="spellStart"/>
      <w:r w:rsidRPr="00A008DB">
        <w:rPr>
          <w:rFonts w:cs="Times New Roman"/>
        </w:rPr>
        <w:t>praksis</w:t>
      </w:r>
      <w:proofErr w:type="spellEnd"/>
      <w:r w:rsidRPr="00A008DB">
        <w:rPr>
          <w:rFonts w:cs="Times New Roman"/>
        </w:rPr>
        <w:t>, 23-25.</w:t>
      </w:r>
    </w:p>
  </w:footnote>
  <w:footnote w:id="31">
    <w:p w14:paraId="491FCB1C" w14:textId="16463EE3"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r w:rsidR="0052374B" w:rsidRPr="00A008DB">
        <w:rPr>
          <w:rFonts w:cs="Times New Roman"/>
        </w:rPr>
        <w:t>The Proposal</w:t>
      </w:r>
      <w:r w:rsidR="00B179F3" w:rsidRPr="00A008DB">
        <w:rPr>
          <w:rFonts w:cs="Times New Roman"/>
        </w:rPr>
        <w:t xml:space="preserve">, </w:t>
      </w:r>
      <w:r w:rsidR="00C93B77" w:rsidRPr="00A008DB">
        <w:rPr>
          <w:rFonts w:cs="Times New Roman"/>
        </w:rPr>
        <w:t>Art</w:t>
      </w:r>
      <w:r w:rsidR="00EE7D04" w:rsidRPr="00A008DB">
        <w:rPr>
          <w:rFonts w:cs="Times New Roman"/>
        </w:rPr>
        <w:t>s</w:t>
      </w:r>
      <w:r w:rsidR="00C93B77" w:rsidRPr="00A008DB">
        <w:rPr>
          <w:rFonts w:cs="Times New Roman"/>
        </w:rPr>
        <w:t xml:space="preserve"> </w:t>
      </w:r>
      <w:r w:rsidRPr="00A008DB">
        <w:rPr>
          <w:rFonts w:cs="Times New Roman"/>
        </w:rPr>
        <w:t>9-11.</w:t>
      </w:r>
    </w:p>
  </w:footnote>
  <w:footnote w:id="32">
    <w:p w14:paraId="783E8721" w14:textId="28ED100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R Parry, ‘Introduction’ in K </w:t>
      </w:r>
      <w:proofErr w:type="spellStart"/>
      <w:r w:rsidRPr="00A008DB">
        <w:rPr>
          <w:rFonts w:cs="Times New Roman"/>
        </w:rPr>
        <w:t>Gromek</w:t>
      </w:r>
      <w:proofErr w:type="spellEnd"/>
      <w:r w:rsidRPr="00A008DB">
        <w:rPr>
          <w:rFonts w:cs="Times New Roman"/>
        </w:rPr>
        <w:t xml:space="preserve"> </w:t>
      </w:r>
      <w:proofErr w:type="spellStart"/>
      <w:r w:rsidRPr="00A008DB">
        <w:rPr>
          <w:rFonts w:cs="Times New Roman"/>
        </w:rPr>
        <w:t>Broc</w:t>
      </w:r>
      <w:proofErr w:type="spellEnd"/>
      <w:r w:rsidRPr="00A008DB">
        <w:rPr>
          <w:rFonts w:cs="Times New Roman"/>
        </w:rPr>
        <w:t xml:space="preserve"> and R Parry (eds), </w:t>
      </w:r>
      <w:r w:rsidRPr="00A008DB">
        <w:rPr>
          <w:rFonts w:cs="Times New Roman"/>
          <w:i/>
        </w:rPr>
        <w:t xml:space="preserve">Corporate Rescue in Europe: An </w:t>
      </w:r>
      <w:r w:rsidR="00B179F3" w:rsidRPr="00A008DB">
        <w:rPr>
          <w:rFonts w:cs="Times New Roman"/>
          <w:i/>
        </w:rPr>
        <w:t>O</w:t>
      </w:r>
      <w:r w:rsidRPr="00A008DB">
        <w:rPr>
          <w:rFonts w:cs="Times New Roman"/>
          <w:i/>
        </w:rPr>
        <w:t xml:space="preserve">verview of Recent Developments from Selected Countries in Europe </w:t>
      </w:r>
      <w:r w:rsidRPr="00A008DB">
        <w:rPr>
          <w:rFonts w:cs="Times New Roman"/>
        </w:rPr>
        <w:t>(Kluwer 2004) 1</w:t>
      </w:r>
      <w:r w:rsidR="00EE7D04" w:rsidRPr="00A008DB">
        <w:rPr>
          <w:rFonts w:cs="Times New Roman"/>
        </w:rPr>
        <w:t>-18, 1</w:t>
      </w:r>
      <w:r w:rsidRPr="00A008DB">
        <w:rPr>
          <w:rFonts w:cs="Times New Roman"/>
        </w:rPr>
        <w:t xml:space="preserve">. </w:t>
      </w:r>
    </w:p>
  </w:footnote>
  <w:footnote w:id="33">
    <w:p w14:paraId="11D3000A" w14:textId="13B44259" w:rsidR="002276A3" w:rsidRPr="00A008DB" w:rsidRDefault="002276A3" w:rsidP="00A008DB">
      <w:pPr>
        <w:pStyle w:val="FootnoteText"/>
        <w:jc w:val="both"/>
        <w:rPr>
          <w:rFonts w:cs="Times New Roman"/>
          <w:i/>
        </w:rPr>
      </w:pPr>
      <w:r w:rsidRPr="00A008DB">
        <w:rPr>
          <w:rStyle w:val="FootnoteReference"/>
          <w:rFonts w:cs="Times New Roman"/>
        </w:rPr>
        <w:footnoteRef/>
      </w:r>
      <w:r w:rsidRPr="00A008DB">
        <w:rPr>
          <w:rFonts w:cs="Times New Roman"/>
        </w:rPr>
        <w:t xml:space="preserve"> M Campana, ‘A Critical Evaluation of the Development and Reform of the Corporate Rescue Procedures in France’ in K </w:t>
      </w:r>
      <w:proofErr w:type="spellStart"/>
      <w:r w:rsidRPr="00A008DB">
        <w:rPr>
          <w:rFonts w:cs="Times New Roman"/>
        </w:rPr>
        <w:t>Gromek</w:t>
      </w:r>
      <w:proofErr w:type="spellEnd"/>
      <w:r w:rsidRPr="00A008DB">
        <w:rPr>
          <w:rFonts w:cs="Times New Roman"/>
        </w:rPr>
        <w:t xml:space="preserve"> </w:t>
      </w:r>
      <w:proofErr w:type="spellStart"/>
      <w:r w:rsidRPr="00A008DB">
        <w:rPr>
          <w:rFonts w:cs="Times New Roman"/>
        </w:rPr>
        <w:t>Broc</w:t>
      </w:r>
      <w:proofErr w:type="spellEnd"/>
      <w:r w:rsidRPr="00A008DB">
        <w:rPr>
          <w:rFonts w:cs="Times New Roman"/>
        </w:rPr>
        <w:t xml:space="preserve"> and R Parry (eds), </w:t>
      </w:r>
      <w:r w:rsidRPr="00A008DB">
        <w:rPr>
          <w:rFonts w:cs="Times New Roman"/>
          <w:i/>
        </w:rPr>
        <w:t xml:space="preserve">Corporate Rescue in Europe: An </w:t>
      </w:r>
      <w:r w:rsidR="00B179F3" w:rsidRPr="00A008DB">
        <w:rPr>
          <w:rFonts w:cs="Times New Roman"/>
          <w:i/>
        </w:rPr>
        <w:t>O</w:t>
      </w:r>
      <w:r w:rsidRPr="00A008DB">
        <w:rPr>
          <w:rFonts w:cs="Times New Roman"/>
          <w:i/>
        </w:rPr>
        <w:t xml:space="preserve">verview of Recent Developments from Selected Countries in Europe </w:t>
      </w:r>
      <w:r w:rsidRPr="00A008DB">
        <w:rPr>
          <w:rFonts w:cs="Times New Roman"/>
        </w:rPr>
        <w:t xml:space="preserve">(Kluwer 2004) </w:t>
      </w:r>
      <w:r w:rsidR="00B179F3" w:rsidRPr="00A008DB">
        <w:rPr>
          <w:rFonts w:cs="Times New Roman"/>
        </w:rPr>
        <w:t>21-50, 34</w:t>
      </w:r>
      <w:r w:rsidRPr="00A008DB">
        <w:rPr>
          <w:rFonts w:cs="Times New Roman"/>
        </w:rPr>
        <w:t>.</w:t>
      </w:r>
    </w:p>
  </w:footnote>
  <w:footnote w:id="34">
    <w:p w14:paraId="66B54DA2" w14:textId="11539E08"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Law 67-563 of 13 July 1967. See P Omar, ‘A Reform in Search of a Purpose: French Insolvency Law Changes (Again!)’ (2014) 23 IIR</w:t>
      </w:r>
      <w:r w:rsidRPr="00A008DB">
        <w:rPr>
          <w:rFonts w:cs="Times New Roman"/>
          <w:i/>
        </w:rPr>
        <w:t xml:space="preserve"> </w:t>
      </w:r>
      <w:r w:rsidRPr="00A008DB">
        <w:rPr>
          <w:rFonts w:cs="Times New Roman"/>
        </w:rPr>
        <w:t>201, 201.</w:t>
      </w:r>
    </w:p>
  </w:footnote>
  <w:footnote w:id="35">
    <w:p w14:paraId="54701D10" w14:textId="3AAF99B6" w:rsidR="002276A3" w:rsidRPr="00A008DB" w:rsidRDefault="002276A3" w:rsidP="00A008DB">
      <w:pPr>
        <w:pStyle w:val="FootnoteText"/>
        <w:jc w:val="both"/>
        <w:rPr>
          <w:rFonts w:cs="Times New Roman"/>
          <w:i/>
        </w:rPr>
      </w:pPr>
      <w:r w:rsidRPr="00A008DB">
        <w:rPr>
          <w:rStyle w:val="FootnoteReference"/>
          <w:rFonts w:cs="Times New Roman"/>
        </w:rPr>
        <w:footnoteRef/>
      </w:r>
      <w:r w:rsidRPr="00A008DB">
        <w:rPr>
          <w:rFonts w:cs="Times New Roman"/>
        </w:rPr>
        <w:t xml:space="preserve"> ibid</w:t>
      </w:r>
      <w:r w:rsidRPr="00A008DB">
        <w:rPr>
          <w:rFonts w:cs="Times New Roman"/>
          <w:i/>
        </w:rPr>
        <w:t>.</w:t>
      </w:r>
    </w:p>
  </w:footnote>
  <w:footnote w:id="36">
    <w:p w14:paraId="6C17C727" w14:textId="2DD594DA"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Law no.84-148 of 1 March 1984; Law no. 85-98 of 25 January 1985 focused on insolvency law; and Law no. 85-99 of 25 January 1985 regulated office-holders.</w:t>
      </w:r>
    </w:p>
  </w:footnote>
  <w:footnote w:id="37">
    <w:p w14:paraId="674002ED" w14:textId="0F7E4F28"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Law no. 2005-845 of 26 July 2005. See P Omar, ‘The Progress of Reforms to Insolvency Law and Practice in France’ in K </w:t>
      </w:r>
      <w:proofErr w:type="spellStart"/>
      <w:r w:rsidRPr="00A008DB">
        <w:rPr>
          <w:rFonts w:cs="Times New Roman"/>
        </w:rPr>
        <w:t>Gromek</w:t>
      </w:r>
      <w:proofErr w:type="spellEnd"/>
      <w:r w:rsidRPr="00A008DB">
        <w:rPr>
          <w:rFonts w:cs="Times New Roman"/>
        </w:rPr>
        <w:t xml:space="preserve"> </w:t>
      </w:r>
      <w:proofErr w:type="spellStart"/>
      <w:r w:rsidRPr="00A008DB">
        <w:rPr>
          <w:rFonts w:cs="Times New Roman"/>
        </w:rPr>
        <w:t>Broc</w:t>
      </w:r>
      <w:proofErr w:type="spellEnd"/>
      <w:r w:rsidRPr="00A008DB">
        <w:rPr>
          <w:rFonts w:cs="Times New Roman"/>
        </w:rPr>
        <w:t xml:space="preserve"> and R Parry (eds), </w:t>
      </w:r>
      <w:r w:rsidRPr="00A008DB">
        <w:rPr>
          <w:rFonts w:cs="Times New Roman"/>
          <w:i/>
        </w:rPr>
        <w:t>Corporate Rescue in Europe:</w:t>
      </w:r>
      <w:r w:rsidR="00B179F3" w:rsidRPr="00A008DB">
        <w:rPr>
          <w:rFonts w:cs="Times New Roman"/>
          <w:i/>
        </w:rPr>
        <w:t xml:space="preserve"> </w:t>
      </w:r>
      <w:proofErr w:type="gramStart"/>
      <w:r w:rsidR="00B179F3" w:rsidRPr="00A008DB">
        <w:rPr>
          <w:rFonts w:cs="Times New Roman"/>
          <w:i/>
        </w:rPr>
        <w:t>an</w:t>
      </w:r>
      <w:proofErr w:type="gramEnd"/>
      <w:r w:rsidR="00B179F3" w:rsidRPr="00A008DB">
        <w:rPr>
          <w:rFonts w:cs="Times New Roman"/>
          <w:i/>
        </w:rPr>
        <w:t xml:space="preserve"> Overview of</w:t>
      </w:r>
      <w:r w:rsidRPr="00A008DB">
        <w:rPr>
          <w:rFonts w:cs="Times New Roman"/>
          <w:i/>
        </w:rPr>
        <w:t xml:space="preserve"> Recent Developments from Selected Countries in Europe </w:t>
      </w:r>
      <w:r w:rsidRPr="00A008DB">
        <w:rPr>
          <w:rFonts w:cs="Times New Roman"/>
        </w:rPr>
        <w:t>(Kluwer 2004)</w:t>
      </w:r>
      <w:r w:rsidR="00EE7D04" w:rsidRPr="00A008DB">
        <w:rPr>
          <w:rFonts w:cs="Times New Roman"/>
        </w:rPr>
        <w:t xml:space="preserve"> 51-78</w:t>
      </w:r>
      <w:r w:rsidRPr="00A008DB">
        <w:rPr>
          <w:rFonts w:cs="Times New Roman"/>
        </w:rPr>
        <w:t xml:space="preserve">. </w:t>
      </w:r>
    </w:p>
  </w:footnote>
  <w:footnote w:id="38">
    <w:p w14:paraId="1DBD1D55" w14:textId="35391F62"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Ordinance no.2008-1345 of 18 December 2008. See P Omar, ‘French Insolvency Law: Remodelling the Reforms of 2005’ (2009) 6 ICCLR 225.</w:t>
      </w:r>
    </w:p>
  </w:footnote>
  <w:footnote w:id="39">
    <w:p w14:paraId="7B1B1A8B" w14:textId="6B75D3DB"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Law no. 2010-1249 of 22 October 2010.</w:t>
      </w:r>
    </w:p>
  </w:footnote>
  <w:footnote w:id="40">
    <w:p w14:paraId="59D65070" w14:textId="224D6FEC"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Ordinance no. 2014-326 of 12 March 2014.</w:t>
      </w:r>
    </w:p>
  </w:footnote>
  <w:footnote w:id="41">
    <w:p w14:paraId="0DD8C1F7" w14:textId="25A6F3F9"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rPr>
        <w:t xml:space="preserve"> Law no. 2016-1547 of 18 November 2016, at Article 99 IV 1°; Article 99 III; Article 99 VI 2°, Article 99 IV 3° a); Article 99 VI 1° a°. </w:t>
      </w:r>
      <w:proofErr w:type="spellStart"/>
      <w:r w:rsidRPr="00A008DB">
        <w:rPr>
          <w:rFonts w:cs="Times New Roman"/>
          <w:lang w:val="fr-FR"/>
        </w:rPr>
        <w:t>See</w:t>
      </w:r>
      <w:proofErr w:type="spellEnd"/>
      <w:r w:rsidRPr="00A008DB">
        <w:rPr>
          <w:rFonts w:cs="Times New Roman"/>
          <w:lang w:val="fr-FR"/>
        </w:rPr>
        <w:t xml:space="preserve"> </w:t>
      </w:r>
      <w:proofErr w:type="spellStart"/>
      <w:r w:rsidRPr="00A008DB">
        <w:rPr>
          <w:rFonts w:cs="Times New Roman"/>
          <w:lang w:val="fr-FR"/>
        </w:rPr>
        <w:t>also</w:t>
      </w:r>
      <w:proofErr w:type="spellEnd"/>
      <w:r w:rsidRPr="00A008DB">
        <w:rPr>
          <w:rFonts w:cs="Times New Roman"/>
          <w:lang w:val="fr-FR"/>
        </w:rPr>
        <w:t xml:space="preserve"> Commercial Code, Article L621-</w:t>
      </w:r>
      <w:proofErr w:type="gramStart"/>
      <w:r w:rsidRPr="00A008DB">
        <w:rPr>
          <w:rFonts w:cs="Times New Roman"/>
          <w:lang w:val="fr-FR"/>
        </w:rPr>
        <w:t>1;</w:t>
      </w:r>
      <w:proofErr w:type="gramEnd"/>
      <w:r w:rsidRPr="00A008DB">
        <w:rPr>
          <w:rFonts w:cs="Times New Roman"/>
          <w:lang w:val="fr-FR"/>
        </w:rPr>
        <w:t xml:space="preserve"> Article L611-3 ; Article L611-6 ; Commercial Code, Article L611-11; Article L642-2 ; Article L621-4 ; Article L641-1.</w:t>
      </w:r>
    </w:p>
  </w:footnote>
  <w:footnote w:id="42">
    <w:p w14:paraId="4F95DC13" w14:textId="6BC450B0"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w:t>
      </w:r>
      <w:proofErr w:type="spellStart"/>
      <w:r w:rsidRPr="00A008DB">
        <w:rPr>
          <w:rFonts w:cs="Times New Roman"/>
          <w:lang w:val="fr-FR"/>
        </w:rPr>
        <w:t>See</w:t>
      </w:r>
      <w:proofErr w:type="spellEnd"/>
      <w:r w:rsidRPr="00A008DB">
        <w:rPr>
          <w:rFonts w:cs="Times New Roman"/>
          <w:lang w:val="fr-FR"/>
        </w:rPr>
        <w:t xml:space="preserve"> C </w:t>
      </w:r>
      <w:proofErr w:type="spellStart"/>
      <w:r w:rsidRPr="00A008DB">
        <w:rPr>
          <w:rFonts w:cs="Times New Roman"/>
          <w:lang w:val="fr-FR"/>
        </w:rPr>
        <w:t>Dupoux</w:t>
      </w:r>
      <w:proofErr w:type="spellEnd"/>
      <w:r w:rsidRPr="00A008DB">
        <w:rPr>
          <w:rFonts w:cs="Times New Roman"/>
          <w:lang w:val="fr-FR"/>
        </w:rPr>
        <w:t xml:space="preserve"> and D Marks, ‘</w:t>
      </w:r>
      <w:proofErr w:type="spellStart"/>
      <w:r w:rsidRPr="00A008DB">
        <w:rPr>
          <w:rFonts w:cs="Times New Roman"/>
          <w:lang w:val="fr-FR"/>
        </w:rPr>
        <w:t>Chapter</w:t>
      </w:r>
      <w:proofErr w:type="spellEnd"/>
      <w:r w:rsidRPr="00A008DB">
        <w:rPr>
          <w:rFonts w:cs="Times New Roman"/>
          <w:lang w:val="fr-FR"/>
        </w:rPr>
        <w:t xml:space="preserve"> 11 à la </w:t>
      </w:r>
      <w:proofErr w:type="gramStart"/>
      <w:r w:rsidRPr="00A008DB">
        <w:rPr>
          <w:rFonts w:cs="Times New Roman"/>
          <w:lang w:val="fr-FR"/>
        </w:rPr>
        <w:t>Française:</w:t>
      </w:r>
      <w:proofErr w:type="gramEnd"/>
      <w:r w:rsidRPr="00A008DB">
        <w:rPr>
          <w:rFonts w:cs="Times New Roman"/>
          <w:lang w:val="fr-FR"/>
        </w:rPr>
        <w:t xml:space="preserve"> French </w:t>
      </w:r>
      <w:proofErr w:type="spellStart"/>
      <w:r w:rsidRPr="00A008DB">
        <w:rPr>
          <w:rFonts w:cs="Times New Roman"/>
          <w:lang w:val="fr-FR"/>
        </w:rPr>
        <w:t>Insolvency</w:t>
      </w:r>
      <w:proofErr w:type="spellEnd"/>
      <w:r w:rsidRPr="00A008DB">
        <w:rPr>
          <w:rFonts w:cs="Times New Roman"/>
          <w:lang w:val="fr-FR"/>
        </w:rPr>
        <w:t xml:space="preserve"> </w:t>
      </w:r>
      <w:proofErr w:type="spellStart"/>
      <w:r w:rsidRPr="00A008DB">
        <w:rPr>
          <w:rFonts w:cs="Times New Roman"/>
          <w:lang w:val="fr-FR"/>
        </w:rPr>
        <w:t>Reforms</w:t>
      </w:r>
      <w:proofErr w:type="spellEnd"/>
      <w:r w:rsidRPr="00A008DB">
        <w:rPr>
          <w:rFonts w:cs="Times New Roman"/>
          <w:lang w:val="fr-FR"/>
        </w:rPr>
        <w:t>’ (2004) 1 ICR 74.</w:t>
      </w:r>
    </w:p>
  </w:footnote>
  <w:footnote w:id="43">
    <w:p w14:paraId="43289959" w14:textId="0B3D9923"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Conciliation </w:t>
      </w:r>
      <w:proofErr w:type="spellStart"/>
      <w:r w:rsidRPr="00A008DB">
        <w:rPr>
          <w:rFonts w:cs="Times New Roman"/>
          <w:lang w:val="fr-FR"/>
        </w:rPr>
        <w:t>was</w:t>
      </w:r>
      <w:proofErr w:type="spellEnd"/>
      <w:r w:rsidRPr="00A008DB">
        <w:rPr>
          <w:rFonts w:cs="Times New Roman"/>
          <w:lang w:val="fr-FR"/>
        </w:rPr>
        <w:t xml:space="preserve"> </w:t>
      </w:r>
      <w:proofErr w:type="spellStart"/>
      <w:r w:rsidRPr="00A008DB">
        <w:rPr>
          <w:rFonts w:cs="Times New Roman"/>
          <w:lang w:val="fr-FR"/>
        </w:rPr>
        <w:t>then</w:t>
      </w:r>
      <w:proofErr w:type="spellEnd"/>
      <w:r w:rsidRPr="00A008DB">
        <w:rPr>
          <w:rFonts w:cs="Times New Roman"/>
          <w:lang w:val="fr-FR"/>
        </w:rPr>
        <w:t xml:space="preserve"> </w:t>
      </w:r>
      <w:proofErr w:type="spellStart"/>
      <w:r w:rsidRPr="00A008DB">
        <w:rPr>
          <w:rFonts w:cs="Times New Roman"/>
          <w:lang w:val="fr-FR"/>
        </w:rPr>
        <w:t>called</w:t>
      </w:r>
      <w:proofErr w:type="spellEnd"/>
      <w:r w:rsidRPr="00A008DB">
        <w:rPr>
          <w:rFonts w:cs="Times New Roman"/>
          <w:lang w:val="fr-FR"/>
        </w:rPr>
        <w:t xml:space="preserve"> </w:t>
      </w:r>
      <w:r w:rsidRPr="00A008DB">
        <w:rPr>
          <w:rFonts w:cs="Times New Roman"/>
          <w:i/>
          <w:lang w:val="fr-FR"/>
        </w:rPr>
        <w:t>règlement amiable</w:t>
      </w:r>
      <w:r w:rsidRPr="00A008DB">
        <w:rPr>
          <w:rFonts w:cs="Times New Roman"/>
          <w:lang w:val="fr-FR"/>
        </w:rPr>
        <w:t>.</w:t>
      </w:r>
    </w:p>
  </w:footnote>
  <w:footnote w:id="44">
    <w:p w14:paraId="078FBA03"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L611-7.</w:t>
      </w:r>
    </w:p>
  </w:footnote>
  <w:footnote w:id="45">
    <w:p w14:paraId="2FDFADED"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L611-6.</w:t>
      </w:r>
    </w:p>
  </w:footnote>
  <w:footnote w:id="46">
    <w:p w14:paraId="332036B7"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L611-8.</w:t>
      </w:r>
    </w:p>
  </w:footnote>
  <w:footnote w:id="47">
    <w:p w14:paraId="75DFC73F" w14:textId="3843120D"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P Omar, ‘Pre-Packs à la Française and Cross-Channel Influence’ (2011) Spring </w:t>
      </w:r>
      <w:proofErr w:type="spellStart"/>
      <w:r w:rsidRPr="00A008DB">
        <w:rPr>
          <w:rFonts w:cs="Times New Roman"/>
          <w:lang w:val="fr-FR"/>
        </w:rPr>
        <w:t>Eurofenix</w:t>
      </w:r>
      <w:proofErr w:type="spellEnd"/>
      <w:r w:rsidRPr="00A008DB">
        <w:rPr>
          <w:rFonts w:cs="Times New Roman"/>
          <w:lang w:val="fr-FR"/>
        </w:rPr>
        <w:t xml:space="preserve"> 28. </w:t>
      </w:r>
    </w:p>
  </w:footnote>
  <w:footnote w:id="48">
    <w:p w14:paraId="24EBA1A4"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L611-10.</w:t>
      </w:r>
    </w:p>
  </w:footnote>
  <w:footnote w:id="49">
    <w:p w14:paraId="7EA4DDD3"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L611-11.</w:t>
      </w:r>
    </w:p>
  </w:footnote>
  <w:footnote w:id="50">
    <w:p w14:paraId="15DEF246"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Commercial Code, Article L631-1. A French company is considered insolvent when due debts exceed available assets and therefore, finds itself in a payment failure situation. </w:t>
      </w:r>
    </w:p>
  </w:footnote>
  <w:footnote w:id="51">
    <w:p w14:paraId="25011C68" w14:textId="35AB3525"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However, some commentators have noted that the amendment of the entry criterion is more theoretical than actual, since the debtor must still prove financial difficulties to the court: See J-L </w:t>
      </w:r>
      <w:proofErr w:type="spellStart"/>
      <w:r w:rsidRPr="00A008DB">
        <w:rPr>
          <w:rFonts w:cs="Times New Roman"/>
        </w:rPr>
        <w:t>Vallens</w:t>
      </w:r>
      <w:proofErr w:type="spellEnd"/>
      <w:r w:rsidRPr="00A008DB">
        <w:rPr>
          <w:rFonts w:cs="Times New Roman"/>
        </w:rPr>
        <w:t xml:space="preserve">, ‘Flexibility in France’ (2009) Summer </w:t>
      </w:r>
      <w:proofErr w:type="spellStart"/>
      <w:r w:rsidRPr="00A008DB">
        <w:rPr>
          <w:rFonts w:cs="Times New Roman"/>
        </w:rPr>
        <w:t>Eurofenix</w:t>
      </w:r>
      <w:proofErr w:type="spellEnd"/>
      <w:r w:rsidRPr="00A008DB">
        <w:rPr>
          <w:rFonts w:cs="Times New Roman"/>
        </w:rPr>
        <w:t xml:space="preserve"> 22.</w:t>
      </w:r>
    </w:p>
  </w:footnote>
  <w:footnote w:id="52">
    <w:p w14:paraId="36AB855E" w14:textId="41ADBA2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Commercial Code, Article L621-4. If a company is below a certain threshold fixed by decree of the Council of State (</w:t>
      </w:r>
      <w:r w:rsidRPr="00A008DB">
        <w:rPr>
          <w:rFonts w:cs="Times New Roman"/>
          <w:i/>
        </w:rPr>
        <w:t xml:space="preserve">Conseil </w:t>
      </w:r>
      <w:proofErr w:type="spellStart"/>
      <w:r w:rsidRPr="00A008DB">
        <w:rPr>
          <w:rFonts w:cs="Times New Roman"/>
          <w:i/>
        </w:rPr>
        <w:t>d’Etat</w:t>
      </w:r>
      <w:proofErr w:type="spellEnd"/>
      <w:r w:rsidRPr="00A008DB">
        <w:rPr>
          <w:rFonts w:cs="Times New Roman"/>
        </w:rPr>
        <w:t>), the court does not have to appoint an administrator. The reforms of 2008 enhanced the role of directors who can propose an administrator to the court: Ordinance of 2008, Article 14.</w:t>
      </w:r>
    </w:p>
  </w:footnote>
  <w:footnote w:id="53">
    <w:p w14:paraId="6D283AD7"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L622-1. </w:t>
      </w:r>
    </w:p>
  </w:footnote>
  <w:footnote w:id="54">
    <w:p w14:paraId="3B664630"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L620-1. </w:t>
      </w:r>
    </w:p>
  </w:footnote>
  <w:footnote w:id="55">
    <w:p w14:paraId="5D9F717C" w14:textId="2254DB3C"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rPr>
        <w:t xml:space="preserve"> See P Omar, ‘French Insolvency Law: Remodelling the Reforms of 200’ (2009) 6 ICCLR 225, 225. </w:t>
      </w:r>
      <w:proofErr w:type="spellStart"/>
      <w:r w:rsidRPr="00A008DB">
        <w:rPr>
          <w:rFonts w:cs="Times New Roman"/>
          <w:lang w:val="fr-FR"/>
        </w:rPr>
        <w:t>See</w:t>
      </w:r>
      <w:proofErr w:type="spellEnd"/>
      <w:r w:rsidRPr="00A008DB">
        <w:rPr>
          <w:rFonts w:cs="Times New Roman"/>
          <w:lang w:val="fr-FR"/>
        </w:rPr>
        <w:t xml:space="preserve"> </w:t>
      </w:r>
      <w:proofErr w:type="spellStart"/>
      <w:r w:rsidRPr="00A008DB">
        <w:rPr>
          <w:rFonts w:cs="Times New Roman"/>
          <w:lang w:val="fr-FR"/>
        </w:rPr>
        <w:t>also</w:t>
      </w:r>
      <w:proofErr w:type="spellEnd"/>
      <w:r w:rsidRPr="00A008DB">
        <w:rPr>
          <w:rFonts w:cs="Times New Roman"/>
          <w:lang w:val="fr-FR"/>
        </w:rPr>
        <w:t xml:space="preserve"> P-M Le Corre, ‘Présentation générale du projet de réforme des entreprises en difficulté : de l’avant-projet au projet de loi de sauvegarde des entreprises’ (2004) Gazette du Palais</w:t>
      </w:r>
      <w:r w:rsidRPr="00A008DB">
        <w:rPr>
          <w:rFonts w:cs="Times New Roman"/>
          <w:i/>
          <w:lang w:val="fr-FR"/>
        </w:rPr>
        <w:t xml:space="preserve"> </w:t>
      </w:r>
      <w:r w:rsidRPr="00A008DB">
        <w:rPr>
          <w:rFonts w:cs="Times New Roman"/>
          <w:lang w:val="fr-FR"/>
        </w:rPr>
        <w:t xml:space="preserve">56-57.4. </w:t>
      </w:r>
    </w:p>
  </w:footnote>
  <w:footnote w:id="56">
    <w:p w14:paraId="48D177EA" w14:textId="50662C7F"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M-H </w:t>
      </w:r>
      <w:proofErr w:type="spellStart"/>
      <w:r w:rsidRPr="00A008DB">
        <w:rPr>
          <w:rFonts w:cs="Times New Roman"/>
          <w:lang w:val="fr-FR"/>
        </w:rPr>
        <w:t>Monsèrié</w:t>
      </w:r>
      <w:proofErr w:type="spellEnd"/>
      <w:r w:rsidRPr="00A008DB">
        <w:rPr>
          <w:rFonts w:cs="Times New Roman"/>
          <w:lang w:val="fr-FR"/>
        </w:rPr>
        <w:t xml:space="preserve">-Bon and C Saint Alary-Houin, </w:t>
      </w:r>
      <w:r w:rsidRPr="00A008DB">
        <w:rPr>
          <w:rFonts w:cs="Times New Roman"/>
          <w:i/>
          <w:lang w:val="fr-FR"/>
        </w:rPr>
        <w:t xml:space="preserve">La loi de sauvegarde des </w:t>
      </w:r>
      <w:proofErr w:type="gramStart"/>
      <w:r w:rsidRPr="00A008DB">
        <w:rPr>
          <w:rFonts w:cs="Times New Roman"/>
          <w:i/>
          <w:lang w:val="fr-FR"/>
        </w:rPr>
        <w:t>entreprises:</w:t>
      </w:r>
      <w:proofErr w:type="gramEnd"/>
      <w:r w:rsidRPr="00A008DB">
        <w:rPr>
          <w:rFonts w:cs="Times New Roman"/>
          <w:i/>
          <w:lang w:val="fr-FR"/>
        </w:rPr>
        <w:t xml:space="preserve"> nécessité et intérêt d’une réforme annoncée </w:t>
      </w:r>
      <w:r w:rsidRPr="00A008DB">
        <w:rPr>
          <w:rFonts w:cs="Times New Roman"/>
          <w:lang w:val="fr-FR"/>
        </w:rPr>
        <w:t xml:space="preserve">(Recueil Dalloz2008) 941 </w:t>
      </w:r>
      <w:proofErr w:type="spellStart"/>
      <w:r w:rsidRPr="00A008DB">
        <w:rPr>
          <w:rFonts w:cs="Times New Roman"/>
          <w:lang w:val="fr-FR"/>
        </w:rPr>
        <w:t>noted</w:t>
      </w:r>
      <w:proofErr w:type="spellEnd"/>
      <w:r w:rsidRPr="00A008DB">
        <w:rPr>
          <w:rFonts w:cs="Times New Roman"/>
          <w:lang w:val="fr-FR"/>
        </w:rPr>
        <w:t xml:space="preserve"> 500 </w:t>
      </w:r>
      <w:proofErr w:type="spellStart"/>
      <w:r w:rsidRPr="00A008DB">
        <w:rPr>
          <w:rFonts w:cs="Times New Roman"/>
          <w:lang w:val="fr-FR"/>
        </w:rPr>
        <w:t>procedures</w:t>
      </w:r>
      <w:proofErr w:type="spellEnd"/>
      <w:r w:rsidRPr="00A008DB">
        <w:rPr>
          <w:rFonts w:cs="Times New Roman"/>
          <w:lang w:val="fr-FR"/>
        </w:rPr>
        <w:t xml:space="preserve"> </w:t>
      </w:r>
      <w:proofErr w:type="spellStart"/>
      <w:r w:rsidRPr="00A008DB">
        <w:rPr>
          <w:rFonts w:cs="Times New Roman"/>
          <w:lang w:val="fr-FR"/>
        </w:rPr>
        <w:t>in</w:t>
      </w:r>
      <w:proofErr w:type="spellEnd"/>
      <w:r w:rsidRPr="00A008DB">
        <w:rPr>
          <w:rFonts w:cs="Times New Roman"/>
          <w:lang w:val="fr-FR"/>
        </w:rPr>
        <w:t xml:space="preserve"> 2006 and 506 </w:t>
      </w:r>
      <w:proofErr w:type="spellStart"/>
      <w:r w:rsidRPr="00A008DB">
        <w:rPr>
          <w:rFonts w:cs="Times New Roman"/>
          <w:lang w:val="fr-FR"/>
        </w:rPr>
        <w:t>in</w:t>
      </w:r>
      <w:proofErr w:type="spellEnd"/>
      <w:r w:rsidRPr="00A008DB">
        <w:rPr>
          <w:rFonts w:cs="Times New Roman"/>
          <w:lang w:val="fr-FR"/>
        </w:rPr>
        <w:t xml:space="preserve"> 2007.</w:t>
      </w:r>
    </w:p>
  </w:footnote>
  <w:footnote w:id="57">
    <w:p w14:paraId="26F22BFE" w14:textId="423BBCF6"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M-H </w:t>
      </w:r>
      <w:proofErr w:type="spellStart"/>
      <w:r w:rsidRPr="00A008DB">
        <w:rPr>
          <w:rFonts w:cs="Times New Roman"/>
          <w:lang w:val="fr-FR"/>
        </w:rPr>
        <w:t>Monsèrié</w:t>
      </w:r>
      <w:proofErr w:type="spellEnd"/>
      <w:r w:rsidRPr="00A008DB">
        <w:rPr>
          <w:rFonts w:cs="Times New Roman"/>
          <w:lang w:val="fr-FR"/>
        </w:rPr>
        <w:t xml:space="preserve">-Bon and C Saint Alary-Houin, </w:t>
      </w:r>
      <w:r w:rsidRPr="00A008DB">
        <w:rPr>
          <w:rFonts w:cs="Times New Roman"/>
          <w:i/>
          <w:lang w:val="fr-FR"/>
        </w:rPr>
        <w:t xml:space="preserve">La loi de sauvegarde des </w:t>
      </w:r>
      <w:proofErr w:type="gramStart"/>
      <w:r w:rsidRPr="00A008DB">
        <w:rPr>
          <w:rFonts w:cs="Times New Roman"/>
          <w:i/>
          <w:lang w:val="fr-FR"/>
        </w:rPr>
        <w:t>entreprises:</w:t>
      </w:r>
      <w:proofErr w:type="gramEnd"/>
      <w:r w:rsidRPr="00A008DB">
        <w:rPr>
          <w:rFonts w:cs="Times New Roman"/>
          <w:i/>
          <w:lang w:val="fr-FR"/>
        </w:rPr>
        <w:t xml:space="preserve"> nécessité et intérêt d’une réforme annoncée </w:t>
      </w:r>
      <w:r w:rsidRPr="00A008DB">
        <w:rPr>
          <w:rFonts w:cs="Times New Roman"/>
          <w:lang w:val="fr-FR"/>
        </w:rPr>
        <w:t xml:space="preserve">(Recueil Dalloz 2008) 942; </w:t>
      </w:r>
      <w:proofErr w:type="spellStart"/>
      <w:r w:rsidRPr="00A008DB">
        <w:rPr>
          <w:rFonts w:cs="Times New Roman"/>
          <w:lang w:val="fr-FR"/>
        </w:rPr>
        <w:t>Some</w:t>
      </w:r>
      <w:proofErr w:type="spellEnd"/>
      <w:r w:rsidRPr="00A008DB">
        <w:rPr>
          <w:rFonts w:cs="Times New Roman"/>
          <w:lang w:val="fr-FR"/>
        </w:rPr>
        <w:t xml:space="preserve"> 2,500 conciliations and ad hoc mandates are </w:t>
      </w:r>
      <w:proofErr w:type="spellStart"/>
      <w:r w:rsidRPr="00A008DB">
        <w:rPr>
          <w:rFonts w:cs="Times New Roman"/>
          <w:lang w:val="fr-FR"/>
        </w:rPr>
        <w:t>reported</w:t>
      </w:r>
      <w:proofErr w:type="spellEnd"/>
      <w:r w:rsidRPr="00A008DB">
        <w:rPr>
          <w:rFonts w:cs="Times New Roman"/>
          <w:lang w:val="fr-FR"/>
        </w:rPr>
        <w:t xml:space="preserve"> </w:t>
      </w:r>
      <w:proofErr w:type="spellStart"/>
      <w:r w:rsidRPr="00A008DB">
        <w:rPr>
          <w:rFonts w:cs="Times New Roman"/>
          <w:lang w:val="fr-FR"/>
        </w:rPr>
        <w:t>annually</w:t>
      </w:r>
      <w:proofErr w:type="spellEnd"/>
      <w:r w:rsidRPr="00A008DB">
        <w:rPr>
          <w:rFonts w:cs="Times New Roman"/>
          <w:lang w:val="fr-FR"/>
        </w:rPr>
        <w:t xml:space="preserve">: T </w:t>
      </w:r>
      <w:proofErr w:type="spellStart"/>
      <w:r w:rsidRPr="00A008DB">
        <w:rPr>
          <w:rFonts w:cs="Times New Roman"/>
          <w:lang w:val="fr-FR"/>
        </w:rPr>
        <w:t>Montéran</w:t>
      </w:r>
      <w:proofErr w:type="spellEnd"/>
      <w:r w:rsidRPr="00A008DB">
        <w:rPr>
          <w:rFonts w:cs="Times New Roman"/>
          <w:lang w:val="fr-FR"/>
        </w:rPr>
        <w:t xml:space="preserve">, ‘Pour améliorer le droit des entreprises, osons la réforme’ (24 </w:t>
      </w:r>
      <w:proofErr w:type="spellStart"/>
      <w:r w:rsidRPr="00A008DB">
        <w:rPr>
          <w:rFonts w:cs="Times New Roman"/>
          <w:lang w:val="fr-FR"/>
        </w:rPr>
        <w:t>January</w:t>
      </w:r>
      <w:proofErr w:type="spellEnd"/>
      <w:r w:rsidRPr="00A008DB">
        <w:rPr>
          <w:rFonts w:cs="Times New Roman"/>
          <w:lang w:val="fr-FR"/>
        </w:rPr>
        <w:t xml:space="preserve"> 2008) 24 Gazette du Palais 3. </w:t>
      </w:r>
    </w:p>
  </w:footnote>
  <w:footnote w:id="58">
    <w:p w14:paraId="338E7CE6"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L628-1.</w:t>
      </w:r>
    </w:p>
  </w:footnote>
  <w:footnote w:id="59">
    <w:p w14:paraId="7C5A6449"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L628-2. </w:t>
      </w:r>
    </w:p>
  </w:footnote>
  <w:footnote w:id="60">
    <w:p w14:paraId="32C63177" w14:textId="72BF493D"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w:t>
      </w:r>
      <w:proofErr w:type="spellStart"/>
      <w:r w:rsidRPr="00A008DB">
        <w:rPr>
          <w:rFonts w:cs="Times New Roman"/>
          <w:lang w:val="fr-FR"/>
        </w:rPr>
        <w:t>See</w:t>
      </w:r>
      <w:proofErr w:type="spellEnd"/>
      <w:r w:rsidRPr="00A008DB">
        <w:rPr>
          <w:rFonts w:cs="Times New Roman"/>
          <w:lang w:val="fr-FR"/>
        </w:rPr>
        <w:t xml:space="preserve"> S </w:t>
      </w:r>
      <w:proofErr w:type="spellStart"/>
      <w:r w:rsidRPr="00A008DB">
        <w:rPr>
          <w:rFonts w:cs="Times New Roman"/>
          <w:lang w:val="fr-FR"/>
        </w:rPr>
        <w:t>Pétel</w:t>
      </w:r>
      <w:proofErr w:type="spellEnd"/>
      <w:r w:rsidRPr="00A008DB">
        <w:rPr>
          <w:rFonts w:cs="Times New Roman"/>
          <w:lang w:val="fr-FR"/>
        </w:rPr>
        <w:t xml:space="preserve">, ‘Entreprises en </w:t>
      </w:r>
      <w:proofErr w:type="gramStart"/>
      <w:r w:rsidRPr="00A008DB">
        <w:rPr>
          <w:rFonts w:cs="Times New Roman"/>
          <w:lang w:val="fr-FR"/>
        </w:rPr>
        <w:t>difficulté:</w:t>
      </w:r>
      <w:proofErr w:type="gramEnd"/>
      <w:r w:rsidRPr="00A008DB">
        <w:rPr>
          <w:rFonts w:cs="Times New Roman"/>
          <w:lang w:val="fr-FR"/>
        </w:rPr>
        <w:t xml:space="preserve"> encore une réforme!’ (1 May 2014) 18 La Semaine Juridique 20.</w:t>
      </w:r>
    </w:p>
  </w:footnote>
  <w:footnote w:id="61">
    <w:p w14:paraId="78648043"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L628-1.</w:t>
      </w:r>
    </w:p>
  </w:footnote>
  <w:footnote w:id="62">
    <w:p w14:paraId="429988F8"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Commercial Code, Article L628-8.</w:t>
      </w:r>
    </w:p>
  </w:footnote>
  <w:footnote w:id="63">
    <w:p w14:paraId="17286B09" w14:textId="4AB8AA36"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w:t>
      </w:r>
      <w:proofErr w:type="spellStart"/>
      <w:r w:rsidRPr="00A008DB">
        <w:rPr>
          <w:rFonts w:cs="Times New Roman"/>
          <w:lang w:val="fr-FR"/>
        </w:rPr>
        <w:t>See</w:t>
      </w:r>
      <w:proofErr w:type="spellEnd"/>
      <w:r w:rsidRPr="00A008DB">
        <w:rPr>
          <w:rFonts w:cs="Times New Roman"/>
          <w:lang w:val="fr-FR"/>
        </w:rPr>
        <w:t xml:space="preserve"> P Rossi et al, ‘</w:t>
      </w:r>
      <w:proofErr w:type="spellStart"/>
      <w:r w:rsidRPr="00A008DB">
        <w:rPr>
          <w:rFonts w:cs="Times New Roman"/>
          <w:lang w:val="fr-FR"/>
        </w:rPr>
        <w:t>Réform</w:t>
      </w:r>
      <w:proofErr w:type="spellEnd"/>
      <w:r w:rsidRPr="00A008DB">
        <w:rPr>
          <w:rFonts w:cs="Times New Roman"/>
          <w:lang w:val="fr-FR"/>
        </w:rPr>
        <w:t xml:space="preserve"> du droit des entreprises en difficulté’ (April 2014) Bulletin n°258-1</w:t>
      </w:r>
      <w:r w:rsidRPr="00A008DB">
        <w:rPr>
          <w:rFonts w:cs="Times New Roman"/>
          <w:i/>
          <w:lang w:val="fr-FR"/>
        </w:rPr>
        <w:t>,</w:t>
      </w:r>
      <w:r w:rsidRPr="00A008DB">
        <w:rPr>
          <w:rFonts w:cs="Times New Roman"/>
          <w:lang w:val="fr-FR"/>
        </w:rPr>
        <w:t xml:space="preserve"> 9.</w:t>
      </w:r>
    </w:p>
  </w:footnote>
  <w:footnote w:id="64">
    <w:p w14:paraId="049F030D" w14:textId="1A1D0639"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(n 2).</w:t>
      </w:r>
    </w:p>
  </w:footnote>
  <w:footnote w:id="65">
    <w:p w14:paraId="6344C7D6" w14:textId="64CC2A88"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Commercial Code, Article L721-8, introduced by Law no. 2015-990 of 6 August 2015. </w:t>
      </w:r>
    </w:p>
  </w:footnote>
  <w:footnote w:id="66">
    <w:p w14:paraId="5BEE29E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The </w:t>
      </w:r>
      <w:proofErr w:type="spellStart"/>
      <w:r w:rsidRPr="00A008DB">
        <w:rPr>
          <w:rFonts w:cs="Times New Roman"/>
        </w:rPr>
        <w:t>InsO</w:t>
      </w:r>
      <w:proofErr w:type="spellEnd"/>
      <w:r w:rsidRPr="00A008DB">
        <w:rPr>
          <w:rFonts w:cs="Times New Roman"/>
        </w:rPr>
        <w:t xml:space="preserve"> replaced the </w:t>
      </w:r>
      <w:proofErr w:type="spellStart"/>
      <w:r w:rsidRPr="00A008DB">
        <w:rPr>
          <w:rFonts w:cs="Times New Roman"/>
          <w:i/>
        </w:rPr>
        <w:t>Konkurs</w:t>
      </w:r>
      <w:proofErr w:type="spellEnd"/>
      <w:r w:rsidRPr="00A008DB">
        <w:rPr>
          <w:rFonts w:cs="Times New Roman"/>
        </w:rPr>
        <w:t xml:space="preserve">- and the </w:t>
      </w:r>
      <w:proofErr w:type="spellStart"/>
      <w:r w:rsidRPr="00A008DB">
        <w:rPr>
          <w:rFonts w:cs="Times New Roman"/>
          <w:i/>
        </w:rPr>
        <w:t>Vergleichsordnung</w:t>
      </w:r>
      <w:proofErr w:type="spellEnd"/>
      <w:r w:rsidRPr="00A008DB">
        <w:rPr>
          <w:rFonts w:cs="Times New Roman"/>
          <w:i/>
        </w:rPr>
        <w:t>.</w:t>
      </w:r>
    </w:p>
  </w:footnote>
  <w:footnote w:id="67">
    <w:p w14:paraId="5ACB6D45"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 270 – 285 </w:t>
      </w:r>
      <w:proofErr w:type="spellStart"/>
      <w:r w:rsidRPr="00A008DB">
        <w:rPr>
          <w:rFonts w:cs="Times New Roman"/>
        </w:rPr>
        <w:t>InsO</w:t>
      </w:r>
      <w:proofErr w:type="spellEnd"/>
      <w:r w:rsidRPr="00A008DB">
        <w:rPr>
          <w:rFonts w:cs="Times New Roman"/>
        </w:rPr>
        <w:t>.</w:t>
      </w:r>
    </w:p>
  </w:footnote>
  <w:footnote w:id="68">
    <w:p w14:paraId="492BD9CA" w14:textId="79FED818" w:rsidR="002276A3" w:rsidRPr="00A008DB" w:rsidRDefault="002276A3" w:rsidP="00A008DB">
      <w:pPr>
        <w:pStyle w:val="p1"/>
        <w:jc w:val="both"/>
        <w:rPr>
          <w:rFonts w:ascii="Times New Roman" w:hAnsi="Times New Roman"/>
          <w:sz w:val="20"/>
          <w:szCs w:val="20"/>
        </w:rPr>
      </w:pPr>
      <w:r w:rsidRPr="00A008DB">
        <w:rPr>
          <w:rStyle w:val="FootnoteReference"/>
          <w:rFonts w:ascii="Times New Roman" w:hAnsi="Times New Roman"/>
          <w:sz w:val="20"/>
          <w:szCs w:val="20"/>
        </w:rPr>
        <w:footnoteRef/>
      </w:r>
      <w:r w:rsidRPr="00A008DB">
        <w:rPr>
          <w:rFonts w:ascii="Times New Roman" w:hAnsi="Times New Roman"/>
          <w:sz w:val="20"/>
          <w:szCs w:val="20"/>
        </w:rPr>
        <w:t xml:space="preserve"> For an analysis of the debt-to-equity swap, newly introduced as a restructuring option with the ESUG reforms see: Annika Wolf, </w:t>
      </w:r>
      <w:r w:rsidRPr="00A008DB">
        <w:rPr>
          <w:rFonts w:ascii="Times New Roman" w:hAnsi="Times New Roman"/>
          <w:i/>
          <w:sz w:val="20"/>
          <w:szCs w:val="20"/>
        </w:rPr>
        <w:t>Promoting an Effective Rescue Culture with Debt-Equity-Swaps?</w:t>
      </w:r>
      <w:r w:rsidRPr="00A008DB">
        <w:rPr>
          <w:rFonts w:ascii="Times New Roman" w:hAnsi="Times New Roman"/>
          <w:sz w:val="20"/>
          <w:szCs w:val="20"/>
        </w:rPr>
        <w:t xml:space="preserve"> (Nomos 2015).</w:t>
      </w:r>
    </w:p>
  </w:footnote>
  <w:footnote w:id="69">
    <w:p w14:paraId="324EFF8A"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The debtor may initiate the umbrella procedure only in case of imminent cash-flow insolvency or balance-sheet insolvency. The umbrella procedure is limited to a period of 3 months. See § 270b </w:t>
      </w:r>
      <w:proofErr w:type="spellStart"/>
      <w:r w:rsidRPr="00A008DB">
        <w:rPr>
          <w:rFonts w:cs="Times New Roman"/>
        </w:rPr>
        <w:t>InsO</w:t>
      </w:r>
      <w:proofErr w:type="spellEnd"/>
      <w:r w:rsidRPr="00A008DB">
        <w:rPr>
          <w:rFonts w:cs="Times New Roman"/>
        </w:rPr>
        <w:t>. Compare to the exclusivity period for the debtor in possession under US Bankruptcy Law (max. 18 months): §§ 1121(b), 1121(d)(2)(B), Chapter 11, U.S. Code, Bankruptcy.</w:t>
      </w:r>
    </w:p>
  </w:footnote>
  <w:footnote w:id="70">
    <w:p w14:paraId="1BAE0CDA" w14:textId="77777777" w:rsidR="002276A3" w:rsidRPr="00A008DB" w:rsidRDefault="002276A3" w:rsidP="00A008DB">
      <w:pPr>
        <w:pStyle w:val="p1"/>
        <w:jc w:val="both"/>
        <w:rPr>
          <w:rFonts w:ascii="Times New Roman" w:hAnsi="Times New Roman"/>
          <w:sz w:val="20"/>
          <w:szCs w:val="20"/>
        </w:rPr>
      </w:pPr>
      <w:r w:rsidRPr="00A008DB">
        <w:rPr>
          <w:rStyle w:val="FootnoteReference"/>
          <w:rFonts w:ascii="Times New Roman" w:hAnsi="Times New Roman"/>
          <w:sz w:val="20"/>
          <w:szCs w:val="20"/>
        </w:rPr>
        <w:footnoteRef/>
      </w:r>
      <w:r w:rsidRPr="00A008DB">
        <w:rPr>
          <w:rFonts w:ascii="Times New Roman" w:hAnsi="Times New Roman"/>
          <w:sz w:val="20"/>
          <w:szCs w:val="20"/>
        </w:rPr>
        <w:t xml:space="preserve"> Exit consents, as they have been a regular tool to circumvent the vote buying prohibition of Sec 316(b) Trust Indenture Act in the US, have not featured as a prominent restructuring strategy in Germany. In 2014, the German Federal Court of Justice clarified that exit consents are void, since they would violate the equal treatment clause of the German Bond Law. See BGH, II ZR 381/13 (1 July 2014). Compare to </w:t>
      </w:r>
      <w:proofErr w:type="spellStart"/>
      <w:r w:rsidRPr="00A008DB">
        <w:rPr>
          <w:rFonts w:ascii="Times New Roman" w:hAnsi="Times New Roman"/>
          <w:i/>
          <w:sz w:val="20"/>
          <w:szCs w:val="20"/>
        </w:rPr>
        <w:t>Marblegate</w:t>
      </w:r>
      <w:proofErr w:type="spellEnd"/>
      <w:r w:rsidRPr="00A008DB">
        <w:rPr>
          <w:rFonts w:ascii="Times New Roman" w:hAnsi="Times New Roman"/>
          <w:i/>
          <w:sz w:val="20"/>
          <w:szCs w:val="20"/>
        </w:rPr>
        <w:t xml:space="preserve"> Asset Management LLC v Education Management Corporation No. 15-2124-cv(L)</w:t>
      </w:r>
      <w:r w:rsidRPr="00A008DB">
        <w:rPr>
          <w:rFonts w:ascii="Times New Roman" w:hAnsi="Times New Roman"/>
          <w:sz w:val="20"/>
          <w:szCs w:val="20"/>
        </w:rPr>
        <w:t xml:space="preserve"> (Second Circuit, January 17, 2017).</w:t>
      </w:r>
    </w:p>
  </w:footnote>
  <w:footnote w:id="71">
    <w:p w14:paraId="7F2FD81D" w14:textId="3F9D605A"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For a more elaborate discussion of the German Bond Law see David Ehmke, </w:t>
      </w:r>
      <w:r w:rsidRPr="00A008DB">
        <w:rPr>
          <w:rFonts w:cs="Times New Roman"/>
          <w:i/>
        </w:rPr>
        <w:t>Bond Debt Governance</w:t>
      </w:r>
      <w:r w:rsidRPr="00A008DB">
        <w:rPr>
          <w:rFonts w:cs="Times New Roman"/>
        </w:rPr>
        <w:t xml:space="preserve"> (Nomos </w:t>
      </w:r>
      <w:r w:rsidR="007C67F4" w:rsidRPr="00A008DB">
        <w:rPr>
          <w:rFonts w:cs="Times New Roman"/>
        </w:rPr>
        <w:t>2018</w:t>
      </w:r>
      <w:r w:rsidRPr="00A008DB">
        <w:rPr>
          <w:rFonts w:cs="Times New Roman"/>
        </w:rPr>
        <w:t>) 285 – 294.</w:t>
      </w:r>
    </w:p>
  </w:footnote>
  <w:footnote w:id="72">
    <w:p w14:paraId="6982D754"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CODIRE-Report, German National Findings (2018, July 2) Contractualised Distress Resolution in the Shadow of the Law 8.</w:t>
      </w:r>
    </w:p>
  </w:footnote>
  <w:footnote w:id="73">
    <w:p w14:paraId="5B8BA906" w14:textId="1D46DB4B" w:rsidR="002276A3" w:rsidRPr="00A008DB" w:rsidRDefault="002276A3" w:rsidP="00A008DB">
      <w:pPr>
        <w:jc w:val="both"/>
        <w:rPr>
          <w:rFonts w:cs="Times New Roman"/>
          <w:sz w:val="20"/>
          <w:szCs w:val="20"/>
        </w:rPr>
      </w:pPr>
      <w:r w:rsidRPr="00A008DB">
        <w:rPr>
          <w:rStyle w:val="FootnoteReference"/>
          <w:rFonts w:cs="Times New Roman"/>
          <w:sz w:val="20"/>
          <w:szCs w:val="20"/>
        </w:rPr>
        <w:footnoteRef/>
      </w:r>
      <w:r w:rsidRPr="00A008DB">
        <w:rPr>
          <w:rFonts w:cs="Times New Roman"/>
          <w:sz w:val="20"/>
          <w:szCs w:val="20"/>
        </w:rPr>
        <w:t xml:space="preserve"> See e.g. Lawrence Goldberg, ‘Relationship Lending: </w:t>
      </w:r>
      <w:proofErr w:type="gramStart"/>
      <w:r w:rsidRPr="00A008DB">
        <w:rPr>
          <w:rFonts w:cs="Times New Roman"/>
          <w:sz w:val="20"/>
          <w:szCs w:val="20"/>
        </w:rPr>
        <w:t>a</w:t>
      </w:r>
      <w:proofErr w:type="gramEnd"/>
      <w:r w:rsidRPr="00A008DB">
        <w:rPr>
          <w:rFonts w:cs="Times New Roman"/>
          <w:sz w:val="20"/>
          <w:szCs w:val="20"/>
        </w:rPr>
        <w:t xml:space="preserve"> Survey of the Literature’ (2004) 56 Journal of Economics and Business 315. </w:t>
      </w:r>
    </w:p>
  </w:footnote>
  <w:footnote w:id="74">
    <w:p w14:paraId="17E04085"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 17 </w:t>
      </w:r>
      <w:proofErr w:type="spellStart"/>
      <w:r w:rsidRPr="00A008DB">
        <w:rPr>
          <w:rFonts w:cs="Times New Roman"/>
        </w:rPr>
        <w:t>InsO</w:t>
      </w:r>
      <w:proofErr w:type="spellEnd"/>
      <w:r w:rsidRPr="00A008DB">
        <w:rPr>
          <w:rFonts w:cs="Times New Roman"/>
        </w:rPr>
        <w:t xml:space="preserve"> (cash flow insolvency), § 18 </w:t>
      </w:r>
      <w:proofErr w:type="spellStart"/>
      <w:r w:rsidRPr="00A008DB">
        <w:rPr>
          <w:rFonts w:cs="Times New Roman"/>
        </w:rPr>
        <w:t>InsO</w:t>
      </w:r>
      <w:proofErr w:type="spellEnd"/>
      <w:r w:rsidRPr="00A008DB">
        <w:rPr>
          <w:rFonts w:cs="Times New Roman"/>
        </w:rPr>
        <w:t xml:space="preserve"> (imminent cash flow insolvency), and § 19 </w:t>
      </w:r>
      <w:proofErr w:type="spellStart"/>
      <w:r w:rsidRPr="00A008DB">
        <w:rPr>
          <w:rFonts w:cs="Times New Roman"/>
        </w:rPr>
        <w:t>InsO</w:t>
      </w:r>
      <w:proofErr w:type="spellEnd"/>
      <w:r w:rsidRPr="00A008DB">
        <w:rPr>
          <w:rFonts w:cs="Times New Roman"/>
        </w:rPr>
        <w:t xml:space="preserve"> (balance sheet insolvency).</w:t>
      </w:r>
    </w:p>
  </w:footnote>
  <w:footnote w:id="75">
    <w:p w14:paraId="1117F307"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According to § 80 </w:t>
      </w:r>
      <w:proofErr w:type="spellStart"/>
      <w:r w:rsidRPr="00A008DB">
        <w:rPr>
          <w:rFonts w:cs="Times New Roman"/>
        </w:rPr>
        <w:t>InsO</w:t>
      </w:r>
      <w:proofErr w:type="spellEnd"/>
      <w:r w:rsidRPr="00A008DB">
        <w:rPr>
          <w:rFonts w:cs="Times New Roman"/>
        </w:rPr>
        <w:t>, the insolvency administrator assumes control of the debtor’s business with the opening of the insolvency procedure.</w:t>
      </w:r>
    </w:p>
  </w:footnote>
  <w:footnote w:id="76">
    <w:p w14:paraId="5ED31CAC" w14:textId="333C4125" w:rsidR="002276A3" w:rsidRPr="00A008DB" w:rsidRDefault="002276A3" w:rsidP="00A008DB">
      <w:pPr>
        <w:pStyle w:val="p1"/>
        <w:jc w:val="both"/>
        <w:rPr>
          <w:rFonts w:ascii="Times New Roman" w:hAnsi="Times New Roman"/>
          <w:sz w:val="20"/>
          <w:szCs w:val="20"/>
          <w:lang w:val="de-DE"/>
        </w:rPr>
      </w:pPr>
      <w:r w:rsidRPr="00A008DB">
        <w:rPr>
          <w:rStyle w:val="FootnoteReference"/>
          <w:rFonts w:ascii="Times New Roman" w:hAnsi="Times New Roman"/>
          <w:sz w:val="20"/>
          <w:szCs w:val="20"/>
        </w:rPr>
        <w:footnoteRef/>
      </w:r>
      <w:r w:rsidRPr="00A008DB">
        <w:rPr>
          <w:rFonts w:ascii="Times New Roman" w:hAnsi="Times New Roman"/>
          <w:sz w:val="20"/>
          <w:szCs w:val="20"/>
          <w:lang w:val="de-DE"/>
        </w:rPr>
        <w:t xml:space="preserve"> </w:t>
      </w:r>
      <w:r w:rsidRPr="00A008DB">
        <w:rPr>
          <w:rFonts w:ascii="Times New Roman" w:hAnsi="Times New Roman"/>
          <w:sz w:val="20"/>
          <w:szCs w:val="20"/>
          <w:lang w:val="de-DE"/>
        </w:rPr>
        <w:t>For a discussion of the debtor-in-possession option in German insolvency law, see Stephan Madaus, ‘Zustand und Perspektiven der Eigenverwaltung in Deutschland’ (2015) KTS Zeitschrift für Insolvenzrecht 115.</w:t>
      </w:r>
    </w:p>
  </w:footnote>
  <w:footnote w:id="77">
    <w:p w14:paraId="63FFD71C" w14:textId="42578B69" w:rsidR="002276A3" w:rsidRPr="00A008DB" w:rsidRDefault="002276A3" w:rsidP="00A008DB">
      <w:pPr>
        <w:pStyle w:val="FootnoteText"/>
        <w:jc w:val="both"/>
        <w:rPr>
          <w:rFonts w:cs="Times New Roman"/>
          <w:lang w:val="de-DE"/>
        </w:rPr>
      </w:pPr>
      <w:r w:rsidRPr="00A008DB">
        <w:rPr>
          <w:rStyle w:val="FootnoteReference"/>
          <w:rFonts w:cs="Times New Roman"/>
        </w:rPr>
        <w:footnoteRef/>
      </w:r>
      <w:r w:rsidRPr="00A008DB">
        <w:rPr>
          <w:rFonts w:cs="Times New Roman"/>
          <w:lang w:val="de-DE"/>
        </w:rPr>
        <w:t xml:space="preserve"> </w:t>
      </w:r>
      <w:r w:rsidRPr="00A008DB">
        <w:rPr>
          <w:rFonts w:cs="Times New Roman"/>
          <w:lang w:val="de-DE"/>
        </w:rPr>
        <w:t>See §§ 15a (1) – (3) InsO, 64 Gesetz betreffend die Gesellschaften mit beschränkter Haftung, 93(5), (1) – (3) Aktiengesetz, 823 (2), 826 Bürgerliches Gesetzbuch.</w:t>
      </w:r>
    </w:p>
  </w:footnote>
  <w:footnote w:id="78">
    <w:p w14:paraId="68EC4B33"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 15a (4) – (5) </w:t>
      </w:r>
      <w:proofErr w:type="spellStart"/>
      <w:r w:rsidRPr="00A008DB">
        <w:rPr>
          <w:rFonts w:cs="Times New Roman"/>
        </w:rPr>
        <w:t>InsO</w:t>
      </w:r>
      <w:proofErr w:type="spellEnd"/>
      <w:r w:rsidRPr="00A008DB">
        <w:rPr>
          <w:rFonts w:cs="Times New Roman"/>
        </w:rPr>
        <w:t xml:space="preserve">, 283, 283a, 283b, 283c, 283d </w:t>
      </w:r>
      <w:proofErr w:type="spellStart"/>
      <w:r w:rsidRPr="00A008DB">
        <w:rPr>
          <w:rFonts w:cs="Times New Roman"/>
        </w:rPr>
        <w:t>Strafgesetzbuch</w:t>
      </w:r>
      <w:proofErr w:type="spellEnd"/>
      <w:r w:rsidRPr="00A008DB">
        <w:rPr>
          <w:rFonts w:cs="Times New Roman"/>
        </w:rPr>
        <w:t>.</w:t>
      </w:r>
    </w:p>
  </w:footnote>
  <w:footnote w:id="79">
    <w:p w14:paraId="4C0DD14C" w14:textId="119C06FE" w:rsidR="002276A3" w:rsidRPr="00A008DB" w:rsidRDefault="002276A3" w:rsidP="00A008DB">
      <w:pPr>
        <w:pStyle w:val="p1"/>
        <w:jc w:val="both"/>
        <w:rPr>
          <w:rFonts w:ascii="Times New Roman" w:hAnsi="Times New Roman"/>
          <w:sz w:val="20"/>
          <w:szCs w:val="20"/>
        </w:rPr>
      </w:pPr>
      <w:r w:rsidRPr="00A008DB">
        <w:rPr>
          <w:rStyle w:val="FootnoteReference"/>
          <w:rFonts w:ascii="Times New Roman" w:hAnsi="Times New Roman"/>
          <w:sz w:val="20"/>
          <w:szCs w:val="20"/>
        </w:rPr>
        <w:footnoteRef/>
      </w:r>
      <w:r w:rsidRPr="00A008DB">
        <w:rPr>
          <w:rFonts w:ascii="Times New Roman" w:hAnsi="Times New Roman"/>
          <w:sz w:val="20"/>
          <w:szCs w:val="20"/>
        </w:rPr>
        <w:t xml:space="preserve"> For a discussion of the stigma of insolvency and the extra-legal corporate rescue in Germany see Christoph Paulus, ‘Die </w:t>
      </w:r>
      <w:proofErr w:type="spellStart"/>
      <w:r w:rsidRPr="00A008DB">
        <w:rPr>
          <w:rFonts w:ascii="Times New Roman" w:hAnsi="Times New Roman"/>
          <w:sz w:val="20"/>
          <w:szCs w:val="20"/>
        </w:rPr>
        <w:t>Insolvenz</w:t>
      </w:r>
      <w:proofErr w:type="spellEnd"/>
      <w:r w:rsidRPr="00A008DB">
        <w:rPr>
          <w:rFonts w:ascii="Times New Roman" w:hAnsi="Times New Roman"/>
          <w:sz w:val="20"/>
          <w:szCs w:val="20"/>
        </w:rPr>
        <w:t xml:space="preserve"> </w:t>
      </w:r>
      <w:proofErr w:type="spellStart"/>
      <w:r w:rsidRPr="00A008DB">
        <w:rPr>
          <w:rFonts w:ascii="Times New Roman" w:hAnsi="Times New Roman"/>
          <w:sz w:val="20"/>
          <w:szCs w:val="20"/>
        </w:rPr>
        <w:t>als</w:t>
      </w:r>
      <w:proofErr w:type="spellEnd"/>
      <w:r w:rsidRPr="00A008DB">
        <w:rPr>
          <w:rFonts w:ascii="Times New Roman" w:hAnsi="Times New Roman"/>
          <w:sz w:val="20"/>
          <w:szCs w:val="20"/>
        </w:rPr>
        <w:t xml:space="preserve"> </w:t>
      </w:r>
      <w:proofErr w:type="spellStart"/>
      <w:r w:rsidRPr="00A008DB">
        <w:rPr>
          <w:rFonts w:ascii="Times New Roman" w:hAnsi="Times New Roman"/>
          <w:sz w:val="20"/>
          <w:szCs w:val="20"/>
        </w:rPr>
        <w:t>Sanierungschance</w:t>
      </w:r>
      <w:proofErr w:type="spellEnd"/>
      <w:r w:rsidRPr="00A008DB">
        <w:rPr>
          <w:rFonts w:ascii="Times New Roman" w:hAnsi="Times New Roman"/>
          <w:sz w:val="20"/>
          <w:szCs w:val="20"/>
        </w:rPr>
        <w:t xml:space="preserve">– </w:t>
      </w:r>
      <w:proofErr w:type="spellStart"/>
      <w:r w:rsidRPr="00A008DB">
        <w:rPr>
          <w:rFonts w:ascii="Times New Roman" w:hAnsi="Times New Roman"/>
          <w:sz w:val="20"/>
          <w:szCs w:val="20"/>
        </w:rPr>
        <w:t>ein</w:t>
      </w:r>
      <w:proofErr w:type="spellEnd"/>
      <w:r w:rsidRPr="00A008DB">
        <w:rPr>
          <w:rFonts w:ascii="Times New Roman" w:hAnsi="Times New Roman"/>
          <w:sz w:val="20"/>
          <w:szCs w:val="20"/>
        </w:rPr>
        <w:t xml:space="preserve"> </w:t>
      </w:r>
      <w:proofErr w:type="spellStart"/>
      <w:r w:rsidRPr="00A008DB">
        <w:rPr>
          <w:rFonts w:ascii="Times New Roman" w:hAnsi="Times New Roman"/>
          <w:sz w:val="20"/>
          <w:szCs w:val="20"/>
        </w:rPr>
        <w:t>Plädoyer</w:t>
      </w:r>
      <w:proofErr w:type="spellEnd"/>
      <w:r w:rsidRPr="00A008DB">
        <w:rPr>
          <w:rFonts w:ascii="Times New Roman" w:hAnsi="Times New Roman"/>
          <w:sz w:val="20"/>
          <w:szCs w:val="20"/>
        </w:rPr>
        <w:t xml:space="preserve">’ (2005) 34(4) </w:t>
      </w:r>
      <w:proofErr w:type="spellStart"/>
      <w:r w:rsidRPr="00A008DB">
        <w:rPr>
          <w:rFonts w:ascii="Times New Roman" w:hAnsi="Times New Roman"/>
          <w:sz w:val="20"/>
          <w:szCs w:val="20"/>
        </w:rPr>
        <w:t>Zeitschrift</w:t>
      </w:r>
      <w:proofErr w:type="spellEnd"/>
      <w:r w:rsidRPr="00A008DB">
        <w:rPr>
          <w:rFonts w:ascii="Times New Roman" w:hAnsi="Times New Roman"/>
          <w:sz w:val="20"/>
          <w:szCs w:val="20"/>
        </w:rPr>
        <w:t xml:space="preserve"> </w:t>
      </w:r>
      <w:proofErr w:type="spellStart"/>
      <w:r w:rsidRPr="00A008DB">
        <w:rPr>
          <w:rFonts w:ascii="Times New Roman" w:hAnsi="Times New Roman"/>
          <w:sz w:val="20"/>
          <w:szCs w:val="20"/>
        </w:rPr>
        <w:t>für</w:t>
      </w:r>
      <w:proofErr w:type="spellEnd"/>
      <w:r w:rsidRPr="00A008DB">
        <w:rPr>
          <w:rFonts w:ascii="Times New Roman" w:hAnsi="Times New Roman"/>
          <w:sz w:val="20"/>
          <w:szCs w:val="20"/>
        </w:rPr>
        <w:t xml:space="preserve"> </w:t>
      </w:r>
      <w:proofErr w:type="spellStart"/>
      <w:r w:rsidRPr="00A008DB">
        <w:rPr>
          <w:rFonts w:ascii="Times New Roman" w:hAnsi="Times New Roman"/>
          <w:sz w:val="20"/>
          <w:szCs w:val="20"/>
        </w:rPr>
        <w:t>Unternehmens</w:t>
      </w:r>
      <w:proofErr w:type="spellEnd"/>
      <w:r w:rsidRPr="00A008DB">
        <w:rPr>
          <w:rFonts w:ascii="Times New Roman" w:hAnsi="Times New Roman"/>
          <w:sz w:val="20"/>
          <w:szCs w:val="20"/>
        </w:rPr>
        <w:t xml:space="preserve">- und </w:t>
      </w:r>
      <w:proofErr w:type="spellStart"/>
      <w:r w:rsidRPr="00A008DB">
        <w:rPr>
          <w:rFonts w:ascii="Times New Roman" w:hAnsi="Times New Roman"/>
          <w:sz w:val="20"/>
          <w:szCs w:val="20"/>
        </w:rPr>
        <w:t>Gesellschaftsrecht</w:t>
      </w:r>
      <w:proofErr w:type="spellEnd"/>
      <w:r w:rsidRPr="00A008DB">
        <w:rPr>
          <w:rFonts w:ascii="Times New Roman" w:hAnsi="Times New Roman"/>
          <w:sz w:val="20"/>
          <w:szCs w:val="20"/>
        </w:rPr>
        <w:t xml:space="preserve"> 309.</w:t>
      </w:r>
    </w:p>
  </w:footnote>
  <w:footnote w:id="80">
    <w:p w14:paraId="49232E6B" w14:textId="29C4EC0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 133 </w:t>
      </w:r>
      <w:proofErr w:type="spellStart"/>
      <w:r w:rsidRPr="00A008DB">
        <w:rPr>
          <w:rFonts w:cs="Times New Roman"/>
        </w:rPr>
        <w:t>InsO</w:t>
      </w:r>
      <w:proofErr w:type="spellEnd"/>
      <w:r w:rsidRPr="00A008DB">
        <w:rPr>
          <w:rFonts w:cs="Times New Roman"/>
        </w:rPr>
        <w:t xml:space="preserve"> (</w:t>
      </w:r>
      <w:proofErr w:type="spellStart"/>
      <w:r w:rsidRPr="00A008DB">
        <w:rPr>
          <w:rFonts w:cs="Times New Roman"/>
        </w:rPr>
        <w:t>willful</w:t>
      </w:r>
      <w:proofErr w:type="spellEnd"/>
      <w:r w:rsidRPr="00A008DB">
        <w:rPr>
          <w:rFonts w:cs="Times New Roman"/>
        </w:rPr>
        <w:t xml:space="preserve"> creditor discrimination). </w:t>
      </w:r>
      <w:proofErr w:type="gramStart"/>
      <w:r w:rsidRPr="00A008DB">
        <w:rPr>
          <w:rFonts w:cs="Times New Roman"/>
        </w:rPr>
        <w:t>As a consequence of</w:t>
      </w:r>
      <w:proofErr w:type="gramEnd"/>
      <w:r w:rsidRPr="00A008DB">
        <w:rPr>
          <w:rFonts w:cs="Times New Roman"/>
        </w:rPr>
        <w:t xml:space="preserve"> the 2017 reform, the avoidance period was shortened to four years for most cases. Moreover, creditor concessions, e.g., a prolongation of the (re-)payment period will trigger a rebuttable assumption that the creditor had no knowledge of the debtor’s imminent cash flow insolvency. With this reform, the law-maker has reversed a long history of court decisions which had continuously expanding the scope of § 133 </w:t>
      </w:r>
      <w:proofErr w:type="spellStart"/>
      <w:r w:rsidRPr="00A008DB">
        <w:rPr>
          <w:rFonts w:cs="Times New Roman"/>
        </w:rPr>
        <w:t>InsO</w:t>
      </w:r>
      <w:proofErr w:type="spellEnd"/>
      <w:r w:rsidRPr="00A008DB">
        <w:rPr>
          <w:rFonts w:cs="Times New Roman"/>
        </w:rPr>
        <w:t>. For a critical analysis of the German avoidance regime see: CODIRE-Report, Final Report (2018, July 3) Contractualised Distress Resolution in the Shadow of the Law 12 – 13.</w:t>
      </w:r>
    </w:p>
  </w:footnote>
  <w:footnote w:id="81">
    <w:p w14:paraId="65B8A898" w14:textId="233BBC78"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The uncertainty regarding the avoidance/liability for cooperating creditors has been named as a major deficit of the German law in CODIRE-Report, German National Findings (</w:t>
      </w:r>
      <w:r w:rsidR="00CE787C" w:rsidRPr="00A008DB">
        <w:rPr>
          <w:rFonts w:cs="Times New Roman"/>
        </w:rPr>
        <w:t xml:space="preserve">2 July </w:t>
      </w:r>
      <w:r w:rsidRPr="00A008DB">
        <w:rPr>
          <w:rFonts w:cs="Times New Roman"/>
        </w:rPr>
        <w:t>2018) 8.</w:t>
      </w:r>
    </w:p>
  </w:footnote>
  <w:footnote w:id="82">
    <w:p w14:paraId="7828B45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CODIRE-Report, German National Findings (2018) 6 and see the controversial Decision by the Federal Tax Court: Decision </w:t>
      </w:r>
      <w:proofErr w:type="spellStart"/>
      <w:r w:rsidRPr="00A008DB">
        <w:rPr>
          <w:rFonts w:cs="Times New Roman"/>
        </w:rPr>
        <w:t>GrS</w:t>
      </w:r>
      <w:proofErr w:type="spellEnd"/>
      <w:r w:rsidRPr="00A008DB">
        <w:rPr>
          <w:rFonts w:cs="Times New Roman"/>
        </w:rPr>
        <w:t xml:space="preserve"> 1/15 (28 November 2016).</w:t>
      </w:r>
    </w:p>
  </w:footnote>
  <w:footnote w:id="83">
    <w:p w14:paraId="4C9C8298"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David </w:t>
      </w:r>
      <w:proofErr w:type="spellStart"/>
      <w:r w:rsidRPr="00A008DB">
        <w:rPr>
          <w:rFonts w:cs="Times New Roman"/>
        </w:rPr>
        <w:t>Skeel</w:t>
      </w:r>
      <w:proofErr w:type="spellEnd"/>
      <w:r w:rsidRPr="00A008DB">
        <w:rPr>
          <w:rFonts w:cs="Times New Roman"/>
        </w:rPr>
        <w:t>, ‘An Evolutionary Theory of Corporate Law and Corporate Bankruptcy’ (1998) 51 Vanderbilt Law Review 1325 for a comparison of the ex-ante-oriented German system of corporate and corporate insolvency law, evolving in response to a rather concentrated lending and ownership structure, and the ex-post-oriented US system, evolving in response to a rather dispersed lending and ownership structure.</w:t>
      </w:r>
    </w:p>
  </w:footnote>
  <w:footnote w:id="84">
    <w:p w14:paraId="2982DAD5" w14:textId="32ACAB4F" w:rsidR="002276A3" w:rsidRPr="00A008DB" w:rsidRDefault="002276A3" w:rsidP="00A008DB">
      <w:pPr>
        <w:pStyle w:val="BodyText2"/>
        <w:jc w:val="both"/>
        <w:rPr>
          <w:rFonts w:ascii="Times New Roman" w:hAnsi="Times New Roman"/>
          <w:bCs/>
          <w:color w:val="000000" w:themeColor="text1"/>
          <w:sz w:val="20"/>
          <w:szCs w:val="20"/>
          <w:lang w:val="en-GB"/>
        </w:rPr>
      </w:pPr>
      <w:r w:rsidRPr="00A008DB">
        <w:rPr>
          <w:rStyle w:val="FootnoteReference"/>
          <w:rFonts w:ascii="Times New Roman" w:hAnsi="Times New Roman"/>
          <w:color w:val="000000" w:themeColor="text1"/>
          <w:sz w:val="20"/>
          <w:szCs w:val="20"/>
          <w:lang w:val="en-GB"/>
        </w:rPr>
        <w:footnoteRef/>
      </w:r>
      <w:r w:rsidRPr="00A008DB">
        <w:rPr>
          <w:rFonts w:ascii="Times New Roman" w:hAnsi="Times New Roman"/>
          <w:color w:val="000000" w:themeColor="text1"/>
          <w:sz w:val="20"/>
          <w:szCs w:val="20"/>
          <w:lang w:val="en-GB"/>
        </w:rPr>
        <w:t xml:space="preserve"> The Recommendation (n 5) Recital 1 and Recommendation 6. The Proposal (n 2) Recitals 16-31. See also: </w:t>
      </w:r>
      <w:r w:rsidRPr="00A008DB">
        <w:rPr>
          <w:rFonts w:ascii="Times New Roman" w:hAnsi="Times New Roman"/>
          <w:bCs/>
          <w:color w:val="000000" w:themeColor="text1"/>
          <w:sz w:val="20"/>
          <w:szCs w:val="20"/>
          <w:lang w:val="en-GB"/>
        </w:rPr>
        <w:t xml:space="preserve">Gert-Jan Boon and Stephan Madaus, ‘Toward a European Business Rescue Culture’, in Jan </w:t>
      </w:r>
      <w:proofErr w:type="spellStart"/>
      <w:r w:rsidRPr="00A008DB">
        <w:rPr>
          <w:rFonts w:ascii="Times New Roman" w:hAnsi="Times New Roman"/>
          <w:bCs/>
          <w:color w:val="000000" w:themeColor="text1"/>
          <w:sz w:val="20"/>
          <w:szCs w:val="20"/>
          <w:lang w:val="en-GB"/>
        </w:rPr>
        <w:t>Adriaanse</w:t>
      </w:r>
      <w:proofErr w:type="spellEnd"/>
      <w:r w:rsidRPr="00A008DB">
        <w:rPr>
          <w:rFonts w:ascii="Times New Roman" w:hAnsi="Times New Roman"/>
          <w:bCs/>
          <w:color w:val="000000" w:themeColor="text1"/>
          <w:sz w:val="20"/>
          <w:szCs w:val="20"/>
          <w:lang w:val="en-GB"/>
        </w:rPr>
        <w:t xml:space="preserve"> &amp; Jean-</w:t>
      </w:r>
      <w:proofErr w:type="spellStart"/>
      <w:r w:rsidRPr="00A008DB">
        <w:rPr>
          <w:rFonts w:ascii="Times New Roman" w:hAnsi="Times New Roman"/>
          <w:bCs/>
          <w:color w:val="000000" w:themeColor="text1"/>
          <w:sz w:val="20"/>
          <w:szCs w:val="20"/>
          <w:lang w:val="en-GB"/>
        </w:rPr>
        <w:t>Piere</w:t>
      </w:r>
      <w:proofErr w:type="spellEnd"/>
      <w:r w:rsidRPr="00A008DB">
        <w:rPr>
          <w:rFonts w:ascii="Times New Roman" w:hAnsi="Times New Roman"/>
          <w:bCs/>
          <w:color w:val="000000" w:themeColor="text1"/>
          <w:sz w:val="20"/>
          <w:szCs w:val="20"/>
          <w:lang w:val="en-GB"/>
        </w:rPr>
        <w:t xml:space="preserve"> van der Rest (eds), </w:t>
      </w:r>
      <w:r w:rsidRPr="00A008DB">
        <w:rPr>
          <w:rFonts w:ascii="Times New Roman" w:hAnsi="Times New Roman"/>
          <w:bCs/>
          <w:i/>
          <w:color w:val="000000" w:themeColor="text1"/>
          <w:sz w:val="20"/>
          <w:szCs w:val="20"/>
          <w:lang w:val="en-GB"/>
        </w:rPr>
        <w:t>Turnaround Management and Bankruptcy: A Research Companion</w:t>
      </w:r>
      <w:r w:rsidRPr="00A008DB">
        <w:rPr>
          <w:rFonts w:ascii="Times New Roman" w:hAnsi="Times New Roman"/>
          <w:bCs/>
          <w:color w:val="000000" w:themeColor="text1"/>
          <w:sz w:val="20"/>
          <w:szCs w:val="20"/>
          <w:lang w:val="en-GB"/>
        </w:rPr>
        <w:t xml:space="preserve"> (Routledge Advances in Management and Business Studies, Routledge 2016) 238-258.</w:t>
      </w:r>
    </w:p>
  </w:footnote>
  <w:footnote w:id="85">
    <w:p w14:paraId="1C11DE0B" w14:textId="1DC21F24"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w:t>
      </w:r>
      <w:proofErr w:type="spellStart"/>
      <w:r w:rsidRPr="00A008DB">
        <w:rPr>
          <w:rFonts w:cs="Times New Roman"/>
        </w:rPr>
        <w:t>Reinout</w:t>
      </w:r>
      <w:proofErr w:type="spellEnd"/>
      <w:r w:rsidRPr="00A008DB">
        <w:rPr>
          <w:rFonts w:cs="Times New Roman"/>
        </w:rPr>
        <w:t xml:space="preserve"> </w:t>
      </w:r>
      <w:proofErr w:type="spellStart"/>
      <w:r w:rsidRPr="00A008DB">
        <w:rPr>
          <w:rFonts w:cs="Times New Roman"/>
        </w:rPr>
        <w:t>Vriesendorp</w:t>
      </w:r>
      <w:proofErr w:type="spellEnd"/>
      <w:r w:rsidRPr="00A008DB">
        <w:rPr>
          <w:rFonts w:cs="Times New Roman"/>
        </w:rPr>
        <w:t xml:space="preserve"> and Rick van </w:t>
      </w:r>
      <w:proofErr w:type="spellStart"/>
      <w:r w:rsidRPr="00A008DB">
        <w:rPr>
          <w:rFonts w:cs="Times New Roman"/>
        </w:rPr>
        <w:t>Dommelen</w:t>
      </w:r>
      <w:proofErr w:type="spellEnd"/>
      <w:r w:rsidRPr="00A008DB">
        <w:rPr>
          <w:rFonts w:cs="Times New Roman"/>
        </w:rPr>
        <w:t xml:space="preserve">, </w:t>
      </w:r>
      <w:r w:rsidRPr="00A008DB">
        <w:rPr>
          <w:rFonts w:cs="Times New Roman"/>
          <w:i/>
        </w:rPr>
        <w:t>Inventory Report on The Netherlands</w:t>
      </w:r>
      <w:r w:rsidRPr="00A008DB">
        <w:rPr>
          <w:rFonts w:cs="Times New Roman"/>
        </w:rPr>
        <w:t xml:space="preserve">, in </w:t>
      </w:r>
      <w:r w:rsidRPr="00A008DB">
        <w:rPr>
          <w:rFonts w:cs="Times New Roman"/>
          <w:bCs/>
        </w:rPr>
        <w:t xml:space="preserve">European Law Institute (eds), </w:t>
      </w:r>
      <w:r w:rsidRPr="00A008DB">
        <w:rPr>
          <w:rFonts w:cs="Times New Roman"/>
          <w:bCs/>
          <w:i/>
        </w:rPr>
        <w:t xml:space="preserve">Rescue of Business in </w:t>
      </w:r>
      <w:r w:rsidR="00582B48" w:rsidRPr="00A008DB">
        <w:rPr>
          <w:rFonts w:cs="Times New Roman"/>
          <w:bCs/>
          <w:i/>
        </w:rPr>
        <w:t>Insolvency law</w:t>
      </w:r>
      <w:r w:rsidRPr="00A008DB">
        <w:rPr>
          <w:rFonts w:cs="Times New Roman"/>
          <w:bCs/>
        </w:rPr>
        <w:t xml:space="preserve"> (OUP 2019) (forthcoming).</w:t>
      </w:r>
    </w:p>
  </w:footnote>
  <w:footnote w:id="86">
    <w:p w14:paraId="74801C77"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Article 1 DBA et </w:t>
      </w:r>
      <w:proofErr w:type="spellStart"/>
      <w:r w:rsidRPr="00A008DB">
        <w:rPr>
          <w:rFonts w:cs="Times New Roman"/>
          <w:lang w:val="fr-FR"/>
        </w:rPr>
        <w:t>seq</w:t>
      </w:r>
      <w:proofErr w:type="spellEnd"/>
      <w:r w:rsidRPr="00A008DB">
        <w:rPr>
          <w:rFonts w:cs="Times New Roman"/>
          <w:lang w:val="fr-FR"/>
        </w:rPr>
        <w:t>.</w:t>
      </w:r>
    </w:p>
  </w:footnote>
  <w:footnote w:id="87">
    <w:p w14:paraId="71D10494" w14:textId="18EF0D32"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lang w:val="fr-FR"/>
        </w:rPr>
        <w:t xml:space="preserve"> Article 214 DBA et </w:t>
      </w:r>
      <w:proofErr w:type="spellStart"/>
      <w:r w:rsidRPr="00A008DB">
        <w:rPr>
          <w:rFonts w:cs="Times New Roman"/>
          <w:lang w:val="fr-FR"/>
        </w:rPr>
        <w:t>seq</w:t>
      </w:r>
      <w:proofErr w:type="spellEnd"/>
      <w:r w:rsidRPr="00A008DB">
        <w:rPr>
          <w:rFonts w:cs="Times New Roman"/>
          <w:lang w:val="fr-FR"/>
        </w:rPr>
        <w:t xml:space="preserve">. </w:t>
      </w:r>
      <w:r w:rsidRPr="00A008DB">
        <w:rPr>
          <w:rFonts w:cs="Times New Roman"/>
        </w:rPr>
        <w:t>Since the proceeding has limited use in realising a restructuring in practice, it will be discussed only to a limited extent.</w:t>
      </w:r>
    </w:p>
  </w:footnote>
  <w:footnote w:id="88">
    <w:p w14:paraId="7AA98BA3"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Article 284 DBA et </w:t>
      </w:r>
      <w:proofErr w:type="spellStart"/>
      <w:r w:rsidRPr="00A008DB">
        <w:rPr>
          <w:rFonts w:cs="Times New Roman"/>
          <w:lang w:val="fr-FR"/>
        </w:rPr>
        <w:t>seq</w:t>
      </w:r>
      <w:proofErr w:type="spellEnd"/>
      <w:r w:rsidRPr="00A008DB">
        <w:rPr>
          <w:rFonts w:cs="Times New Roman"/>
          <w:lang w:val="fr-FR"/>
        </w:rPr>
        <w:t>.</w:t>
      </w:r>
    </w:p>
  </w:footnote>
  <w:footnote w:id="89">
    <w:p w14:paraId="555EDF61" w14:textId="77777777" w:rsidR="002276A3" w:rsidRPr="00A008DB" w:rsidRDefault="002276A3" w:rsidP="00A008DB">
      <w:pPr>
        <w:pStyle w:val="FootnoteText"/>
        <w:jc w:val="both"/>
        <w:rPr>
          <w:rFonts w:cs="Times New Roman"/>
          <w:lang w:val="fr-FR"/>
        </w:rPr>
      </w:pPr>
      <w:r w:rsidRPr="00A008DB">
        <w:rPr>
          <w:rStyle w:val="FootnoteReference"/>
          <w:rFonts w:cs="Times New Roman"/>
        </w:rPr>
        <w:footnoteRef/>
      </w:r>
      <w:r w:rsidRPr="00A008DB">
        <w:rPr>
          <w:rFonts w:cs="Times New Roman"/>
          <w:lang w:val="fr-FR"/>
        </w:rPr>
        <w:t xml:space="preserve"> Article 214 DBA et </w:t>
      </w:r>
      <w:proofErr w:type="spellStart"/>
      <w:r w:rsidRPr="00A008DB">
        <w:rPr>
          <w:rFonts w:cs="Times New Roman"/>
          <w:lang w:val="fr-FR"/>
        </w:rPr>
        <w:t>seq</w:t>
      </w:r>
      <w:proofErr w:type="spellEnd"/>
      <w:r w:rsidRPr="00A008DB">
        <w:rPr>
          <w:rFonts w:cs="Times New Roman"/>
          <w:lang w:val="fr-FR"/>
        </w:rPr>
        <w:t>.</w:t>
      </w:r>
    </w:p>
  </w:footnote>
  <w:footnote w:id="90">
    <w:p w14:paraId="33AC6D1F" w14:textId="3C7DC33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i/>
        </w:rPr>
        <w:t xml:space="preserve"> </w:t>
      </w:r>
      <w:r w:rsidRPr="00A008DB">
        <w:rPr>
          <w:rFonts w:cs="Times New Roman"/>
        </w:rPr>
        <w:t>See for instance</w:t>
      </w:r>
      <w:r w:rsidRPr="00A008DB">
        <w:rPr>
          <w:rFonts w:cs="Times New Roman"/>
          <w:i/>
        </w:rPr>
        <w:t xml:space="preserve"> </w:t>
      </w:r>
      <w:proofErr w:type="spellStart"/>
      <w:r w:rsidRPr="00A008DB">
        <w:rPr>
          <w:rFonts w:cs="Times New Roman"/>
          <w:i/>
        </w:rPr>
        <w:t>Kamerstukken</w:t>
      </w:r>
      <w:proofErr w:type="spellEnd"/>
      <w:r w:rsidRPr="00A008DB">
        <w:rPr>
          <w:rFonts w:cs="Times New Roman"/>
          <w:i/>
        </w:rPr>
        <w:t xml:space="preserve"> II</w:t>
      </w:r>
      <w:r w:rsidRPr="00A008DB">
        <w:rPr>
          <w:rFonts w:cs="Times New Roman"/>
        </w:rPr>
        <w:t xml:space="preserve"> 2001/02, 24 036, nr. 238, 1.</w:t>
      </w:r>
    </w:p>
  </w:footnote>
  <w:footnote w:id="91">
    <w:p w14:paraId="78E312C7" w14:textId="533D7A1A"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Articles 138 and 252 DBA et </w:t>
      </w:r>
      <w:proofErr w:type="spellStart"/>
      <w:r w:rsidRPr="00A008DB">
        <w:rPr>
          <w:rFonts w:cs="Times New Roman"/>
        </w:rPr>
        <w:t>seq</w:t>
      </w:r>
      <w:proofErr w:type="spellEnd"/>
      <w:r w:rsidRPr="00A008DB">
        <w:rPr>
          <w:rFonts w:cs="Times New Roman"/>
        </w:rPr>
        <w:t xml:space="preserve"> for bankruptcy and suspension of payments</w:t>
      </w:r>
      <w:r w:rsidR="00D22521" w:rsidRPr="00A008DB">
        <w:rPr>
          <w:rFonts w:cs="Times New Roman"/>
        </w:rPr>
        <w:t>, respectively</w:t>
      </w:r>
      <w:r w:rsidRPr="00A008DB">
        <w:rPr>
          <w:rFonts w:cs="Times New Roman"/>
        </w:rPr>
        <w:t xml:space="preserve">. </w:t>
      </w:r>
    </w:p>
  </w:footnote>
  <w:footnote w:id="92">
    <w:p w14:paraId="3A54584D" w14:textId="4DE1B4FF"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See Articles 134, 268 (1) and 332 (2)(3) DBA for bankruptcy, suspension of payments, and personal debt discharge</w:t>
      </w:r>
      <w:r w:rsidR="00D22521" w:rsidRPr="00A008DB">
        <w:rPr>
          <w:rFonts w:cs="Times New Roman"/>
        </w:rPr>
        <w:t>, respectively</w:t>
      </w:r>
      <w:r w:rsidRPr="00A008DB">
        <w:rPr>
          <w:rFonts w:cs="Times New Roman"/>
        </w:rPr>
        <w:t>. This will regard the unsecured creditors only, with secured or preferential creditors a consensual agreement may be pursued.</w:t>
      </w:r>
    </w:p>
  </w:footnote>
  <w:footnote w:id="93">
    <w:p w14:paraId="50CC4D20" w14:textId="77777777" w:rsidR="002276A3" w:rsidRPr="00A008DB" w:rsidRDefault="002276A3" w:rsidP="00A008DB">
      <w:pPr>
        <w:pStyle w:val="FootnoteText"/>
        <w:jc w:val="both"/>
        <w:rPr>
          <w:rFonts w:cs="Times New Roman"/>
          <w:lang w:val="nl-NL"/>
        </w:rPr>
      </w:pPr>
      <w:r w:rsidRPr="00A008DB">
        <w:rPr>
          <w:rStyle w:val="FootnoteReference"/>
          <w:rFonts w:cs="Times New Roman"/>
        </w:rPr>
        <w:footnoteRef/>
      </w:r>
      <w:r w:rsidRPr="00A008DB">
        <w:rPr>
          <w:rFonts w:cs="Times New Roman"/>
          <w:lang w:val="nl-NL"/>
        </w:rPr>
        <w:t xml:space="preserve"> </w:t>
      </w:r>
      <w:r w:rsidRPr="00A008DB">
        <w:rPr>
          <w:rFonts w:cs="Times New Roman"/>
          <w:lang w:val="nl-NL"/>
        </w:rPr>
        <w:t xml:space="preserve">Commissie Kortmann, Voorontwerp Insolventiewet, 2007. </w:t>
      </w:r>
    </w:p>
  </w:footnote>
  <w:footnote w:id="94">
    <w:p w14:paraId="48B7A595" w14:textId="77777777" w:rsidR="002276A3" w:rsidRPr="00A008DB" w:rsidRDefault="002276A3" w:rsidP="00A008DB">
      <w:pPr>
        <w:pStyle w:val="FootnoteText"/>
        <w:jc w:val="both"/>
        <w:rPr>
          <w:rFonts w:cs="Times New Roman"/>
          <w:i/>
          <w:lang w:val="nl-NL"/>
        </w:rPr>
      </w:pPr>
      <w:r w:rsidRPr="00A008DB">
        <w:rPr>
          <w:rStyle w:val="FootnoteReference"/>
          <w:rFonts w:cs="Times New Roman"/>
        </w:rPr>
        <w:footnoteRef/>
      </w:r>
      <w:r w:rsidRPr="00A008DB">
        <w:rPr>
          <w:rFonts w:cs="Times New Roman"/>
          <w:lang w:val="nl-NL"/>
        </w:rPr>
        <w:t xml:space="preserve"> </w:t>
      </w:r>
      <w:r w:rsidRPr="00A008DB">
        <w:rPr>
          <w:rFonts w:cs="Times New Roman"/>
          <w:i/>
          <w:lang w:val="nl-NL"/>
        </w:rPr>
        <w:t>Kamerstukken II</w:t>
      </w:r>
      <w:r w:rsidRPr="00A008DB">
        <w:rPr>
          <w:rFonts w:cs="Times New Roman"/>
          <w:lang w:val="nl-NL"/>
        </w:rPr>
        <w:t xml:space="preserve"> 2010/11, Aanhangsel nr. 1014 and </w:t>
      </w:r>
      <w:r w:rsidRPr="00A008DB">
        <w:rPr>
          <w:rFonts w:cs="Times New Roman"/>
          <w:i/>
          <w:lang w:val="nl-NL"/>
        </w:rPr>
        <w:t xml:space="preserve">Kamerstukken II </w:t>
      </w:r>
      <w:r w:rsidRPr="00A008DB">
        <w:rPr>
          <w:rFonts w:cs="Times New Roman"/>
          <w:lang w:val="nl-NL"/>
        </w:rPr>
        <w:t>2012/13, 29 911, nr. 74.</w:t>
      </w:r>
    </w:p>
  </w:footnote>
  <w:footnote w:id="95">
    <w:p w14:paraId="4858209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The other two pillars consider combatting insolvency fraud and modernising Dutch insolvency law.</w:t>
      </w:r>
    </w:p>
  </w:footnote>
  <w:footnote w:id="96">
    <w:p w14:paraId="77E81EEB" w14:textId="759EAD70"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This can be translated as ‘Act on the confirmation of a private restructuring plan </w:t>
      </w:r>
      <w:proofErr w:type="gramStart"/>
      <w:r w:rsidRPr="00A008DB">
        <w:rPr>
          <w:rFonts w:cs="Times New Roman"/>
        </w:rPr>
        <w:t>in order to</w:t>
      </w:r>
      <w:proofErr w:type="gramEnd"/>
      <w:r w:rsidRPr="00A008DB">
        <w:rPr>
          <w:rFonts w:cs="Times New Roman"/>
        </w:rPr>
        <w:t xml:space="preserve"> prevent bankruptcy’</w:t>
      </w:r>
      <w:r w:rsidR="00D22521" w:rsidRPr="00A008DB">
        <w:rPr>
          <w:rFonts w:cs="Times New Roman"/>
        </w:rPr>
        <w:t>.</w:t>
      </w:r>
      <w:r w:rsidRPr="00A008DB">
        <w:rPr>
          <w:rFonts w:cs="Times New Roman"/>
        </w:rPr>
        <w:t xml:space="preserve"> </w:t>
      </w:r>
      <w:r w:rsidR="00D22521" w:rsidRPr="00A008DB">
        <w:rPr>
          <w:rFonts w:cs="Times New Roman"/>
        </w:rPr>
        <w:t>I</w:t>
      </w:r>
      <w:r w:rsidRPr="00A008DB">
        <w:rPr>
          <w:rFonts w:cs="Times New Roman"/>
        </w:rPr>
        <w:t xml:space="preserve">n </w:t>
      </w:r>
      <w:r w:rsidR="00D22521" w:rsidRPr="00A008DB">
        <w:rPr>
          <w:rFonts w:cs="Times New Roman"/>
        </w:rPr>
        <w:t xml:space="preserve">an </w:t>
      </w:r>
      <w:r w:rsidRPr="00A008DB">
        <w:rPr>
          <w:rFonts w:cs="Times New Roman"/>
        </w:rPr>
        <w:t>earlier draft the proposal was called WCO II.</w:t>
      </w:r>
    </w:p>
  </w:footnote>
  <w:footnote w:id="97">
    <w:p w14:paraId="1EF70F31" w14:textId="77777777" w:rsidR="002276A3" w:rsidRPr="00A008DB" w:rsidRDefault="002276A3" w:rsidP="00A008DB">
      <w:pPr>
        <w:pStyle w:val="FootnoteText"/>
        <w:jc w:val="both"/>
        <w:rPr>
          <w:rFonts w:cs="Times New Roman"/>
          <w:i/>
        </w:rPr>
      </w:pPr>
      <w:r w:rsidRPr="00A008DB">
        <w:rPr>
          <w:rStyle w:val="FootnoteReference"/>
          <w:rFonts w:cs="Times New Roman"/>
        </w:rPr>
        <w:footnoteRef/>
      </w:r>
      <w:r w:rsidRPr="00A008DB">
        <w:rPr>
          <w:rFonts w:cs="Times New Roman"/>
        </w:rPr>
        <w:t xml:space="preserve"> In September 2018, the minister provided the latest update on the progress with these legislative processes, see: </w:t>
      </w:r>
      <w:proofErr w:type="spellStart"/>
      <w:r w:rsidRPr="00A008DB">
        <w:rPr>
          <w:rFonts w:cs="Times New Roman"/>
          <w:i/>
        </w:rPr>
        <w:t>Kamerstukken</w:t>
      </w:r>
      <w:proofErr w:type="spellEnd"/>
      <w:r w:rsidRPr="00A008DB">
        <w:rPr>
          <w:rFonts w:cs="Times New Roman"/>
          <w:i/>
        </w:rPr>
        <w:t xml:space="preserve"> II 2017/18, </w:t>
      </w:r>
      <w:r w:rsidRPr="00A008DB">
        <w:rPr>
          <w:rFonts w:cs="Times New Roman"/>
        </w:rPr>
        <w:t>33 695, nr. 17.</w:t>
      </w:r>
    </w:p>
  </w:footnote>
  <w:footnote w:id="98">
    <w:p w14:paraId="070E7AFC" w14:textId="035DF0C4"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For instance, the World Bank has ranked The Netherlands top 10 for many years in its global Doing Business reports. The 2019 report is available at </w:t>
      </w:r>
      <w:hyperlink r:id="rId1" w:history="1">
        <w:r w:rsidRPr="00A008DB">
          <w:rPr>
            <w:rStyle w:val="Hyperlink"/>
            <w:rFonts w:cs="Times New Roman"/>
          </w:rPr>
          <w:t>http://www.doingbusiness.org/en/reports/global-reports/doing-business-2019</w:t>
        </w:r>
      </w:hyperlink>
      <w:r w:rsidRPr="00A008DB">
        <w:rPr>
          <w:rFonts w:cs="Times New Roman"/>
        </w:rPr>
        <w:t xml:space="preserve">. For a critical review on the applied methodology in these reports, see University of Leeds, </w:t>
      </w:r>
      <w:r w:rsidR="009E0B48" w:rsidRPr="00A008DB">
        <w:rPr>
          <w:rFonts w:cs="Times New Roman"/>
        </w:rPr>
        <w:t>‘</w:t>
      </w:r>
      <w:r w:rsidRPr="00A008DB">
        <w:rPr>
          <w:rFonts w:cs="Times New Roman"/>
        </w:rPr>
        <w:t>Study on a new approach to business failure and insolvency</w:t>
      </w:r>
      <w:r w:rsidR="009E0B48" w:rsidRPr="00A008DB">
        <w:rPr>
          <w:rFonts w:cs="Times New Roman"/>
        </w:rPr>
        <w:t>’</w:t>
      </w:r>
      <w:r w:rsidRPr="00A008DB">
        <w:rPr>
          <w:rFonts w:cs="Times New Roman"/>
        </w:rPr>
        <w:t xml:space="preserve">, </w:t>
      </w:r>
      <w:r w:rsidR="00837ED0" w:rsidRPr="00A008DB">
        <w:rPr>
          <w:rFonts w:cs="Times New Roman"/>
        </w:rPr>
        <w:t>(</w:t>
      </w:r>
      <w:r w:rsidR="00025230" w:rsidRPr="00A008DB">
        <w:rPr>
          <w:rFonts w:cs="Times New Roman"/>
        </w:rPr>
        <w:t>2018)</w:t>
      </w:r>
      <w:r w:rsidRPr="00A008DB">
        <w:rPr>
          <w:rFonts w:cs="Times New Roman"/>
        </w:rPr>
        <w:t xml:space="preserve"> (available at</w:t>
      </w:r>
      <w:r w:rsidR="009E0B48" w:rsidRPr="00A008DB">
        <w:rPr>
          <w:rFonts w:cs="Times New Roman"/>
        </w:rPr>
        <w:t xml:space="preserve"> </w:t>
      </w:r>
      <w:hyperlink r:id="rId2" w:history="1">
        <w:r w:rsidR="009E0B48" w:rsidRPr="00A008DB">
          <w:rPr>
            <w:rStyle w:val="Hyperlink"/>
            <w:rFonts w:cs="Times New Roman"/>
          </w:rPr>
          <w:t>https://ec.europa.eu/info/sites/info/files/insolvency_study_2016_final_en.pdf</w:t>
        </w:r>
      </w:hyperlink>
      <w:r w:rsidRPr="00A008DB">
        <w:rPr>
          <w:rFonts w:cs="Times New Roman"/>
        </w:rPr>
        <w:t>)</w:t>
      </w:r>
      <w:r w:rsidR="009E0B48" w:rsidRPr="00A008DB">
        <w:rPr>
          <w:rFonts w:cs="Times New Roman"/>
        </w:rPr>
        <w:t xml:space="preserve"> 32-41</w:t>
      </w:r>
      <w:r w:rsidRPr="00A008DB">
        <w:rPr>
          <w:rFonts w:cs="Times New Roman"/>
        </w:rPr>
        <w:t xml:space="preserve">. </w:t>
      </w:r>
    </w:p>
  </w:footnote>
  <w:footnote w:id="99">
    <w:p w14:paraId="5190C128" w14:textId="173C9269"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lang w:val="nl-NL"/>
        </w:rPr>
        <w:t xml:space="preserve"> </w:t>
      </w:r>
      <w:r w:rsidRPr="00A008DB">
        <w:rPr>
          <w:rFonts w:cs="Times New Roman"/>
          <w:lang w:val="nl-NL"/>
        </w:rPr>
        <w:t>See for instance: N</w:t>
      </w:r>
      <w:r w:rsidR="00D22521" w:rsidRPr="00A008DB">
        <w:rPr>
          <w:rFonts w:cs="Times New Roman"/>
          <w:lang w:val="nl-NL"/>
        </w:rPr>
        <w:t xml:space="preserve"> </w:t>
      </w:r>
      <w:r w:rsidRPr="00A008DB">
        <w:rPr>
          <w:rFonts w:cs="Times New Roman"/>
          <w:lang w:val="nl-NL"/>
        </w:rPr>
        <w:t>W</w:t>
      </w:r>
      <w:r w:rsidR="00D22521" w:rsidRPr="00A008DB">
        <w:rPr>
          <w:rFonts w:cs="Times New Roman"/>
          <w:lang w:val="nl-NL"/>
        </w:rPr>
        <w:t xml:space="preserve"> </w:t>
      </w:r>
      <w:r w:rsidRPr="00A008DB">
        <w:rPr>
          <w:rFonts w:cs="Times New Roman"/>
          <w:lang w:val="nl-NL"/>
        </w:rPr>
        <w:t xml:space="preserve">A Tollenaar, </w:t>
      </w:r>
      <w:r w:rsidR="00D22521" w:rsidRPr="00A008DB">
        <w:rPr>
          <w:rFonts w:cs="Times New Roman"/>
          <w:lang w:val="nl-NL"/>
        </w:rPr>
        <w:t>‘</w:t>
      </w:r>
      <w:r w:rsidRPr="00A008DB">
        <w:rPr>
          <w:rFonts w:cs="Times New Roman"/>
          <w:lang w:val="nl-NL"/>
        </w:rPr>
        <w:t>Faillissementsrechters van Nederland: geef ons de pre-pack!</w:t>
      </w:r>
      <w:r w:rsidR="00D22521" w:rsidRPr="00A008DB">
        <w:rPr>
          <w:rFonts w:cs="Times New Roman"/>
          <w:lang w:val="nl-NL"/>
        </w:rPr>
        <w:t>’</w:t>
      </w:r>
      <w:r w:rsidRPr="00A008DB">
        <w:rPr>
          <w:rFonts w:cs="Times New Roman"/>
          <w:lang w:val="nl-NL"/>
        </w:rPr>
        <w:t xml:space="preserve"> </w:t>
      </w:r>
      <w:r w:rsidR="00D22521" w:rsidRPr="00A008DB">
        <w:rPr>
          <w:rFonts w:cs="Times New Roman"/>
        </w:rPr>
        <w:t xml:space="preserve">(2011) </w:t>
      </w:r>
      <w:r w:rsidR="009E0B48" w:rsidRPr="00A008DB">
        <w:rPr>
          <w:rFonts w:cs="Times New Roman"/>
        </w:rPr>
        <w:t xml:space="preserve">23 </w:t>
      </w:r>
      <w:proofErr w:type="spellStart"/>
      <w:r w:rsidRPr="00A008DB">
        <w:rPr>
          <w:rFonts w:cs="Times New Roman"/>
        </w:rPr>
        <w:t>TvI</w:t>
      </w:r>
      <w:proofErr w:type="spellEnd"/>
      <w:r w:rsidR="006D3AED" w:rsidRPr="00A008DB">
        <w:rPr>
          <w:rFonts w:cs="Times New Roman"/>
        </w:rPr>
        <w:t>;</w:t>
      </w:r>
      <w:r w:rsidRPr="00A008DB">
        <w:rPr>
          <w:rFonts w:cs="Times New Roman"/>
        </w:rPr>
        <w:t xml:space="preserve"> H </w:t>
      </w:r>
      <w:proofErr w:type="spellStart"/>
      <w:r w:rsidRPr="00A008DB">
        <w:rPr>
          <w:rFonts w:cs="Times New Roman"/>
        </w:rPr>
        <w:t>Koster</w:t>
      </w:r>
      <w:proofErr w:type="spellEnd"/>
      <w:r w:rsidRPr="00A008DB">
        <w:rPr>
          <w:rFonts w:cs="Times New Roman"/>
        </w:rPr>
        <w:t xml:space="preserve">, </w:t>
      </w:r>
      <w:r w:rsidR="009E0B48" w:rsidRPr="00A008DB">
        <w:rPr>
          <w:rFonts w:cs="Times New Roman"/>
        </w:rPr>
        <w:t>‘</w:t>
      </w:r>
      <w:proofErr w:type="spellStart"/>
      <w:r w:rsidRPr="00A008DB">
        <w:rPr>
          <w:rFonts w:cs="Times New Roman"/>
        </w:rPr>
        <w:t>Herstructurering</w:t>
      </w:r>
      <w:proofErr w:type="spellEnd"/>
      <w:r w:rsidRPr="00A008DB">
        <w:rPr>
          <w:rFonts w:cs="Times New Roman"/>
        </w:rPr>
        <w:t xml:space="preserve"> </w:t>
      </w:r>
      <w:proofErr w:type="spellStart"/>
      <w:r w:rsidRPr="00A008DB">
        <w:rPr>
          <w:rFonts w:cs="Times New Roman"/>
        </w:rPr>
        <w:t>bij</w:t>
      </w:r>
      <w:proofErr w:type="spellEnd"/>
      <w:r w:rsidRPr="00A008DB">
        <w:rPr>
          <w:rFonts w:cs="Times New Roman"/>
        </w:rPr>
        <w:t xml:space="preserve"> </w:t>
      </w:r>
      <w:proofErr w:type="spellStart"/>
      <w:r w:rsidRPr="00A008DB">
        <w:rPr>
          <w:rFonts w:cs="Times New Roman"/>
        </w:rPr>
        <w:t>insolventie</w:t>
      </w:r>
      <w:proofErr w:type="spellEnd"/>
      <w:r w:rsidRPr="00A008DB">
        <w:rPr>
          <w:rFonts w:cs="Times New Roman"/>
        </w:rPr>
        <w:t xml:space="preserve">: </w:t>
      </w:r>
      <w:proofErr w:type="spellStart"/>
      <w:r w:rsidRPr="00A008DB">
        <w:rPr>
          <w:rFonts w:cs="Times New Roman"/>
        </w:rPr>
        <w:t>naar</w:t>
      </w:r>
      <w:proofErr w:type="spellEnd"/>
      <w:r w:rsidRPr="00A008DB">
        <w:rPr>
          <w:rFonts w:cs="Times New Roman"/>
        </w:rPr>
        <w:t xml:space="preserve"> de pre-pack plus!</w:t>
      </w:r>
      <w:r w:rsidR="009E0B48" w:rsidRPr="00A008DB">
        <w:rPr>
          <w:rFonts w:cs="Times New Roman"/>
        </w:rPr>
        <w:t>’(2013)</w:t>
      </w:r>
      <w:r w:rsidR="006D3AED" w:rsidRPr="00A008DB">
        <w:rPr>
          <w:rFonts w:cs="Times New Roman"/>
        </w:rPr>
        <w:t xml:space="preserve"> 7</w:t>
      </w:r>
      <w:r w:rsidRPr="00A008DB">
        <w:rPr>
          <w:rFonts w:cs="Times New Roman"/>
        </w:rPr>
        <w:t xml:space="preserve"> </w:t>
      </w:r>
      <w:proofErr w:type="spellStart"/>
      <w:r w:rsidRPr="00A008DB">
        <w:rPr>
          <w:rFonts w:cs="Times New Roman"/>
        </w:rPr>
        <w:t>TvI</w:t>
      </w:r>
      <w:proofErr w:type="spellEnd"/>
      <w:r w:rsidR="006D3AED" w:rsidRPr="00A008DB">
        <w:rPr>
          <w:rFonts w:cs="Times New Roman"/>
        </w:rPr>
        <w:t>;</w:t>
      </w:r>
      <w:r w:rsidRPr="00A008DB">
        <w:rPr>
          <w:rFonts w:cs="Times New Roman"/>
        </w:rPr>
        <w:t xml:space="preserve"> P</w:t>
      </w:r>
      <w:r w:rsidR="009E0B48" w:rsidRPr="00A008DB">
        <w:rPr>
          <w:rFonts w:cs="Times New Roman"/>
        </w:rPr>
        <w:t xml:space="preserve"> </w:t>
      </w:r>
      <w:r w:rsidRPr="00A008DB">
        <w:rPr>
          <w:rFonts w:cs="Times New Roman"/>
        </w:rPr>
        <w:t>C</w:t>
      </w:r>
      <w:r w:rsidR="009E0B48" w:rsidRPr="00A008DB">
        <w:rPr>
          <w:rFonts w:cs="Times New Roman"/>
        </w:rPr>
        <w:t xml:space="preserve"> </w:t>
      </w:r>
      <w:r w:rsidRPr="00A008DB">
        <w:rPr>
          <w:rFonts w:cs="Times New Roman"/>
        </w:rPr>
        <w:t>H</w:t>
      </w:r>
      <w:r w:rsidR="009E0B48" w:rsidRPr="00A008DB">
        <w:rPr>
          <w:rFonts w:cs="Times New Roman"/>
        </w:rPr>
        <w:t xml:space="preserve"> </w:t>
      </w:r>
      <w:r w:rsidRPr="00A008DB">
        <w:rPr>
          <w:rFonts w:cs="Times New Roman"/>
        </w:rPr>
        <w:t>R Vas Nunes, ‘Do the rules on transfer of undertaking apply in a ‘pre-pack’ insolvency? A Dutch court asks the ECJ for guidance (NL)</w:t>
      </w:r>
      <w:r w:rsidR="009E0B48" w:rsidRPr="00A008DB">
        <w:rPr>
          <w:rFonts w:cs="Times New Roman"/>
        </w:rPr>
        <w:t>’ (2016)</w:t>
      </w:r>
      <w:r w:rsidR="006D3AED" w:rsidRPr="00A008DB">
        <w:rPr>
          <w:rFonts w:cs="Times New Roman"/>
        </w:rPr>
        <w:t xml:space="preserve"> 1</w:t>
      </w:r>
      <w:r w:rsidR="009E0B48" w:rsidRPr="00A008DB">
        <w:rPr>
          <w:rFonts w:cs="Times New Roman"/>
        </w:rPr>
        <w:t xml:space="preserve"> </w:t>
      </w:r>
      <w:r w:rsidRPr="00A008DB">
        <w:rPr>
          <w:rFonts w:cs="Times New Roman"/>
        </w:rPr>
        <w:t>EELC.</w:t>
      </w:r>
    </w:p>
  </w:footnote>
  <w:footnote w:id="100">
    <w:p w14:paraId="394EEA6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Since the pre-pack is not based on statutory law, not all district courts approve of this approach, it has resulted in forum shopping within The Netherlands. This was the case with the </w:t>
      </w:r>
      <w:proofErr w:type="spellStart"/>
      <w:r w:rsidRPr="00A008DB">
        <w:rPr>
          <w:rFonts w:cs="Times New Roman"/>
        </w:rPr>
        <w:t>Estro</w:t>
      </w:r>
      <w:proofErr w:type="spellEnd"/>
      <w:r w:rsidRPr="00A008DB">
        <w:rPr>
          <w:rFonts w:cs="Times New Roman"/>
        </w:rPr>
        <w:t xml:space="preserve"> </w:t>
      </w:r>
      <w:proofErr w:type="spellStart"/>
      <w:r w:rsidRPr="00A008DB">
        <w:rPr>
          <w:rFonts w:cs="Times New Roman"/>
        </w:rPr>
        <w:t>Groep</w:t>
      </w:r>
      <w:proofErr w:type="spellEnd"/>
      <w:r w:rsidRPr="00A008DB">
        <w:rPr>
          <w:rFonts w:cs="Times New Roman"/>
        </w:rPr>
        <w:t xml:space="preserve">, prior to applying to the court for a pre-pack </w:t>
      </w:r>
      <w:proofErr w:type="spellStart"/>
      <w:r w:rsidRPr="00A008DB">
        <w:rPr>
          <w:rFonts w:cs="Times New Roman"/>
        </w:rPr>
        <w:t>Estro</w:t>
      </w:r>
      <w:proofErr w:type="spellEnd"/>
      <w:r w:rsidRPr="00A008DB">
        <w:rPr>
          <w:rFonts w:cs="Times New Roman"/>
        </w:rPr>
        <w:t xml:space="preserve"> </w:t>
      </w:r>
      <w:proofErr w:type="spellStart"/>
      <w:r w:rsidRPr="00A008DB">
        <w:rPr>
          <w:rFonts w:cs="Times New Roman"/>
        </w:rPr>
        <w:t>Groep</w:t>
      </w:r>
      <w:proofErr w:type="spellEnd"/>
      <w:r w:rsidRPr="00A008DB">
        <w:rPr>
          <w:rFonts w:cs="Times New Roman"/>
        </w:rPr>
        <w:t xml:space="preserve"> moved its registered seat from Utrecht to Amsterdam, see District Court Middle-Netherlands 24 February 2016, ECLI:</w:t>
      </w:r>
      <w:proofErr w:type="gramStart"/>
      <w:r w:rsidRPr="00A008DB">
        <w:rPr>
          <w:rFonts w:cs="Times New Roman"/>
        </w:rPr>
        <w:t>NL:RBMNE</w:t>
      </w:r>
      <w:proofErr w:type="gramEnd"/>
      <w:r w:rsidRPr="00A008DB">
        <w:rPr>
          <w:rFonts w:cs="Times New Roman"/>
        </w:rPr>
        <w:t xml:space="preserve">:2016:954, at 2.9. The aforementioned bill WCO I also </w:t>
      </w:r>
      <w:proofErr w:type="gramStart"/>
      <w:r w:rsidRPr="00A008DB">
        <w:rPr>
          <w:rFonts w:cs="Times New Roman"/>
        </w:rPr>
        <w:t>aims</w:t>
      </w:r>
      <w:proofErr w:type="gramEnd"/>
      <w:r w:rsidRPr="00A008DB">
        <w:rPr>
          <w:rFonts w:cs="Times New Roman"/>
        </w:rPr>
        <w:t xml:space="preserve"> to resolve this issue.</w:t>
      </w:r>
    </w:p>
  </w:footnote>
  <w:footnote w:id="101">
    <w:p w14:paraId="23846211" w14:textId="6C350E5B"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Council Directive 2001/23/EC of 12 March 2001 on the approximation of the laws of the Member States relating to the safeguarding of employees’ rights in the event of transfers of undertakings, businesses or parts of undertakings or businesses</w:t>
      </w:r>
      <w:r w:rsidR="00790AE1" w:rsidRPr="00A008DB">
        <w:rPr>
          <w:rFonts w:cs="Times New Roman"/>
        </w:rPr>
        <w:t xml:space="preserve"> [2001] </w:t>
      </w:r>
      <w:r w:rsidRPr="00A008DB">
        <w:rPr>
          <w:rFonts w:cs="Times New Roman"/>
        </w:rPr>
        <w:t>OJ 2001 L 82, 16.</w:t>
      </w:r>
    </w:p>
  </w:footnote>
  <w:footnote w:id="102">
    <w:p w14:paraId="28B2F36E" w14:textId="5CB89363"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lang w:val="nl-NL"/>
        </w:rPr>
        <w:t xml:space="preserve"> </w:t>
      </w:r>
      <w:r w:rsidRPr="00A008DB">
        <w:rPr>
          <w:rFonts w:cs="Times New Roman"/>
          <w:lang w:val="nl-NL"/>
        </w:rPr>
        <w:t xml:space="preserve">CJEU, 22.6.2017, C-126/16 - </w:t>
      </w:r>
      <w:r w:rsidRPr="00A008DB">
        <w:rPr>
          <w:rFonts w:cs="Times New Roman"/>
          <w:i/>
          <w:lang w:val="nl-NL"/>
        </w:rPr>
        <w:t>Federatie Nederlandse Vakvereniging v. Smallsteps BV</w:t>
      </w:r>
      <w:r w:rsidRPr="00A008DB">
        <w:rPr>
          <w:rFonts w:cs="Times New Roman"/>
          <w:lang w:val="nl-NL"/>
        </w:rPr>
        <w:t xml:space="preserve">, ECLI:EU:C:2017:489 at 61. </w:t>
      </w:r>
      <w:r w:rsidRPr="00A008DB">
        <w:rPr>
          <w:rFonts w:cs="Times New Roman"/>
        </w:rPr>
        <w:t xml:space="preserve">The CJEU followed the Opinion of Advocate General </w:t>
      </w:r>
      <w:proofErr w:type="spellStart"/>
      <w:r w:rsidRPr="00A008DB">
        <w:rPr>
          <w:rFonts w:cs="Times New Roman"/>
        </w:rPr>
        <w:t>Mengozzi</w:t>
      </w:r>
      <w:proofErr w:type="spellEnd"/>
      <w:r w:rsidRPr="00A008DB">
        <w:rPr>
          <w:rFonts w:cs="Times New Roman"/>
        </w:rPr>
        <w:t xml:space="preserve">, 29.7.2017, </w:t>
      </w:r>
      <w:r w:rsidRPr="00A008DB">
        <w:rPr>
          <w:rStyle w:val="bold"/>
          <w:rFonts w:cs="Times New Roman"/>
        </w:rPr>
        <w:t>Case C</w:t>
      </w:r>
      <w:r w:rsidRPr="00A008DB">
        <w:rPr>
          <w:rStyle w:val="bold"/>
          <w:rFonts w:cs="Times New Roman"/>
        </w:rPr>
        <w:noBreakHyphen/>
        <w:t xml:space="preserve">126/16 - </w:t>
      </w:r>
      <w:proofErr w:type="spellStart"/>
      <w:r w:rsidRPr="00A008DB">
        <w:rPr>
          <w:rFonts w:cs="Times New Roman"/>
          <w:i/>
        </w:rPr>
        <w:t>Federatie</w:t>
      </w:r>
      <w:proofErr w:type="spellEnd"/>
      <w:r w:rsidRPr="00A008DB">
        <w:rPr>
          <w:rFonts w:cs="Times New Roman"/>
          <w:i/>
        </w:rPr>
        <w:t xml:space="preserve"> </w:t>
      </w:r>
      <w:proofErr w:type="spellStart"/>
      <w:r w:rsidRPr="00A008DB">
        <w:rPr>
          <w:rFonts w:cs="Times New Roman"/>
          <w:i/>
        </w:rPr>
        <w:t>Nederlandse</w:t>
      </w:r>
      <w:proofErr w:type="spellEnd"/>
      <w:r w:rsidRPr="00A008DB">
        <w:rPr>
          <w:rFonts w:cs="Times New Roman"/>
          <w:i/>
        </w:rPr>
        <w:t xml:space="preserve"> </w:t>
      </w:r>
      <w:proofErr w:type="spellStart"/>
      <w:r w:rsidRPr="00A008DB">
        <w:rPr>
          <w:rFonts w:cs="Times New Roman"/>
          <w:i/>
        </w:rPr>
        <w:t>Vakvereniging</w:t>
      </w:r>
      <w:proofErr w:type="spellEnd"/>
      <w:r w:rsidRPr="00A008DB">
        <w:rPr>
          <w:rFonts w:cs="Times New Roman"/>
          <w:i/>
        </w:rPr>
        <w:t xml:space="preserve"> v. </w:t>
      </w:r>
      <w:proofErr w:type="spellStart"/>
      <w:r w:rsidRPr="00A008DB">
        <w:rPr>
          <w:rFonts w:cs="Times New Roman"/>
          <w:i/>
        </w:rPr>
        <w:t>Smallsteps</w:t>
      </w:r>
      <w:proofErr w:type="spellEnd"/>
      <w:r w:rsidRPr="00A008DB">
        <w:rPr>
          <w:rFonts w:cs="Times New Roman"/>
          <w:i/>
        </w:rPr>
        <w:t xml:space="preserve"> BV</w:t>
      </w:r>
      <w:r w:rsidRPr="00A008DB">
        <w:rPr>
          <w:rFonts w:cs="Times New Roman"/>
        </w:rPr>
        <w:t>, ECLI:EU:C:2017:241.</w:t>
      </w:r>
    </w:p>
  </w:footnote>
  <w:footnote w:id="103">
    <w:p w14:paraId="743180D9"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District Court North-Holland 12 October 2017, ECLI:</w:t>
      </w:r>
      <w:proofErr w:type="gramStart"/>
      <w:r w:rsidRPr="00A008DB">
        <w:rPr>
          <w:rFonts w:cs="Times New Roman"/>
        </w:rPr>
        <w:t>NL:RBNHO</w:t>
      </w:r>
      <w:proofErr w:type="gramEnd"/>
      <w:r w:rsidRPr="00A008DB">
        <w:rPr>
          <w:rFonts w:cs="Times New Roman"/>
        </w:rPr>
        <w:t>:2018:8423, at 5.8, 5.9, 5.14, 5.20-5.22, and District Court Gelderland 1 February 2018, ECLI:NL:RBGLD:2018:447, at 4.8.</w:t>
      </w:r>
    </w:p>
  </w:footnote>
  <w:footnote w:id="104">
    <w:p w14:paraId="2BE07C1C" w14:textId="01703F42" w:rsidR="002276A3" w:rsidRPr="00A008DB" w:rsidRDefault="002276A3" w:rsidP="00A008DB">
      <w:pPr>
        <w:pStyle w:val="FootnoteText"/>
        <w:jc w:val="both"/>
        <w:rPr>
          <w:rFonts w:cs="Times New Roman"/>
          <w:lang w:val="nl-NL"/>
        </w:rPr>
      </w:pPr>
      <w:r w:rsidRPr="00A008DB">
        <w:rPr>
          <w:rStyle w:val="FootnoteReference"/>
          <w:rFonts w:cs="Times New Roman"/>
        </w:rPr>
        <w:footnoteRef/>
      </w:r>
      <w:r w:rsidRPr="00A008DB">
        <w:rPr>
          <w:rFonts w:cs="Times New Roman"/>
          <w:lang w:val="nl-NL"/>
        </w:rPr>
        <w:t xml:space="preserve"> </w:t>
      </w:r>
      <w:r w:rsidRPr="00A008DB">
        <w:rPr>
          <w:rFonts w:cs="Times New Roman"/>
          <w:lang w:val="nl-NL"/>
        </w:rPr>
        <w:t>These cases led to ample discussion, see: I</w:t>
      </w:r>
      <w:r w:rsidR="00D53E93" w:rsidRPr="00A008DB">
        <w:rPr>
          <w:rFonts w:cs="Times New Roman"/>
          <w:lang w:val="nl-NL"/>
        </w:rPr>
        <w:t>l</w:t>
      </w:r>
      <w:r w:rsidR="002F3B46" w:rsidRPr="00A008DB">
        <w:rPr>
          <w:rFonts w:cs="Times New Roman"/>
          <w:lang w:val="nl-NL"/>
        </w:rPr>
        <w:t>an</w:t>
      </w:r>
      <w:r w:rsidRPr="00A008DB">
        <w:rPr>
          <w:rFonts w:cs="Times New Roman"/>
          <w:lang w:val="nl-NL"/>
        </w:rPr>
        <w:t xml:space="preserve"> Spinath, ‘De beperkte reikwijdte van het Smallsteps-arrest’, MvO 2017/10.6; L</w:t>
      </w:r>
      <w:r w:rsidR="002F3B46" w:rsidRPr="00A008DB">
        <w:rPr>
          <w:rFonts w:cs="Times New Roman"/>
          <w:lang w:val="nl-NL"/>
        </w:rPr>
        <w:t xml:space="preserve">eonard </w:t>
      </w:r>
      <w:r w:rsidRPr="00A008DB">
        <w:rPr>
          <w:rFonts w:cs="Times New Roman"/>
          <w:lang w:val="nl-NL"/>
        </w:rPr>
        <w:t xml:space="preserve">G Verburg, ‘Smallsteps en de ruimte voor een (voorbereide) doorstart uit faillissement’, </w:t>
      </w:r>
      <w:r w:rsidRPr="00A008DB">
        <w:rPr>
          <w:rFonts w:cs="Times New Roman"/>
          <w:i/>
          <w:lang w:val="nl-NL"/>
        </w:rPr>
        <w:t>TvCu</w:t>
      </w:r>
      <w:r w:rsidRPr="00A008DB">
        <w:rPr>
          <w:rFonts w:cs="Times New Roman"/>
          <w:lang w:val="nl-NL"/>
        </w:rPr>
        <w:t xml:space="preserve"> 2018/3; W</w:t>
      </w:r>
      <w:r w:rsidR="00BB742D" w:rsidRPr="00A008DB">
        <w:rPr>
          <w:rFonts w:cs="Times New Roman"/>
          <w:lang w:val="nl-NL"/>
        </w:rPr>
        <w:t xml:space="preserve">illem </w:t>
      </w:r>
      <w:r w:rsidRPr="00A008DB">
        <w:rPr>
          <w:rFonts w:cs="Times New Roman"/>
          <w:lang w:val="nl-NL"/>
        </w:rPr>
        <w:t>H</w:t>
      </w:r>
      <w:r w:rsidR="00BB742D" w:rsidRPr="00A008DB">
        <w:rPr>
          <w:rFonts w:cs="Times New Roman"/>
          <w:lang w:val="nl-NL"/>
        </w:rPr>
        <w:t xml:space="preserve"> </w:t>
      </w:r>
      <w:r w:rsidRPr="00A008DB">
        <w:rPr>
          <w:rFonts w:cs="Times New Roman"/>
          <w:lang w:val="nl-NL"/>
        </w:rPr>
        <w:t>A</w:t>
      </w:r>
      <w:r w:rsidR="00BB742D" w:rsidRPr="00A008DB">
        <w:rPr>
          <w:rFonts w:cs="Times New Roman"/>
          <w:lang w:val="nl-NL"/>
        </w:rPr>
        <w:t xml:space="preserve"> </w:t>
      </w:r>
      <w:r w:rsidRPr="00A008DB">
        <w:rPr>
          <w:rFonts w:cs="Times New Roman"/>
          <w:lang w:val="nl-NL"/>
        </w:rPr>
        <w:t>C</w:t>
      </w:r>
      <w:r w:rsidR="00BB742D" w:rsidRPr="00A008DB">
        <w:rPr>
          <w:rFonts w:cs="Times New Roman"/>
          <w:lang w:val="nl-NL"/>
        </w:rPr>
        <w:t xml:space="preserve"> </w:t>
      </w:r>
      <w:r w:rsidRPr="00A008DB">
        <w:rPr>
          <w:rFonts w:cs="Times New Roman"/>
          <w:lang w:val="nl-NL"/>
        </w:rPr>
        <w:t xml:space="preserve">M. Bouwens, ‘Het voetspoor van Smallsteps’, </w:t>
      </w:r>
      <w:r w:rsidRPr="00A008DB">
        <w:rPr>
          <w:rFonts w:cs="Times New Roman"/>
          <w:i/>
          <w:lang w:val="nl-NL"/>
        </w:rPr>
        <w:t xml:space="preserve">TvI </w:t>
      </w:r>
      <w:r w:rsidRPr="00A008DB">
        <w:rPr>
          <w:rFonts w:cs="Times New Roman"/>
          <w:lang w:val="nl-NL"/>
        </w:rPr>
        <w:t>2018/4; J</w:t>
      </w:r>
      <w:r w:rsidR="00BB742D" w:rsidRPr="00A008DB">
        <w:rPr>
          <w:rFonts w:cs="Times New Roman"/>
          <w:lang w:val="nl-NL"/>
        </w:rPr>
        <w:t xml:space="preserve">essie </w:t>
      </w:r>
      <w:r w:rsidRPr="00A008DB">
        <w:rPr>
          <w:rFonts w:cs="Times New Roman"/>
          <w:lang w:val="nl-NL"/>
        </w:rPr>
        <w:t>M</w:t>
      </w:r>
      <w:r w:rsidR="00BB742D" w:rsidRPr="00A008DB">
        <w:rPr>
          <w:rFonts w:cs="Times New Roman"/>
          <w:lang w:val="nl-NL"/>
        </w:rPr>
        <w:t xml:space="preserve"> </w:t>
      </w:r>
      <w:r w:rsidRPr="00A008DB">
        <w:rPr>
          <w:rFonts w:cs="Times New Roman"/>
          <w:lang w:val="nl-NL"/>
        </w:rPr>
        <w:t xml:space="preserve">W Pool, ‘De eerste toepassingen van Smallsteps in Nederland’, TvI 2018/39; </w:t>
      </w:r>
      <w:r w:rsidRPr="00A008DB">
        <w:rPr>
          <w:rStyle w:val="wknlnoota"/>
          <w:rFonts w:cs="Times New Roman"/>
          <w:lang w:val="nl-NL"/>
        </w:rPr>
        <w:t>I</w:t>
      </w:r>
      <w:r w:rsidR="00D53E93" w:rsidRPr="00A008DB">
        <w:rPr>
          <w:rStyle w:val="wknlnoota"/>
          <w:rFonts w:cs="Times New Roman"/>
          <w:lang w:val="nl-NL"/>
        </w:rPr>
        <w:t>l</w:t>
      </w:r>
      <w:r w:rsidR="00BB742D" w:rsidRPr="00A008DB">
        <w:rPr>
          <w:rStyle w:val="wknlnoota"/>
          <w:rFonts w:cs="Times New Roman"/>
          <w:lang w:val="nl-NL"/>
        </w:rPr>
        <w:t>an</w:t>
      </w:r>
      <w:r w:rsidRPr="00A008DB">
        <w:rPr>
          <w:rStyle w:val="wknlnoota"/>
          <w:rFonts w:cs="Times New Roman"/>
          <w:lang w:val="nl-NL"/>
        </w:rPr>
        <w:t xml:space="preserve"> Spinath, ‘Niet wrijven in de vlek’, </w:t>
      </w:r>
      <w:r w:rsidRPr="00A008DB">
        <w:rPr>
          <w:rStyle w:val="wknlnoota"/>
          <w:rFonts w:cs="Times New Roman"/>
          <w:i/>
          <w:lang w:val="nl-NL"/>
        </w:rPr>
        <w:t xml:space="preserve">TvI </w:t>
      </w:r>
      <w:r w:rsidRPr="00A008DB">
        <w:rPr>
          <w:rStyle w:val="wknlnoota"/>
          <w:rFonts w:cs="Times New Roman"/>
          <w:lang w:val="nl-NL"/>
        </w:rPr>
        <w:t>2018/53.</w:t>
      </w:r>
    </w:p>
  </w:footnote>
  <w:footnote w:id="105">
    <w:p w14:paraId="373F36E4"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bookmarkStart w:id="0" w:name="_Hlk528685573"/>
      <w:r w:rsidRPr="00A008DB">
        <w:rPr>
          <w:rFonts w:cs="Times New Roman"/>
        </w:rPr>
        <w:t xml:space="preserve">Jennifer L </w:t>
      </w:r>
      <w:proofErr w:type="spellStart"/>
      <w:r w:rsidRPr="00A008DB">
        <w:rPr>
          <w:rFonts w:cs="Times New Roman"/>
        </w:rPr>
        <w:t>L</w:t>
      </w:r>
      <w:proofErr w:type="spellEnd"/>
      <w:r w:rsidRPr="00A008DB">
        <w:rPr>
          <w:rFonts w:cs="Times New Roman"/>
        </w:rPr>
        <w:t xml:space="preserve"> Gant, </w:t>
      </w:r>
      <w:r w:rsidRPr="00A008DB">
        <w:rPr>
          <w:rFonts w:cs="Times New Roman"/>
          <w:i/>
        </w:rPr>
        <w:t xml:space="preserve">Balancing the Protection of Business and Employment in </w:t>
      </w:r>
      <w:proofErr w:type="spellStart"/>
      <w:r w:rsidRPr="00A008DB">
        <w:rPr>
          <w:rFonts w:cs="Times New Roman"/>
          <w:i/>
        </w:rPr>
        <w:t>Insovlency</w:t>
      </w:r>
      <w:proofErr w:type="spellEnd"/>
      <w:r w:rsidRPr="00A008DB">
        <w:rPr>
          <w:rFonts w:cs="Times New Roman"/>
          <w:i/>
        </w:rPr>
        <w:t>: an Anglo-French Perspective</w:t>
      </w:r>
      <w:r w:rsidRPr="00A008DB">
        <w:rPr>
          <w:rFonts w:cs="Times New Roman"/>
        </w:rPr>
        <w:t xml:space="preserve"> (Eleven International Publishing 2017) </w:t>
      </w:r>
      <w:bookmarkEnd w:id="0"/>
      <w:r w:rsidRPr="00A008DB">
        <w:rPr>
          <w:rFonts w:cs="Times New Roman"/>
        </w:rPr>
        <w:t>113.</w:t>
      </w:r>
    </w:p>
  </w:footnote>
  <w:footnote w:id="106">
    <w:p w14:paraId="0F29A418"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For a discussion of this important insolvency theory, see Thomas H. Jackson, </w:t>
      </w:r>
      <w:r w:rsidRPr="00A008DB">
        <w:rPr>
          <w:rFonts w:cs="Times New Roman"/>
          <w:i/>
        </w:rPr>
        <w:t>The Logic and Limits of Bankruptcy Law</w:t>
      </w:r>
      <w:r w:rsidRPr="00A008DB">
        <w:rPr>
          <w:rFonts w:cs="Times New Roman"/>
        </w:rPr>
        <w:t xml:space="preserve"> (Beard Books 2001).</w:t>
      </w:r>
    </w:p>
  </w:footnote>
  <w:footnote w:id="107">
    <w:p w14:paraId="4B88E956"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Jennifer L </w:t>
      </w:r>
      <w:proofErr w:type="spellStart"/>
      <w:r w:rsidRPr="00A008DB">
        <w:rPr>
          <w:rFonts w:cs="Times New Roman"/>
        </w:rPr>
        <w:t>L</w:t>
      </w:r>
      <w:proofErr w:type="spellEnd"/>
      <w:r w:rsidRPr="00A008DB">
        <w:rPr>
          <w:rFonts w:cs="Times New Roman"/>
        </w:rPr>
        <w:t xml:space="preserve"> Gant, ‘Social Policy and Insolvency: Struggles towards Convergence’ (2014) 2(4) </w:t>
      </w:r>
      <w:proofErr w:type="spellStart"/>
      <w:r w:rsidRPr="00A008DB">
        <w:rPr>
          <w:rFonts w:cs="Times New Roman"/>
        </w:rPr>
        <w:t>NIBLeJ</w:t>
      </w:r>
      <w:proofErr w:type="spellEnd"/>
      <w:r w:rsidRPr="00A008DB">
        <w:rPr>
          <w:rFonts w:cs="Times New Roman"/>
        </w:rPr>
        <w:t xml:space="preserve"> 49, 53.</w:t>
      </w:r>
    </w:p>
  </w:footnote>
  <w:footnote w:id="108">
    <w:p w14:paraId="5E6C600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 Cork, Sir (Chairman) Insolvency Law and Practice: Report of the Review Committee (1982) </w:t>
      </w:r>
      <w:proofErr w:type="spellStart"/>
      <w:r w:rsidRPr="00A008DB">
        <w:rPr>
          <w:rFonts w:cs="Times New Roman"/>
        </w:rPr>
        <w:t>Cmnd</w:t>
      </w:r>
      <w:proofErr w:type="spellEnd"/>
      <w:r w:rsidRPr="00A008DB">
        <w:rPr>
          <w:rFonts w:cs="Times New Roman"/>
        </w:rPr>
        <w:t xml:space="preserve">. 8558; see Paul Omar and Jennifer L </w:t>
      </w:r>
      <w:proofErr w:type="spellStart"/>
      <w:r w:rsidRPr="00A008DB">
        <w:rPr>
          <w:rFonts w:cs="Times New Roman"/>
        </w:rPr>
        <w:t>L</w:t>
      </w:r>
      <w:proofErr w:type="spellEnd"/>
      <w:r w:rsidRPr="00A008DB">
        <w:rPr>
          <w:rFonts w:cs="Times New Roman"/>
        </w:rPr>
        <w:t xml:space="preserve"> Gant, ‘Corporate Rescue in the UK: Ten Years after the Enterprise Act 2002 Reforms’ (2016) 24 </w:t>
      </w:r>
      <w:proofErr w:type="spellStart"/>
      <w:r w:rsidRPr="00A008DB">
        <w:rPr>
          <w:rFonts w:cs="Times New Roman"/>
        </w:rPr>
        <w:t>Insolv</w:t>
      </w:r>
      <w:proofErr w:type="spellEnd"/>
      <w:r w:rsidRPr="00A008DB">
        <w:rPr>
          <w:rFonts w:cs="Times New Roman"/>
        </w:rPr>
        <w:t xml:space="preserve"> LJ 40 for more detailed discussion of the Cork era and its impact on corporate rescue in the UK. </w:t>
      </w:r>
    </w:p>
  </w:footnote>
  <w:footnote w:id="109">
    <w:p w14:paraId="7EADF4CA"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Company Voluntary Arrangements (Part 1 Insolvency Act 1986); Administration (Part II and Schedule B1 Insolvency Act 1986); Receivership (Part II Insolvency Act 1986, though this is largely repealed by the Enterprise Act 2002 save for certain circumstances.</w:t>
      </w:r>
    </w:p>
  </w:footnote>
  <w:footnote w:id="110">
    <w:p w14:paraId="7294E550"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Part I and Schedule A1. </w:t>
      </w:r>
    </w:p>
  </w:footnote>
  <w:footnote w:id="111">
    <w:p w14:paraId="552E18AF"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Parts II, III, and Schedule B1.</w:t>
      </w:r>
    </w:p>
  </w:footnote>
  <w:footnote w:id="112">
    <w:p w14:paraId="6475DDB2"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Companies Act 2006, Part 26. </w:t>
      </w:r>
    </w:p>
  </w:footnote>
  <w:footnote w:id="113">
    <w:p w14:paraId="18C6D3A0"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John Tribe, ‘Companies Cat Schemes of Arrangement and Rescue: </w:t>
      </w:r>
      <w:proofErr w:type="gramStart"/>
      <w:r w:rsidRPr="00A008DB">
        <w:rPr>
          <w:rFonts w:cs="Times New Roman"/>
        </w:rPr>
        <w:t>the</w:t>
      </w:r>
      <w:proofErr w:type="gramEnd"/>
      <w:r w:rsidRPr="00A008DB">
        <w:rPr>
          <w:rFonts w:cs="Times New Roman"/>
        </w:rPr>
        <w:t xml:space="preserve"> Lost Cousin of Restructuring Practice’ (2009) 24(7) J Business &amp; Financial Law 386, 386.</w:t>
      </w:r>
    </w:p>
  </w:footnote>
  <w:footnote w:id="114">
    <w:p w14:paraId="1EB1726D" w14:textId="7063FED0"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xml:space="preserve">, Sweet &amp; Maxwell 2018) 492; Vanessa Finch and David </w:t>
      </w:r>
      <w:proofErr w:type="spellStart"/>
      <w:r w:rsidRPr="00A008DB">
        <w:rPr>
          <w:rFonts w:cs="Times New Roman"/>
        </w:rPr>
        <w:t>Milman</w:t>
      </w:r>
      <w:proofErr w:type="spellEnd"/>
      <w:r w:rsidRPr="00A008DB">
        <w:rPr>
          <w:rFonts w:cs="Times New Roman"/>
        </w:rPr>
        <w:t xml:space="preserve">, </w:t>
      </w:r>
      <w:r w:rsidRPr="00A008DB">
        <w:rPr>
          <w:rFonts w:cs="Times New Roman"/>
          <w:i/>
        </w:rPr>
        <w:t>Corporate Insolvency Law: Perspectives and Principles</w:t>
      </w:r>
      <w:r w:rsidRPr="00A008DB">
        <w:rPr>
          <w:rFonts w:cs="Times New Roman"/>
        </w:rPr>
        <w:t xml:space="preserve"> (3</w:t>
      </w:r>
      <w:r w:rsidRPr="00A008DB">
        <w:rPr>
          <w:rFonts w:cs="Times New Roman"/>
          <w:vertAlign w:val="superscript"/>
        </w:rPr>
        <w:t>rd</w:t>
      </w:r>
      <w:r w:rsidRPr="00A008DB">
        <w:rPr>
          <w:rFonts w:cs="Times New Roman"/>
        </w:rPr>
        <w:t xml:space="preserve"> </w:t>
      </w:r>
      <w:proofErr w:type="spellStart"/>
      <w:r w:rsidRPr="00A008DB">
        <w:rPr>
          <w:rFonts w:cs="Times New Roman"/>
        </w:rPr>
        <w:t>edn</w:t>
      </w:r>
      <w:proofErr w:type="spellEnd"/>
      <w:r w:rsidRPr="00A008DB">
        <w:rPr>
          <w:rFonts w:cs="Times New Roman"/>
        </w:rPr>
        <w:t xml:space="preserve">, Cambridge University Press 2017) 371. </w:t>
      </w:r>
    </w:p>
  </w:footnote>
  <w:footnote w:id="115">
    <w:p w14:paraId="187F7626"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Paul Omar and Jennifer L </w:t>
      </w:r>
      <w:proofErr w:type="spellStart"/>
      <w:r w:rsidRPr="00A008DB">
        <w:rPr>
          <w:rFonts w:cs="Times New Roman"/>
        </w:rPr>
        <w:t>L</w:t>
      </w:r>
      <w:proofErr w:type="spellEnd"/>
      <w:r w:rsidRPr="00A008DB">
        <w:rPr>
          <w:rFonts w:cs="Times New Roman"/>
        </w:rPr>
        <w:t xml:space="preserve"> Gant, ‘Corporate Rescue in the UK: Ten Years after the Enterprise Act 2002 Reforms’ (2016) 24 </w:t>
      </w:r>
      <w:proofErr w:type="spellStart"/>
      <w:r w:rsidRPr="00A008DB">
        <w:rPr>
          <w:rFonts w:cs="Times New Roman"/>
        </w:rPr>
        <w:t>Insolv</w:t>
      </w:r>
      <w:proofErr w:type="spellEnd"/>
      <w:r w:rsidRPr="00A008DB">
        <w:rPr>
          <w:rFonts w:cs="Times New Roman"/>
        </w:rPr>
        <w:t xml:space="preserve"> LJ 40, 56.</w:t>
      </w:r>
    </w:p>
  </w:footnote>
  <w:footnote w:id="116">
    <w:p w14:paraId="6CE44C45"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 Harris, ‘The Decision to Pre-Pack’ (2004) Recovery (Winter) 26. </w:t>
      </w:r>
    </w:p>
  </w:footnote>
  <w:footnote w:id="117">
    <w:p w14:paraId="0D4EE350"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Vanessa Finch and David </w:t>
      </w:r>
      <w:proofErr w:type="spellStart"/>
      <w:r w:rsidRPr="00A008DB">
        <w:rPr>
          <w:rFonts w:cs="Times New Roman"/>
        </w:rPr>
        <w:t>Milman</w:t>
      </w:r>
      <w:proofErr w:type="spellEnd"/>
      <w:r w:rsidRPr="00A008DB">
        <w:rPr>
          <w:rFonts w:cs="Times New Roman"/>
        </w:rPr>
        <w:t xml:space="preserve">, </w:t>
      </w:r>
      <w:r w:rsidRPr="00A008DB">
        <w:rPr>
          <w:rFonts w:cs="Times New Roman"/>
          <w:i/>
        </w:rPr>
        <w:t>Corporate Insolvency Law: Perspectives and Principles</w:t>
      </w:r>
      <w:r w:rsidRPr="00A008DB">
        <w:rPr>
          <w:rFonts w:cs="Times New Roman"/>
        </w:rPr>
        <w:t xml:space="preserve"> (3</w:t>
      </w:r>
      <w:r w:rsidRPr="00A008DB">
        <w:rPr>
          <w:rFonts w:cs="Times New Roman"/>
          <w:vertAlign w:val="superscript"/>
        </w:rPr>
        <w:t>rd</w:t>
      </w:r>
      <w:r w:rsidRPr="00A008DB">
        <w:rPr>
          <w:rFonts w:cs="Times New Roman"/>
        </w:rPr>
        <w:t xml:space="preserve"> </w:t>
      </w:r>
      <w:proofErr w:type="spellStart"/>
      <w:r w:rsidRPr="00A008DB">
        <w:rPr>
          <w:rFonts w:cs="Times New Roman"/>
        </w:rPr>
        <w:t>edn</w:t>
      </w:r>
      <w:proofErr w:type="spellEnd"/>
      <w:r w:rsidRPr="00A008DB">
        <w:rPr>
          <w:rFonts w:cs="Times New Roman"/>
        </w:rPr>
        <w:t xml:space="preserve">, Cambridge University Press 2017) 373-374. </w:t>
      </w:r>
    </w:p>
  </w:footnote>
  <w:footnote w:id="118">
    <w:p w14:paraId="26732B70"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s123.</w:t>
      </w:r>
    </w:p>
  </w:footnote>
  <w:footnote w:id="119">
    <w:p w14:paraId="2B562415"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Schedule B1 paras 42-44. </w:t>
      </w:r>
    </w:p>
  </w:footnote>
  <w:footnote w:id="120">
    <w:p w14:paraId="22B2FC8B" w14:textId="5D504105"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xml:space="preserve">, Sweet &amp; Maxwell 2018) 491. </w:t>
      </w:r>
    </w:p>
  </w:footnote>
  <w:footnote w:id="121">
    <w:p w14:paraId="478F1BD7"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s 1. </w:t>
      </w:r>
    </w:p>
  </w:footnote>
  <w:footnote w:id="122">
    <w:p w14:paraId="582BDB8C"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s 1(1).</w:t>
      </w:r>
    </w:p>
  </w:footnote>
  <w:footnote w:id="123">
    <w:p w14:paraId="25927EE6"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John Tribe, ‘Company Voluntary Arrangements and Rescue: </w:t>
      </w:r>
      <w:proofErr w:type="gramStart"/>
      <w:r w:rsidRPr="00A008DB">
        <w:rPr>
          <w:rFonts w:cs="Times New Roman"/>
        </w:rPr>
        <w:t>a</w:t>
      </w:r>
      <w:proofErr w:type="gramEnd"/>
      <w:r w:rsidRPr="00A008DB">
        <w:rPr>
          <w:rFonts w:cs="Times New Roman"/>
        </w:rPr>
        <w:t xml:space="preserve"> New Hope and a Tudor Orthodoxy’ (2009) 5 JBL 454, 472. </w:t>
      </w:r>
    </w:p>
  </w:footnote>
  <w:footnote w:id="124">
    <w:p w14:paraId="001B0CC2"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Schedule B1 para 42.</w:t>
      </w:r>
    </w:p>
  </w:footnote>
  <w:footnote w:id="125">
    <w:p w14:paraId="28C521BB"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Schedule B1 para 43.</w:t>
      </w:r>
    </w:p>
  </w:footnote>
  <w:footnote w:id="126">
    <w:p w14:paraId="2DABBFB4"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Note that there is a small company moratorium available for the CVA since it was introduced in the Insolvency Act 2000, amending the Insolvency Act 1986 in Schedule 1A and A1, but this has been rarely used since 2003, according to Insolvency Service, </w:t>
      </w:r>
      <w:r w:rsidRPr="00A008DB">
        <w:rPr>
          <w:rFonts w:cs="Times New Roman"/>
          <w:i/>
        </w:rPr>
        <w:t>A Review of the Corporate Insolvency Framework</w:t>
      </w:r>
      <w:r w:rsidRPr="00A008DB">
        <w:rPr>
          <w:rFonts w:cs="Times New Roman"/>
        </w:rPr>
        <w:t xml:space="preserve"> (Insolvency Service 2-16).</w:t>
      </w:r>
    </w:p>
  </w:footnote>
  <w:footnote w:id="127">
    <w:p w14:paraId="30E62A2B"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P Walton, C </w:t>
      </w:r>
      <w:proofErr w:type="spellStart"/>
      <w:r w:rsidRPr="00A008DB">
        <w:rPr>
          <w:rFonts w:cs="Times New Roman"/>
        </w:rPr>
        <w:t>Umfreville</w:t>
      </w:r>
      <w:proofErr w:type="spellEnd"/>
      <w:r w:rsidRPr="00A008DB">
        <w:rPr>
          <w:rFonts w:cs="Times New Roman"/>
        </w:rPr>
        <w:t>, L Jacobs, ‘Company Voluntary Arrangements: Evaluating Success and Failure’ (Report Commissioned by R3, May 2018) para 4.1.2.1.</w:t>
      </w:r>
    </w:p>
  </w:footnote>
  <w:footnote w:id="128">
    <w:p w14:paraId="08EC7BE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Insolvency Act 1986, s 4(3-4).</w:t>
      </w:r>
    </w:p>
  </w:footnote>
  <w:footnote w:id="129">
    <w:p w14:paraId="735B17CC" w14:textId="6ADB57EC"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xml:space="preserve">, Sweet &amp; Maxwell 2018) 596-597. </w:t>
      </w:r>
    </w:p>
  </w:footnote>
  <w:footnote w:id="130">
    <w:p w14:paraId="08ACF21C"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Vanessa Finch and David </w:t>
      </w:r>
      <w:proofErr w:type="spellStart"/>
      <w:r w:rsidRPr="00A008DB">
        <w:rPr>
          <w:rFonts w:cs="Times New Roman"/>
        </w:rPr>
        <w:t>Milman</w:t>
      </w:r>
      <w:proofErr w:type="spellEnd"/>
      <w:r w:rsidRPr="00A008DB">
        <w:rPr>
          <w:rFonts w:cs="Times New Roman"/>
        </w:rPr>
        <w:t xml:space="preserve">, </w:t>
      </w:r>
      <w:r w:rsidRPr="00A008DB">
        <w:rPr>
          <w:rFonts w:cs="Times New Roman"/>
          <w:i/>
        </w:rPr>
        <w:t>Corporate Insolvency Law: Perspectives and Principles</w:t>
      </w:r>
      <w:r w:rsidRPr="00A008DB">
        <w:rPr>
          <w:rFonts w:cs="Times New Roman"/>
        </w:rPr>
        <w:t xml:space="preserve"> (3</w:t>
      </w:r>
      <w:r w:rsidRPr="00A008DB">
        <w:rPr>
          <w:rFonts w:cs="Times New Roman"/>
          <w:vertAlign w:val="superscript"/>
        </w:rPr>
        <w:t>rd</w:t>
      </w:r>
      <w:r w:rsidRPr="00A008DB">
        <w:rPr>
          <w:rFonts w:cs="Times New Roman"/>
        </w:rPr>
        <w:t xml:space="preserve"> </w:t>
      </w:r>
      <w:proofErr w:type="spellStart"/>
      <w:r w:rsidRPr="00A008DB">
        <w:rPr>
          <w:rFonts w:cs="Times New Roman"/>
        </w:rPr>
        <w:t>edn</w:t>
      </w:r>
      <w:proofErr w:type="spellEnd"/>
      <w:r w:rsidRPr="00A008DB">
        <w:rPr>
          <w:rFonts w:cs="Times New Roman"/>
        </w:rPr>
        <w:t>, Cambridge University Press 2017) 425.</w:t>
      </w:r>
    </w:p>
  </w:footnote>
  <w:footnote w:id="131">
    <w:p w14:paraId="6DD0DF88" w14:textId="7BC8E34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Sweet &amp; Maxwell 2018) 588-589.</w:t>
      </w:r>
    </w:p>
  </w:footnote>
  <w:footnote w:id="132">
    <w:p w14:paraId="5B538D71"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Companies Act 2006 s 895-901.</w:t>
      </w:r>
    </w:p>
  </w:footnote>
  <w:footnote w:id="133">
    <w:p w14:paraId="2F6609C2"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Joint Stock Companies Act 1870.</w:t>
      </w:r>
    </w:p>
  </w:footnote>
  <w:footnote w:id="134">
    <w:p w14:paraId="78912BEB" w14:textId="77777777" w:rsidR="002276A3" w:rsidRPr="00A008DB" w:rsidRDefault="002276A3" w:rsidP="00A008DB">
      <w:pPr>
        <w:pStyle w:val="FootnoteText"/>
        <w:jc w:val="both"/>
        <w:rPr>
          <w:rFonts w:cs="Times New Roman"/>
          <w:b/>
        </w:rPr>
      </w:pPr>
      <w:r w:rsidRPr="00A008DB">
        <w:rPr>
          <w:rStyle w:val="FootnoteReference"/>
          <w:rFonts w:cs="Times New Roman"/>
        </w:rPr>
        <w:footnoteRef/>
      </w:r>
      <w:r w:rsidRPr="00A008DB">
        <w:rPr>
          <w:rFonts w:cs="Times New Roman"/>
        </w:rPr>
        <w:t xml:space="preserve"> Companies Act 2006, Part 26; David </w:t>
      </w:r>
      <w:proofErr w:type="spellStart"/>
      <w:r w:rsidRPr="00A008DB">
        <w:rPr>
          <w:rFonts w:cs="Times New Roman"/>
        </w:rPr>
        <w:t>Milman</w:t>
      </w:r>
      <w:proofErr w:type="spellEnd"/>
      <w:r w:rsidRPr="00A008DB">
        <w:rPr>
          <w:rFonts w:cs="Times New Roman"/>
        </w:rPr>
        <w:t>, ‘UK Restructuring Law Review 2016’ (2016) 383 Co LN 1, 2.</w:t>
      </w:r>
    </w:p>
  </w:footnote>
  <w:footnote w:id="135">
    <w:p w14:paraId="744ECB68"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Companies Act 2006 s 895-901.</w:t>
      </w:r>
    </w:p>
  </w:footnote>
  <w:footnote w:id="136">
    <w:p w14:paraId="0DDE4A7F" w14:textId="64C42662"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Sweet &amp; Maxwell 2018) 411.</w:t>
      </w:r>
    </w:p>
  </w:footnote>
  <w:footnote w:id="137">
    <w:p w14:paraId="23DCAB67" w14:textId="540166BA"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Sweet &amp; Maxwell 2018) 412.</w:t>
      </w:r>
    </w:p>
  </w:footnote>
  <w:footnote w:id="138">
    <w:p w14:paraId="63A849E9"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Per the Insolvency Act 1986 Schedule B1 para 27, unless the application is made by the holder of a floating charge per Insolvency Act 1986 Schedule B1 para 14.</w:t>
      </w:r>
    </w:p>
  </w:footnote>
  <w:footnote w:id="139">
    <w:p w14:paraId="4A285206"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John Tribe, ‘Companies Act Schemes of Arrangement and Rescue: the lost cousin of restructuring practice?’ (2009) 7 JIBFL 386, </w:t>
      </w:r>
    </w:p>
  </w:footnote>
  <w:footnote w:id="140">
    <w:p w14:paraId="07DF9CFB" w14:textId="54CEC15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Sweet &amp; Maxwell 2018) 412</w:t>
      </w:r>
    </w:p>
  </w:footnote>
  <w:footnote w:id="141">
    <w:p w14:paraId="2895F2C5" w14:textId="1ADC034B"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xml:space="preserve">, Sweet &amp; Maxwell 2018) 575-576. </w:t>
      </w:r>
    </w:p>
  </w:footnote>
  <w:footnote w:id="142">
    <w:p w14:paraId="1E802839" w14:textId="0E97D68A" w:rsidR="002276A3" w:rsidRPr="00A008DB" w:rsidRDefault="002276A3" w:rsidP="00A008DB">
      <w:pPr>
        <w:pStyle w:val="FootnoteText"/>
        <w:jc w:val="both"/>
      </w:pPr>
      <w:r w:rsidRPr="00A008DB">
        <w:rPr>
          <w:rStyle w:val="FootnoteReference"/>
        </w:rPr>
        <w:footnoteRef/>
      </w:r>
      <w:r w:rsidRPr="00A008DB">
        <w:t xml:space="preserve"> </w:t>
      </w:r>
      <w:r w:rsidRPr="00A008DB">
        <w:rPr>
          <w:rFonts w:cs="Times New Roman"/>
        </w:rPr>
        <w:t xml:space="preserve">Kristin Van Zwieten, </w:t>
      </w:r>
      <w:r w:rsidRPr="00A008DB">
        <w:rPr>
          <w:rFonts w:cs="Times New Roman"/>
          <w:i/>
        </w:rPr>
        <w:t>Goode on Principles of Corporate Insolvency Law</w:t>
      </w:r>
      <w:r w:rsidRPr="00A008DB">
        <w:rPr>
          <w:rFonts w:cs="Times New Roman"/>
        </w:rPr>
        <w:t xml:space="preserve"> (5</w:t>
      </w:r>
      <w:r w:rsidRPr="00A008DB">
        <w:rPr>
          <w:rFonts w:cs="Times New Roman"/>
          <w:vertAlign w:val="superscript"/>
        </w:rPr>
        <w:t>th</w:t>
      </w:r>
      <w:r w:rsidRPr="00A008DB">
        <w:rPr>
          <w:rFonts w:cs="Times New Roman"/>
        </w:rPr>
        <w:t xml:space="preserve"> </w:t>
      </w:r>
      <w:proofErr w:type="spellStart"/>
      <w:r w:rsidRPr="00A008DB">
        <w:rPr>
          <w:rFonts w:cs="Times New Roman"/>
        </w:rPr>
        <w:t>edn</w:t>
      </w:r>
      <w:proofErr w:type="spellEnd"/>
      <w:r w:rsidRPr="00A008DB">
        <w:rPr>
          <w:rFonts w:cs="Times New Roman"/>
        </w:rPr>
        <w:t>, Sweet &amp; Maxwell 2018) 586.</w:t>
      </w:r>
    </w:p>
  </w:footnote>
  <w:footnote w:id="143">
    <w:p w14:paraId="1B8F4224" w14:textId="761F4B7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Paul Omar, ‘The Impact of Brexit on Cross-Border Restructurings’ in Jennifer L. L. Gant (ed), </w:t>
      </w:r>
      <w:r w:rsidRPr="00A008DB">
        <w:rPr>
          <w:rFonts w:cs="Times New Roman"/>
          <w:i/>
        </w:rPr>
        <w:t xml:space="preserve">The Rise of Preventive Restructuring Schemes: Challenges and Opportunities – </w:t>
      </w:r>
      <w:r w:rsidRPr="00A008DB">
        <w:rPr>
          <w:rFonts w:cs="Times New Roman"/>
        </w:rPr>
        <w:t>Papers from the INSOL Europe Academic Forum Annual Conference, Warsaw, Poland, 4-5 October 2017 (INSOL Europe 2018) 109-129, 120.</w:t>
      </w:r>
    </w:p>
  </w:footnote>
  <w:footnote w:id="144">
    <w:p w14:paraId="50D6ED17"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Elizabeth A McGovern, Monika Lorenzo-Perez, and Kerry </w:t>
      </w:r>
      <w:proofErr w:type="spellStart"/>
      <w:r w:rsidRPr="00A008DB">
        <w:rPr>
          <w:rFonts w:cs="Times New Roman"/>
        </w:rPr>
        <w:t>Goodleff</w:t>
      </w:r>
      <w:proofErr w:type="spellEnd"/>
      <w:r w:rsidRPr="00A008DB">
        <w:rPr>
          <w:rFonts w:cs="Times New Roman"/>
        </w:rPr>
        <w:t xml:space="preserve">, ‘A Shift in Focus: Rescuing Viable Companies’ (Reed Smith: Global restructuring Watch, 26 October 2018) available from &lt;https://www.globalrestructuringwatch.com/&gt; accessed 27 November 2018. </w:t>
      </w:r>
    </w:p>
  </w:footnote>
  <w:footnote w:id="145">
    <w:p w14:paraId="1AC1C552"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Elizabeth A McGovern, Monika Lorenzo-Perez, and Kerry </w:t>
      </w:r>
      <w:proofErr w:type="spellStart"/>
      <w:r w:rsidRPr="00A008DB">
        <w:rPr>
          <w:rFonts w:cs="Times New Roman"/>
        </w:rPr>
        <w:t>Goodleff</w:t>
      </w:r>
      <w:proofErr w:type="spellEnd"/>
      <w:r w:rsidRPr="00A008DB">
        <w:rPr>
          <w:rFonts w:cs="Times New Roman"/>
        </w:rPr>
        <w:t xml:space="preserve">, ‘A Shift in Focus: Rescuing Viable Companies’ (Reed Smith: Global restructuring Watch, 26 October 2018) available from &lt;https://www.globalrestructuringwatch.com/&gt; accessed 27 November 2018. </w:t>
      </w:r>
    </w:p>
  </w:footnote>
  <w:footnote w:id="146">
    <w:p w14:paraId="16BB8F3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Council Regulation (EC) No 1346/2000 of 29 May 2000 on insolvency proceedings OJ L 160/1 and Regulation (EU) No. 848/2015 of 20 May 2015 (OJ 2015, L141/19) on insolvency proceedings (EIR).</w:t>
      </w:r>
    </w:p>
  </w:footnote>
  <w:footnote w:id="147">
    <w:p w14:paraId="3472F6B2"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Gerard McCormack, ‘Jurisdictional Competition and Forum Shopping in Insolvency Procedures’ (2009) 68(1) Cambridge Law Journal 129 </w:t>
      </w:r>
    </w:p>
  </w:footnote>
  <w:footnote w:id="148">
    <w:p w14:paraId="396ED4D8"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David </w:t>
      </w:r>
      <w:proofErr w:type="spellStart"/>
      <w:r w:rsidRPr="00A008DB">
        <w:rPr>
          <w:rFonts w:cs="Times New Roman"/>
        </w:rPr>
        <w:t>Milman</w:t>
      </w:r>
      <w:proofErr w:type="spellEnd"/>
      <w:r w:rsidRPr="00A008DB">
        <w:rPr>
          <w:rFonts w:cs="Times New Roman"/>
        </w:rPr>
        <w:t>, ‘UK Restructuring Law Review 2016’ (2016) 383 Co LN 1, 2.</w:t>
      </w:r>
    </w:p>
  </w:footnote>
  <w:footnote w:id="149">
    <w:p w14:paraId="6BE83590"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Regulation (EC) 1346/200 on insolvency proceedings [2000] OJ L 160/1 (EIR).</w:t>
      </w:r>
    </w:p>
  </w:footnote>
  <w:footnote w:id="150">
    <w:p w14:paraId="465BC003"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Regulation (EU) 2015/848 on insolvency proceedings (Recast) [2015] OJ L 141/19 (EIR Recast).</w:t>
      </w:r>
    </w:p>
  </w:footnote>
  <w:footnote w:id="151">
    <w:p w14:paraId="5B04C66F" w14:textId="58FB7D51" w:rsidR="002276A3" w:rsidRPr="00A008DB" w:rsidRDefault="002276A3" w:rsidP="00A008DB">
      <w:pPr>
        <w:pStyle w:val="FootnoteText"/>
        <w:jc w:val="both"/>
      </w:pPr>
      <w:r w:rsidRPr="00A008DB">
        <w:rPr>
          <w:rStyle w:val="FootnoteReference"/>
        </w:rPr>
        <w:footnoteRef/>
      </w:r>
      <w:r w:rsidRPr="00A008DB">
        <w:t xml:space="preserve"> The European Union (Withdrawal) Act was passed in late 2018. The mechanisms for withdrawal are discussed in </w:t>
      </w:r>
      <w:r w:rsidR="00F86CDD" w:rsidRPr="00A008DB">
        <w:t xml:space="preserve">the Government Briefing 7793 2 </w:t>
      </w:r>
      <w:r w:rsidRPr="00A008DB">
        <w:t xml:space="preserve">Paper by Jack Simon </w:t>
      </w:r>
      <w:proofErr w:type="spellStart"/>
      <w:r w:rsidRPr="00A008DB">
        <w:t>Caird</w:t>
      </w:r>
      <w:proofErr w:type="spellEnd"/>
      <w:r w:rsidRPr="00A008DB">
        <w:t xml:space="preserve">, </w:t>
      </w:r>
      <w:r w:rsidR="006D3AED" w:rsidRPr="00A008DB">
        <w:t>‘</w:t>
      </w:r>
      <w:r w:rsidRPr="00A008DB">
        <w:t>Legislating for Brexit – The Great Repeal Bill</w:t>
      </w:r>
      <w:r w:rsidR="006D3AED" w:rsidRPr="00A008DB">
        <w:t>’</w:t>
      </w:r>
      <w:r w:rsidRPr="00A008DB">
        <w:t xml:space="preserve"> (House</w:t>
      </w:r>
      <w:r w:rsidR="00F86CDD" w:rsidRPr="00A008DB">
        <w:t xml:space="preserve"> of Commons Library May 2017); </w:t>
      </w:r>
      <w:r w:rsidRPr="00A008DB">
        <w:t>For an experts view on the impact of Brexit on Cross-Border Insolvency, see also the “CERIL Statement 2018-2 on Cross-border Restructuring and Insolvency post-BREXIT” (12 December 2018) available from &lt;</w:t>
      </w:r>
      <w:hyperlink r:id="rId3" w:history="1">
        <w:r w:rsidRPr="00A008DB">
          <w:rPr>
            <w:rStyle w:val="Hyperlink"/>
          </w:rPr>
          <w:t>http://www.ceril.eu/publications/ceril-report-2018-2-on-cross-border-restructuring-and-insolvency-post-brexit/</w:t>
        </w:r>
      </w:hyperlink>
      <w:r w:rsidRPr="00A008DB">
        <w:t>&gt; last accessed 24 January 2019.</w:t>
      </w:r>
    </w:p>
  </w:footnote>
  <w:footnote w:id="152">
    <w:p w14:paraId="48E1FFBE"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DEEU (n 15) para 3.3. </w:t>
      </w:r>
    </w:p>
  </w:footnote>
  <w:footnote w:id="153">
    <w:p w14:paraId="211CEEE5"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Stephen Leslie, ‘The Repeal Bill-How Great is it for Restructuring and Insolvency Professionals?’ (LexisNexis Randi 11 August 2017). &lt;https://blogs.lexisnexis.co.uk/randi/the-repeal-bill-how-great-is-it-for-restructuring-insolvency-professionals/&gt; accessed 6 July 2018.</w:t>
      </w:r>
    </w:p>
  </w:footnote>
  <w:footnote w:id="154">
    <w:p w14:paraId="6E059CFB" w14:textId="6A6812D8"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Gerard McCormack and Hamish Anderson, ‘The Implications of Brexit for the Restructuring and Insolvency Industry in the United Kingdom’ in </w:t>
      </w:r>
      <w:r w:rsidRPr="00A008DB">
        <w:rPr>
          <w:rFonts w:cs="Times New Roman"/>
          <w:i/>
        </w:rPr>
        <w:t>The Implications of Brexit for the Restructuring and Insolvency Industry: A Collection of Essays</w:t>
      </w:r>
      <w:r w:rsidRPr="00A008DB">
        <w:rPr>
          <w:rFonts w:cs="Times New Roman"/>
        </w:rPr>
        <w:t xml:space="preserve"> (INSOL International 2017) 3-21.</w:t>
      </w:r>
    </w:p>
  </w:footnote>
  <w:footnote w:id="155">
    <w:p w14:paraId="6864488F" w14:textId="77777777"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Jack Simson </w:t>
      </w:r>
      <w:proofErr w:type="spellStart"/>
      <w:r w:rsidRPr="00A008DB">
        <w:rPr>
          <w:rFonts w:cs="Times New Roman"/>
        </w:rPr>
        <w:t>Caird</w:t>
      </w:r>
      <w:proofErr w:type="spellEnd"/>
      <w:r w:rsidRPr="00A008DB">
        <w:rPr>
          <w:rFonts w:cs="Times New Roman"/>
        </w:rPr>
        <w:t xml:space="preserve"> and </w:t>
      </w:r>
      <w:proofErr w:type="spellStart"/>
      <w:r w:rsidRPr="00A008DB">
        <w:rPr>
          <w:rFonts w:cs="Times New Roman"/>
        </w:rPr>
        <w:t>Vaughne</w:t>
      </w:r>
      <w:proofErr w:type="spellEnd"/>
      <w:r w:rsidRPr="00A008DB">
        <w:rPr>
          <w:rFonts w:cs="Times New Roman"/>
        </w:rPr>
        <w:t xml:space="preserve"> Miller, ‘The European Union (Withdrawal) Bill: Retained EU Law’ (House of Commons Library 2017) &lt;researchbriefings.files.parliament.uk/documents/CBP-8136/CBP-8136.pdf&gt; accessed 6 July 2018. </w:t>
      </w:r>
    </w:p>
  </w:footnote>
  <w:footnote w:id="156">
    <w:p w14:paraId="6B3A3776" w14:textId="136C35C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r w:rsidR="00752FB2" w:rsidRPr="00A008DB">
        <w:rPr>
          <w:rFonts w:cs="Times New Roman"/>
        </w:rPr>
        <w:t>The Proposal, a</w:t>
      </w:r>
      <w:r w:rsidRPr="00A008DB">
        <w:rPr>
          <w:rFonts w:cs="Times New Roman"/>
        </w:rPr>
        <w:t>rt 4(1).</w:t>
      </w:r>
    </w:p>
  </w:footnote>
  <w:footnote w:id="157">
    <w:p w14:paraId="1C83F294" w14:textId="6EFF4AC0" w:rsidR="002276A3" w:rsidRPr="00A008DB" w:rsidRDefault="002276A3" w:rsidP="00A008DB">
      <w:pPr>
        <w:pStyle w:val="FootnoteText"/>
        <w:jc w:val="both"/>
      </w:pPr>
      <w:r w:rsidRPr="00A008DB">
        <w:rPr>
          <w:rStyle w:val="FootnoteReference"/>
        </w:rPr>
        <w:footnoteRef/>
      </w:r>
      <w:r w:rsidRPr="00A008DB">
        <w:t xml:space="preserve"> Reinhard </w:t>
      </w:r>
      <w:proofErr w:type="spellStart"/>
      <w:r w:rsidRPr="00A008DB">
        <w:t>Dammann</w:t>
      </w:r>
      <w:proofErr w:type="spellEnd"/>
      <w:r w:rsidRPr="00A008DB">
        <w:t xml:space="preserve">, </w:t>
      </w:r>
      <w:r w:rsidR="006D3AED" w:rsidRPr="00A008DB">
        <w:t>‘</w:t>
      </w:r>
      <w:r w:rsidRPr="00A008DB">
        <w:t>The Commission Insolvency Proposal and its Impact on Creditors</w:t>
      </w:r>
      <w:r w:rsidR="006D3AED" w:rsidRPr="00A008DB">
        <w:t>’</w:t>
      </w:r>
      <w:r w:rsidRPr="00A008DB">
        <w:t xml:space="preserve"> Study by the Directorate General for Internal Policies of the Union (European Parliament 2017) available from &lt;http://www.europarl.europa.eu/RegData/etudes/STUD/2017/583155/IPOL_STU(2017)583155_EN.pdf&gt; last accessed 24 January 2019. </w:t>
      </w:r>
    </w:p>
  </w:footnote>
  <w:footnote w:id="158">
    <w:p w14:paraId="3BF097C7" w14:textId="65B5E823"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r w:rsidR="00752FB2" w:rsidRPr="00A008DB">
        <w:rPr>
          <w:rFonts w:cs="Times New Roman"/>
        </w:rPr>
        <w:t>The Proposal, a</w:t>
      </w:r>
      <w:r w:rsidRPr="00A008DB">
        <w:rPr>
          <w:rFonts w:cs="Times New Roman"/>
        </w:rPr>
        <w:t>rt 9</w:t>
      </w:r>
      <w:r w:rsidR="00752FB2" w:rsidRPr="00A008DB">
        <w:rPr>
          <w:rFonts w:cs="Times New Roman"/>
        </w:rPr>
        <w:t>.</w:t>
      </w:r>
    </w:p>
  </w:footnote>
  <w:footnote w:id="159">
    <w:p w14:paraId="50D58FC8" w14:textId="2BF4B723"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r w:rsidR="00752FB2" w:rsidRPr="00A008DB">
        <w:rPr>
          <w:rFonts w:cs="Times New Roman"/>
        </w:rPr>
        <w:t xml:space="preserve">The Proposal, art </w:t>
      </w:r>
      <w:r w:rsidRPr="00A008DB">
        <w:rPr>
          <w:rFonts w:cs="Times New Roman"/>
        </w:rPr>
        <w:t>11.</w:t>
      </w:r>
    </w:p>
  </w:footnote>
  <w:footnote w:id="160">
    <w:p w14:paraId="1B30065C" w14:textId="420C7033"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DG for Internal Policies, Policy Department for Citizens’ Rights and Constitutional Affairs, </w:t>
      </w:r>
      <w:r w:rsidR="00752FB2" w:rsidRPr="00A008DB">
        <w:rPr>
          <w:rFonts w:cs="Times New Roman"/>
        </w:rPr>
        <w:t>‘</w:t>
      </w:r>
      <w:r w:rsidRPr="00A008DB">
        <w:rPr>
          <w:rFonts w:cs="Times New Roman"/>
        </w:rPr>
        <w:t>Study on the Commission Insolvency Proposal and its Impact on the Protection of Creditors</w:t>
      </w:r>
      <w:r w:rsidR="00752FB2" w:rsidRPr="00A008DB">
        <w:rPr>
          <w:rFonts w:cs="Times New Roman"/>
        </w:rPr>
        <w:t>’</w:t>
      </w:r>
      <w:r w:rsidRPr="00A008DB">
        <w:rPr>
          <w:rFonts w:cs="Times New Roman"/>
        </w:rPr>
        <w:t xml:space="preserve">, June 2017, 7. Available at </w:t>
      </w:r>
      <w:r w:rsidR="00752FB2" w:rsidRPr="00A008DB">
        <w:rPr>
          <w:rFonts w:cs="Times New Roman"/>
        </w:rPr>
        <w:t>&lt;</w:t>
      </w:r>
      <w:hyperlink r:id="rId4" w:history="1">
        <w:r w:rsidR="00752FB2" w:rsidRPr="00A008DB">
          <w:rPr>
            <w:rStyle w:val="Hyperlink"/>
            <w:rFonts w:cs="Times New Roman"/>
          </w:rPr>
          <w:t>http://www.europarl.europa.eu/RegData/etudes/STUD/2017/583155/IPOL_STU(2017)583155_EN.pdf</w:t>
        </w:r>
      </w:hyperlink>
      <w:r w:rsidR="00752FB2" w:rsidRPr="00A008DB">
        <w:rPr>
          <w:rFonts w:cs="Times New Roman"/>
        </w:rPr>
        <w:t xml:space="preserve">&gt;, </w:t>
      </w:r>
      <w:r w:rsidRPr="00A008DB">
        <w:rPr>
          <w:rFonts w:cs="Times New Roman"/>
        </w:rPr>
        <w:t xml:space="preserve">accessed 04 January 2018. </w:t>
      </w:r>
    </w:p>
  </w:footnote>
  <w:footnote w:id="161">
    <w:p w14:paraId="50BA1D1B" w14:textId="6186500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r w:rsidR="00752FB2" w:rsidRPr="00A008DB">
        <w:rPr>
          <w:rFonts w:cs="Times New Roman"/>
        </w:rPr>
        <w:t>The Proposal, a</w:t>
      </w:r>
      <w:r w:rsidRPr="00A008DB">
        <w:rPr>
          <w:rFonts w:cs="Times New Roman"/>
        </w:rPr>
        <w:t>rt 5.</w:t>
      </w:r>
    </w:p>
  </w:footnote>
  <w:footnote w:id="162">
    <w:p w14:paraId="5F3C94E9" w14:textId="056221AB"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r w:rsidR="00E95AA3" w:rsidRPr="00A008DB">
        <w:rPr>
          <w:rFonts w:cs="Times New Roman"/>
        </w:rPr>
        <w:t xml:space="preserve">The Proposal, art 6. </w:t>
      </w:r>
    </w:p>
  </w:footnote>
  <w:footnote w:id="163">
    <w:p w14:paraId="0BE77F01" w14:textId="00E8C0DA"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w:t>
      </w:r>
      <w:r w:rsidR="00E95AA3" w:rsidRPr="00A008DB">
        <w:rPr>
          <w:rFonts w:cs="Times New Roman"/>
        </w:rPr>
        <w:t>The Proposal, a</w:t>
      </w:r>
      <w:r w:rsidRPr="00A008DB">
        <w:rPr>
          <w:rFonts w:cs="Times New Roman"/>
        </w:rPr>
        <w:t>rt 16(2).</w:t>
      </w:r>
    </w:p>
  </w:footnote>
  <w:footnote w:id="164">
    <w:p w14:paraId="0807BE83" w14:textId="1AA7AB5E" w:rsidR="002276A3" w:rsidRPr="00A008DB" w:rsidRDefault="002276A3" w:rsidP="00A008DB">
      <w:pPr>
        <w:pStyle w:val="FootnoteText"/>
        <w:jc w:val="both"/>
        <w:rPr>
          <w:rFonts w:cs="Times New Roman"/>
        </w:rPr>
      </w:pPr>
      <w:r w:rsidRPr="00A008DB">
        <w:rPr>
          <w:rStyle w:val="FootnoteReference"/>
          <w:rFonts w:cs="Times New Roman"/>
        </w:rPr>
        <w:footnoteRef/>
      </w:r>
      <w:r w:rsidRPr="00A008DB">
        <w:rPr>
          <w:rFonts w:cs="Times New Roman"/>
        </w:rPr>
        <w:t xml:space="preserve"> For the claw-back/avoidance question</w:t>
      </w:r>
      <w:r w:rsidR="00E95AA3" w:rsidRPr="00A008DB">
        <w:rPr>
          <w:rFonts w:cs="Times New Roman"/>
        </w:rPr>
        <w:t>,</w:t>
      </w:r>
      <w:r w:rsidRPr="00A008DB">
        <w:rPr>
          <w:rFonts w:cs="Times New Roman"/>
        </w:rPr>
        <w:t xml:space="preserve"> see</w:t>
      </w:r>
      <w:r w:rsidR="00E95AA3" w:rsidRPr="00A008DB">
        <w:rPr>
          <w:rFonts w:cs="Times New Roman"/>
        </w:rPr>
        <w:t xml:space="preserve"> the Proposal a</w:t>
      </w:r>
      <w:r w:rsidRPr="00A008DB">
        <w:rPr>
          <w:rFonts w:cs="Times New Roman"/>
        </w:rPr>
        <w:t>rt 16(1) and 17.</w:t>
      </w:r>
    </w:p>
  </w:footnote>
  <w:footnote w:id="165">
    <w:p w14:paraId="45B04B39" w14:textId="07275C03" w:rsidR="002461ED" w:rsidRPr="00A008DB" w:rsidRDefault="002461ED" w:rsidP="00A008DB">
      <w:pPr>
        <w:pStyle w:val="FootnoteText"/>
        <w:jc w:val="both"/>
      </w:pPr>
      <w:r w:rsidRPr="00A008DB">
        <w:rPr>
          <w:rStyle w:val="FootnoteReference"/>
        </w:rPr>
        <w:footnoteRef/>
      </w:r>
      <w:r w:rsidRPr="00A008DB">
        <w:t xml:space="preserve"> James </w:t>
      </w:r>
      <w:proofErr w:type="spellStart"/>
      <w:r w:rsidRPr="00A008DB">
        <w:t>Roome</w:t>
      </w:r>
      <w:proofErr w:type="spellEnd"/>
      <w:r w:rsidRPr="00A008DB">
        <w:t>, Tom Bannister, and Emma Simmonds, ‘Restructuring and Insolvency in the UK (England &amp; Wales): Overview’ (</w:t>
      </w:r>
      <w:r w:rsidR="00A9269A" w:rsidRPr="00A008DB">
        <w:t xml:space="preserve">Practical Law Company, </w:t>
      </w:r>
      <w:r w:rsidRPr="00A008DB">
        <w:t xml:space="preserve">Thompson Reuters 2017) </w:t>
      </w:r>
      <w:r w:rsidR="00A9269A" w:rsidRPr="00A008DB">
        <w:t xml:space="preserve">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1BB"/>
    <w:multiLevelType w:val="hybridMultilevel"/>
    <w:tmpl w:val="D12E5A26"/>
    <w:lvl w:ilvl="0" w:tplc="320C82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593528"/>
    <w:multiLevelType w:val="hybridMultilevel"/>
    <w:tmpl w:val="BBE4C9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3B55A7"/>
    <w:multiLevelType w:val="hybridMultilevel"/>
    <w:tmpl w:val="F2403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D01DB9"/>
    <w:multiLevelType w:val="hybridMultilevel"/>
    <w:tmpl w:val="54CA60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2B0A4A"/>
    <w:multiLevelType w:val="multilevel"/>
    <w:tmpl w:val="E0B2B53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1B652B"/>
    <w:multiLevelType w:val="multilevel"/>
    <w:tmpl w:val="D0D4E076"/>
    <w:lvl w:ilvl="0">
      <w:start w:val="2"/>
      <w:numFmt w:val="decimal"/>
      <w:lvlText w:val="%1."/>
      <w:lvlJc w:val="left"/>
      <w:pPr>
        <w:ind w:left="360" w:hanging="360"/>
      </w:pPr>
      <w:rPr>
        <w:i/>
        <w:strike w:val="0"/>
        <w:dstrike w:val="0"/>
        <w:u w:val="none"/>
        <w:effect w:val="none"/>
      </w:rPr>
    </w:lvl>
    <w:lvl w:ilvl="1">
      <w:start w:val="1"/>
      <w:numFmt w:val="decimal"/>
      <w:lvlText w:val="%1.%2."/>
      <w:lvlJc w:val="left"/>
      <w:pPr>
        <w:ind w:left="360" w:hanging="360"/>
      </w:pPr>
      <w:rPr>
        <w:i/>
        <w:strike w:val="0"/>
        <w:dstrike w:val="0"/>
        <w:u w:val="none"/>
        <w:effect w:val="none"/>
      </w:rPr>
    </w:lvl>
    <w:lvl w:ilvl="2">
      <w:start w:val="1"/>
      <w:numFmt w:val="decimal"/>
      <w:lvlText w:val="%1.%2.%3."/>
      <w:lvlJc w:val="left"/>
      <w:pPr>
        <w:ind w:left="720" w:hanging="720"/>
      </w:pPr>
      <w:rPr>
        <w:i/>
        <w:strike w:val="0"/>
        <w:dstrike w:val="0"/>
        <w:u w:val="none"/>
        <w:effect w:val="none"/>
      </w:rPr>
    </w:lvl>
    <w:lvl w:ilvl="3">
      <w:start w:val="1"/>
      <w:numFmt w:val="decimal"/>
      <w:lvlText w:val="%1.%2.%3.%4."/>
      <w:lvlJc w:val="left"/>
      <w:pPr>
        <w:ind w:left="720" w:hanging="720"/>
      </w:pPr>
      <w:rPr>
        <w:i/>
        <w:strike w:val="0"/>
        <w:dstrike w:val="0"/>
        <w:u w:val="none"/>
        <w:effect w:val="none"/>
      </w:rPr>
    </w:lvl>
    <w:lvl w:ilvl="4">
      <w:start w:val="1"/>
      <w:numFmt w:val="decimal"/>
      <w:lvlText w:val="%1.%2.%3.%4.%5."/>
      <w:lvlJc w:val="left"/>
      <w:pPr>
        <w:ind w:left="1080" w:hanging="1080"/>
      </w:pPr>
      <w:rPr>
        <w:i/>
        <w:strike w:val="0"/>
        <w:dstrike w:val="0"/>
        <w:u w:val="none"/>
        <w:effect w:val="none"/>
      </w:rPr>
    </w:lvl>
    <w:lvl w:ilvl="5">
      <w:start w:val="1"/>
      <w:numFmt w:val="decimal"/>
      <w:lvlText w:val="%1.%2.%3.%4.%5.%6."/>
      <w:lvlJc w:val="left"/>
      <w:pPr>
        <w:ind w:left="1080" w:hanging="1080"/>
      </w:pPr>
      <w:rPr>
        <w:i/>
        <w:strike w:val="0"/>
        <w:dstrike w:val="0"/>
        <w:u w:val="none"/>
        <w:effect w:val="none"/>
      </w:rPr>
    </w:lvl>
    <w:lvl w:ilvl="6">
      <w:start w:val="1"/>
      <w:numFmt w:val="decimal"/>
      <w:lvlText w:val="%1.%2.%3.%4.%5.%6.%7."/>
      <w:lvlJc w:val="left"/>
      <w:pPr>
        <w:ind w:left="1440" w:hanging="1440"/>
      </w:pPr>
      <w:rPr>
        <w:i/>
        <w:strike w:val="0"/>
        <w:dstrike w:val="0"/>
        <w:u w:val="none"/>
        <w:effect w:val="none"/>
      </w:rPr>
    </w:lvl>
    <w:lvl w:ilvl="7">
      <w:start w:val="1"/>
      <w:numFmt w:val="decimal"/>
      <w:lvlText w:val="%1.%2.%3.%4.%5.%6.%7.%8."/>
      <w:lvlJc w:val="left"/>
      <w:pPr>
        <w:ind w:left="1440" w:hanging="1440"/>
      </w:pPr>
      <w:rPr>
        <w:i/>
        <w:strike w:val="0"/>
        <w:dstrike w:val="0"/>
        <w:u w:val="none"/>
        <w:effect w:val="none"/>
      </w:rPr>
    </w:lvl>
    <w:lvl w:ilvl="8">
      <w:start w:val="1"/>
      <w:numFmt w:val="decimal"/>
      <w:lvlText w:val="%1.%2.%3.%4.%5.%6.%7.%8.%9."/>
      <w:lvlJc w:val="left"/>
      <w:pPr>
        <w:ind w:left="1800" w:hanging="1800"/>
      </w:pPr>
      <w:rPr>
        <w:i/>
        <w:strike w:val="0"/>
        <w:dstrike w:val="0"/>
        <w:u w:val="none"/>
        <w:effect w:val="none"/>
      </w:rPr>
    </w:lvl>
  </w:abstractNum>
  <w:abstractNum w:abstractNumId="6" w15:restartNumberingAfterBreak="0">
    <w:nsid w:val="6DF17DFF"/>
    <w:multiLevelType w:val="hybridMultilevel"/>
    <w:tmpl w:val="B69898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253"/>
    <w:rsid w:val="00001C3A"/>
    <w:rsid w:val="00002EF8"/>
    <w:rsid w:val="0000615D"/>
    <w:rsid w:val="00015826"/>
    <w:rsid w:val="00021F45"/>
    <w:rsid w:val="00022CE5"/>
    <w:rsid w:val="00025230"/>
    <w:rsid w:val="000423EA"/>
    <w:rsid w:val="00042E38"/>
    <w:rsid w:val="00050E85"/>
    <w:rsid w:val="00055CD9"/>
    <w:rsid w:val="00063B3B"/>
    <w:rsid w:val="00076314"/>
    <w:rsid w:val="000773AB"/>
    <w:rsid w:val="00085D08"/>
    <w:rsid w:val="000908DD"/>
    <w:rsid w:val="00093C6B"/>
    <w:rsid w:val="00095F98"/>
    <w:rsid w:val="000962F0"/>
    <w:rsid w:val="000B049D"/>
    <w:rsid w:val="000B6195"/>
    <w:rsid w:val="000C6878"/>
    <w:rsid w:val="000D1EEE"/>
    <w:rsid w:val="000E334E"/>
    <w:rsid w:val="001018C1"/>
    <w:rsid w:val="00102F1C"/>
    <w:rsid w:val="00103D73"/>
    <w:rsid w:val="00105B2E"/>
    <w:rsid w:val="0012319B"/>
    <w:rsid w:val="00135751"/>
    <w:rsid w:val="00137CE3"/>
    <w:rsid w:val="00147C43"/>
    <w:rsid w:val="00147DB0"/>
    <w:rsid w:val="00153D6F"/>
    <w:rsid w:val="0017026A"/>
    <w:rsid w:val="00173E3C"/>
    <w:rsid w:val="00183070"/>
    <w:rsid w:val="001858A5"/>
    <w:rsid w:val="001B25D6"/>
    <w:rsid w:val="001C3F10"/>
    <w:rsid w:val="001E20E3"/>
    <w:rsid w:val="001F5049"/>
    <w:rsid w:val="00207F94"/>
    <w:rsid w:val="00210C0D"/>
    <w:rsid w:val="002123ED"/>
    <w:rsid w:val="0021575D"/>
    <w:rsid w:val="00216113"/>
    <w:rsid w:val="00217AE6"/>
    <w:rsid w:val="002276A3"/>
    <w:rsid w:val="0023096D"/>
    <w:rsid w:val="00232722"/>
    <w:rsid w:val="00244BA5"/>
    <w:rsid w:val="002461ED"/>
    <w:rsid w:val="002531FE"/>
    <w:rsid w:val="002659F1"/>
    <w:rsid w:val="002767F7"/>
    <w:rsid w:val="00282F60"/>
    <w:rsid w:val="00293B1C"/>
    <w:rsid w:val="002A19EF"/>
    <w:rsid w:val="002A1B14"/>
    <w:rsid w:val="002A1E3A"/>
    <w:rsid w:val="002A46B6"/>
    <w:rsid w:val="002B2D7F"/>
    <w:rsid w:val="002C6693"/>
    <w:rsid w:val="002D53AC"/>
    <w:rsid w:val="002E045E"/>
    <w:rsid w:val="002E0DD6"/>
    <w:rsid w:val="002F11F7"/>
    <w:rsid w:val="002F3B46"/>
    <w:rsid w:val="00302A0C"/>
    <w:rsid w:val="00304D2F"/>
    <w:rsid w:val="00306DB5"/>
    <w:rsid w:val="00342E5C"/>
    <w:rsid w:val="00351534"/>
    <w:rsid w:val="003637E9"/>
    <w:rsid w:val="00363A66"/>
    <w:rsid w:val="0037760C"/>
    <w:rsid w:val="00377E90"/>
    <w:rsid w:val="00393F99"/>
    <w:rsid w:val="003A2984"/>
    <w:rsid w:val="003D0B9C"/>
    <w:rsid w:val="003E29C1"/>
    <w:rsid w:val="003E33D8"/>
    <w:rsid w:val="003F2333"/>
    <w:rsid w:val="003F6676"/>
    <w:rsid w:val="003F7259"/>
    <w:rsid w:val="0040180B"/>
    <w:rsid w:val="0040239D"/>
    <w:rsid w:val="00410899"/>
    <w:rsid w:val="00411BD6"/>
    <w:rsid w:val="0044204F"/>
    <w:rsid w:val="0048040A"/>
    <w:rsid w:val="00493220"/>
    <w:rsid w:val="004A20FF"/>
    <w:rsid w:val="004B16E1"/>
    <w:rsid w:val="004B2F35"/>
    <w:rsid w:val="004B50F7"/>
    <w:rsid w:val="004B687B"/>
    <w:rsid w:val="004C30E9"/>
    <w:rsid w:val="004D29B3"/>
    <w:rsid w:val="004D4A7F"/>
    <w:rsid w:val="004F03EC"/>
    <w:rsid w:val="00500D93"/>
    <w:rsid w:val="00511BCB"/>
    <w:rsid w:val="0051425E"/>
    <w:rsid w:val="0052374B"/>
    <w:rsid w:val="00531DEA"/>
    <w:rsid w:val="00541B4E"/>
    <w:rsid w:val="00556848"/>
    <w:rsid w:val="0056209E"/>
    <w:rsid w:val="00582B48"/>
    <w:rsid w:val="00583D19"/>
    <w:rsid w:val="005A0973"/>
    <w:rsid w:val="005A6462"/>
    <w:rsid w:val="005B5C62"/>
    <w:rsid w:val="005C05E4"/>
    <w:rsid w:val="005C0CBE"/>
    <w:rsid w:val="005C5B89"/>
    <w:rsid w:val="005D6533"/>
    <w:rsid w:val="005F39D9"/>
    <w:rsid w:val="005F7188"/>
    <w:rsid w:val="00604279"/>
    <w:rsid w:val="00634B63"/>
    <w:rsid w:val="00645193"/>
    <w:rsid w:val="00663E70"/>
    <w:rsid w:val="00674E2E"/>
    <w:rsid w:val="00681DF1"/>
    <w:rsid w:val="00696EA8"/>
    <w:rsid w:val="006B76F8"/>
    <w:rsid w:val="006C3C8A"/>
    <w:rsid w:val="006D3AED"/>
    <w:rsid w:val="006D5BC0"/>
    <w:rsid w:val="006E0E5C"/>
    <w:rsid w:val="006E1043"/>
    <w:rsid w:val="006E6B19"/>
    <w:rsid w:val="00700A2F"/>
    <w:rsid w:val="00711488"/>
    <w:rsid w:val="0071501A"/>
    <w:rsid w:val="007166BB"/>
    <w:rsid w:val="00733B5F"/>
    <w:rsid w:val="00734095"/>
    <w:rsid w:val="00736082"/>
    <w:rsid w:val="00736EE8"/>
    <w:rsid w:val="00741698"/>
    <w:rsid w:val="0074556E"/>
    <w:rsid w:val="007524C2"/>
    <w:rsid w:val="00752FB2"/>
    <w:rsid w:val="0075319F"/>
    <w:rsid w:val="007543A9"/>
    <w:rsid w:val="00755237"/>
    <w:rsid w:val="00757B6A"/>
    <w:rsid w:val="007804A5"/>
    <w:rsid w:val="00790AE1"/>
    <w:rsid w:val="007C67F4"/>
    <w:rsid w:val="007E0AEE"/>
    <w:rsid w:val="007E2DE0"/>
    <w:rsid w:val="007E6392"/>
    <w:rsid w:val="007F0E6E"/>
    <w:rsid w:val="007F403E"/>
    <w:rsid w:val="007F7527"/>
    <w:rsid w:val="008032FB"/>
    <w:rsid w:val="00806F8C"/>
    <w:rsid w:val="00820E9D"/>
    <w:rsid w:val="008263C6"/>
    <w:rsid w:val="00837ED0"/>
    <w:rsid w:val="00841004"/>
    <w:rsid w:val="00854508"/>
    <w:rsid w:val="008716FA"/>
    <w:rsid w:val="008752B3"/>
    <w:rsid w:val="008823CA"/>
    <w:rsid w:val="00892EC3"/>
    <w:rsid w:val="008B5D18"/>
    <w:rsid w:val="008B62AE"/>
    <w:rsid w:val="008B763A"/>
    <w:rsid w:val="008C13AD"/>
    <w:rsid w:val="008C182A"/>
    <w:rsid w:val="008D42CD"/>
    <w:rsid w:val="008F2FE7"/>
    <w:rsid w:val="0090484C"/>
    <w:rsid w:val="00910614"/>
    <w:rsid w:val="00931793"/>
    <w:rsid w:val="00932584"/>
    <w:rsid w:val="00934C83"/>
    <w:rsid w:val="00937163"/>
    <w:rsid w:val="009454C4"/>
    <w:rsid w:val="00946D3E"/>
    <w:rsid w:val="0095295B"/>
    <w:rsid w:val="00961B37"/>
    <w:rsid w:val="0097429B"/>
    <w:rsid w:val="00975EB9"/>
    <w:rsid w:val="00975F01"/>
    <w:rsid w:val="009875FA"/>
    <w:rsid w:val="00987754"/>
    <w:rsid w:val="009902D0"/>
    <w:rsid w:val="009906A5"/>
    <w:rsid w:val="009B185B"/>
    <w:rsid w:val="009C3E6D"/>
    <w:rsid w:val="009C5B5E"/>
    <w:rsid w:val="009C7530"/>
    <w:rsid w:val="009D4A98"/>
    <w:rsid w:val="009D541C"/>
    <w:rsid w:val="009D71F0"/>
    <w:rsid w:val="009E08F6"/>
    <w:rsid w:val="009E0B48"/>
    <w:rsid w:val="00A008DB"/>
    <w:rsid w:val="00A06C5E"/>
    <w:rsid w:val="00A14678"/>
    <w:rsid w:val="00A26A40"/>
    <w:rsid w:val="00A27CB6"/>
    <w:rsid w:val="00A30B66"/>
    <w:rsid w:val="00A310A6"/>
    <w:rsid w:val="00A37160"/>
    <w:rsid w:val="00A525BE"/>
    <w:rsid w:val="00A601B5"/>
    <w:rsid w:val="00A63C98"/>
    <w:rsid w:val="00A6424B"/>
    <w:rsid w:val="00A66860"/>
    <w:rsid w:val="00A71FA8"/>
    <w:rsid w:val="00A8372F"/>
    <w:rsid w:val="00A86CD0"/>
    <w:rsid w:val="00A9269A"/>
    <w:rsid w:val="00A96655"/>
    <w:rsid w:val="00AA219C"/>
    <w:rsid w:val="00AA2F39"/>
    <w:rsid w:val="00AA476F"/>
    <w:rsid w:val="00AA5360"/>
    <w:rsid w:val="00AB5C0F"/>
    <w:rsid w:val="00AC2C56"/>
    <w:rsid w:val="00AC5675"/>
    <w:rsid w:val="00AD0A93"/>
    <w:rsid w:val="00AD5224"/>
    <w:rsid w:val="00B0104E"/>
    <w:rsid w:val="00B02889"/>
    <w:rsid w:val="00B04DAE"/>
    <w:rsid w:val="00B13ABE"/>
    <w:rsid w:val="00B179F3"/>
    <w:rsid w:val="00B31D3B"/>
    <w:rsid w:val="00B428BD"/>
    <w:rsid w:val="00B47AB0"/>
    <w:rsid w:val="00B5371D"/>
    <w:rsid w:val="00B56716"/>
    <w:rsid w:val="00B63ECA"/>
    <w:rsid w:val="00B6733C"/>
    <w:rsid w:val="00B71786"/>
    <w:rsid w:val="00B71C18"/>
    <w:rsid w:val="00B72578"/>
    <w:rsid w:val="00B746A1"/>
    <w:rsid w:val="00B9439C"/>
    <w:rsid w:val="00B96978"/>
    <w:rsid w:val="00B96AF6"/>
    <w:rsid w:val="00BA5507"/>
    <w:rsid w:val="00BB6AB6"/>
    <w:rsid w:val="00BB742D"/>
    <w:rsid w:val="00BC296E"/>
    <w:rsid w:val="00BD1F3B"/>
    <w:rsid w:val="00BD5688"/>
    <w:rsid w:val="00BD57C1"/>
    <w:rsid w:val="00BE5CBA"/>
    <w:rsid w:val="00C11E45"/>
    <w:rsid w:val="00C3166A"/>
    <w:rsid w:val="00C40BE3"/>
    <w:rsid w:val="00C41CF4"/>
    <w:rsid w:val="00C5076F"/>
    <w:rsid w:val="00C6306C"/>
    <w:rsid w:val="00C76724"/>
    <w:rsid w:val="00C80B03"/>
    <w:rsid w:val="00C82A8F"/>
    <w:rsid w:val="00C9333E"/>
    <w:rsid w:val="00C93B77"/>
    <w:rsid w:val="00C9739F"/>
    <w:rsid w:val="00CA3253"/>
    <w:rsid w:val="00CB374F"/>
    <w:rsid w:val="00CC0638"/>
    <w:rsid w:val="00CC1958"/>
    <w:rsid w:val="00CC2DB7"/>
    <w:rsid w:val="00CC4823"/>
    <w:rsid w:val="00CC6E1A"/>
    <w:rsid w:val="00CC7D85"/>
    <w:rsid w:val="00CD0140"/>
    <w:rsid w:val="00CD690D"/>
    <w:rsid w:val="00CE596C"/>
    <w:rsid w:val="00CE787C"/>
    <w:rsid w:val="00D055B5"/>
    <w:rsid w:val="00D15311"/>
    <w:rsid w:val="00D22521"/>
    <w:rsid w:val="00D259CA"/>
    <w:rsid w:val="00D30FF1"/>
    <w:rsid w:val="00D3194C"/>
    <w:rsid w:val="00D35BA7"/>
    <w:rsid w:val="00D45975"/>
    <w:rsid w:val="00D50C64"/>
    <w:rsid w:val="00D53A07"/>
    <w:rsid w:val="00D53E93"/>
    <w:rsid w:val="00D66664"/>
    <w:rsid w:val="00D775A0"/>
    <w:rsid w:val="00D87384"/>
    <w:rsid w:val="00D90146"/>
    <w:rsid w:val="00D903FA"/>
    <w:rsid w:val="00D9287D"/>
    <w:rsid w:val="00DD2AE0"/>
    <w:rsid w:val="00DE7DC0"/>
    <w:rsid w:val="00DF7033"/>
    <w:rsid w:val="00E30D1F"/>
    <w:rsid w:val="00E36B9F"/>
    <w:rsid w:val="00E4165A"/>
    <w:rsid w:val="00E425AC"/>
    <w:rsid w:val="00E45DD7"/>
    <w:rsid w:val="00E51BA9"/>
    <w:rsid w:val="00E63CCD"/>
    <w:rsid w:val="00E70753"/>
    <w:rsid w:val="00E717DB"/>
    <w:rsid w:val="00E74DB7"/>
    <w:rsid w:val="00E770F8"/>
    <w:rsid w:val="00E90933"/>
    <w:rsid w:val="00E93D47"/>
    <w:rsid w:val="00E95AA3"/>
    <w:rsid w:val="00E96D39"/>
    <w:rsid w:val="00EA316D"/>
    <w:rsid w:val="00EA5531"/>
    <w:rsid w:val="00EB6073"/>
    <w:rsid w:val="00EC74FC"/>
    <w:rsid w:val="00ED222C"/>
    <w:rsid w:val="00ED6F5A"/>
    <w:rsid w:val="00ED7DCD"/>
    <w:rsid w:val="00EE7D04"/>
    <w:rsid w:val="00F04954"/>
    <w:rsid w:val="00F063FB"/>
    <w:rsid w:val="00F10FA5"/>
    <w:rsid w:val="00F12C2A"/>
    <w:rsid w:val="00F143B4"/>
    <w:rsid w:val="00F41D2B"/>
    <w:rsid w:val="00F42C7A"/>
    <w:rsid w:val="00F52F85"/>
    <w:rsid w:val="00F636CB"/>
    <w:rsid w:val="00F64B4D"/>
    <w:rsid w:val="00F86CDD"/>
    <w:rsid w:val="00F875CC"/>
    <w:rsid w:val="00F908F7"/>
    <w:rsid w:val="00F91CE5"/>
    <w:rsid w:val="00F93189"/>
    <w:rsid w:val="00F964CB"/>
    <w:rsid w:val="00FA1FC7"/>
    <w:rsid w:val="00FC6036"/>
    <w:rsid w:val="00FE38CE"/>
    <w:rsid w:val="00FF3834"/>
    <w:rsid w:val="00FF4098"/>
    <w:rsid w:val="00FF54CD"/>
    <w:rsid w:val="2683FA85"/>
    <w:rsid w:val="35B6F04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5BC5F"/>
  <w14:defaultImageDpi w14:val="32767"/>
  <w15:docId w15:val="{B67621A5-71E9-4C1F-A68A-C2B24D6E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92EC3"/>
    <w:pPr>
      <w:keepNext/>
      <w:keepLines/>
      <w:numPr>
        <w:numId w:val="2"/>
      </w:numPr>
      <w:spacing w:before="240" w:line="360" w:lineRule="auto"/>
      <w:ind w:left="360" w:hanging="36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4B68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EC3"/>
    <w:rPr>
      <w:rFonts w:ascii="Times New Roman" w:eastAsiaTheme="majorEastAsia" w:hAnsi="Times New Roman" w:cstheme="majorBidi"/>
      <w:b/>
      <w:color w:val="000000" w:themeColor="text1"/>
      <w:szCs w:val="32"/>
    </w:rPr>
  </w:style>
  <w:style w:type="character" w:styleId="CommentReference">
    <w:name w:val="annotation reference"/>
    <w:basedOn w:val="DefaultParagraphFont"/>
    <w:uiPriority w:val="99"/>
    <w:semiHidden/>
    <w:unhideWhenUsed/>
    <w:rsid w:val="00AA476F"/>
    <w:rPr>
      <w:sz w:val="16"/>
      <w:szCs w:val="16"/>
    </w:rPr>
  </w:style>
  <w:style w:type="paragraph" w:styleId="CommentText">
    <w:name w:val="annotation text"/>
    <w:basedOn w:val="Normal"/>
    <w:link w:val="CommentTextChar"/>
    <w:uiPriority w:val="99"/>
    <w:unhideWhenUsed/>
    <w:rsid w:val="00AA476F"/>
    <w:rPr>
      <w:sz w:val="20"/>
      <w:szCs w:val="20"/>
    </w:rPr>
  </w:style>
  <w:style w:type="character" w:customStyle="1" w:styleId="CommentTextChar">
    <w:name w:val="Comment Text Char"/>
    <w:basedOn w:val="DefaultParagraphFont"/>
    <w:link w:val="CommentText"/>
    <w:uiPriority w:val="99"/>
    <w:rsid w:val="00AA476F"/>
    <w:rPr>
      <w:sz w:val="20"/>
      <w:szCs w:val="20"/>
    </w:rPr>
  </w:style>
  <w:style w:type="paragraph" w:styleId="CommentSubject">
    <w:name w:val="annotation subject"/>
    <w:basedOn w:val="CommentText"/>
    <w:next w:val="CommentText"/>
    <w:link w:val="CommentSubjectChar"/>
    <w:uiPriority w:val="99"/>
    <w:semiHidden/>
    <w:unhideWhenUsed/>
    <w:rsid w:val="00AA476F"/>
    <w:rPr>
      <w:b/>
      <w:bCs/>
    </w:rPr>
  </w:style>
  <w:style w:type="character" w:customStyle="1" w:styleId="CommentSubjectChar">
    <w:name w:val="Comment Subject Char"/>
    <w:basedOn w:val="CommentTextChar"/>
    <w:link w:val="CommentSubject"/>
    <w:uiPriority w:val="99"/>
    <w:semiHidden/>
    <w:rsid w:val="00AA476F"/>
    <w:rPr>
      <w:b/>
      <w:bCs/>
      <w:sz w:val="20"/>
      <w:szCs w:val="20"/>
    </w:rPr>
  </w:style>
  <w:style w:type="paragraph" w:styleId="BalloonText">
    <w:name w:val="Balloon Text"/>
    <w:basedOn w:val="Normal"/>
    <w:link w:val="BalloonTextChar"/>
    <w:uiPriority w:val="99"/>
    <w:semiHidden/>
    <w:unhideWhenUsed/>
    <w:rsid w:val="00AA476F"/>
    <w:rPr>
      <w:rFonts w:ascii="Tahoma" w:hAnsi="Tahoma" w:cs="Tahoma"/>
      <w:sz w:val="16"/>
      <w:szCs w:val="16"/>
    </w:rPr>
  </w:style>
  <w:style w:type="character" w:customStyle="1" w:styleId="BalloonTextChar">
    <w:name w:val="Balloon Text Char"/>
    <w:basedOn w:val="DefaultParagraphFont"/>
    <w:link w:val="BalloonText"/>
    <w:uiPriority w:val="99"/>
    <w:semiHidden/>
    <w:rsid w:val="00AA476F"/>
    <w:rPr>
      <w:rFonts w:ascii="Tahoma" w:hAnsi="Tahoma" w:cs="Tahoma"/>
      <w:sz w:val="16"/>
      <w:szCs w:val="16"/>
    </w:rPr>
  </w:style>
  <w:style w:type="paragraph" w:styleId="ListParagraph">
    <w:name w:val="List Paragraph"/>
    <w:basedOn w:val="Normal"/>
    <w:uiPriority w:val="34"/>
    <w:qFormat/>
    <w:rsid w:val="0044204F"/>
    <w:pPr>
      <w:ind w:left="720"/>
      <w:contextualSpacing/>
    </w:pPr>
  </w:style>
  <w:style w:type="paragraph" w:styleId="FootnoteText">
    <w:name w:val="footnote text"/>
    <w:basedOn w:val="Normal"/>
    <w:link w:val="FootnoteTextChar"/>
    <w:uiPriority w:val="99"/>
    <w:unhideWhenUsed/>
    <w:rsid w:val="00E770F8"/>
    <w:rPr>
      <w:sz w:val="20"/>
      <w:szCs w:val="20"/>
    </w:rPr>
  </w:style>
  <w:style w:type="character" w:customStyle="1" w:styleId="FootnoteTextChar">
    <w:name w:val="Footnote Text Char"/>
    <w:basedOn w:val="DefaultParagraphFont"/>
    <w:link w:val="FootnoteText"/>
    <w:uiPriority w:val="99"/>
    <w:rsid w:val="00E770F8"/>
    <w:rPr>
      <w:sz w:val="20"/>
      <w:szCs w:val="20"/>
    </w:rPr>
  </w:style>
  <w:style w:type="character" w:styleId="FootnoteReference">
    <w:name w:val="footnote reference"/>
    <w:aliases w:val="Ref,de nota al pie"/>
    <w:basedOn w:val="DefaultParagraphFont"/>
    <w:uiPriority w:val="99"/>
    <w:unhideWhenUsed/>
    <w:rsid w:val="00E770F8"/>
    <w:rPr>
      <w:vertAlign w:val="superscript"/>
    </w:rPr>
  </w:style>
  <w:style w:type="paragraph" w:customStyle="1" w:styleId="p1">
    <w:name w:val="p1"/>
    <w:basedOn w:val="Normal"/>
    <w:rsid w:val="006E6B19"/>
    <w:rPr>
      <w:rFonts w:ascii="Helvetica" w:hAnsi="Helvetica" w:cs="Times New Roman"/>
      <w:sz w:val="14"/>
      <w:szCs w:val="14"/>
      <w:lang w:eastAsia="de-DE"/>
    </w:rPr>
  </w:style>
  <w:style w:type="paragraph" w:styleId="BodyText2">
    <w:name w:val="Body Text 2"/>
    <w:basedOn w:val="Normal"/>
    <w:link w:val="BodyText2Char"/>
    <w:semiHidden/>
    <w:rsid w:val="006E6B19"/>
    <w:rPr>
      <w:rFonts w:ascii="Palatino Linotype" w:eastAsia="Times New Roman" w:hAnsi="Palatino Linotype" w:cs="Times New Roman"/>
      <w:color w:val="FF0000"/>
      <w:lang w:val="nl-NL" w:eastAsia="nl-NL"/>
    </w:rPr>
  </w:style>
  <w:style w:type="character" w:customStyle="1" w:styleId="BodyText2Char">
    <w:name w:val="Body Text 2 Char"/>
    <w:basedOn w:val="DefaultParagraphFont"/>
    <w:link w:val="BodyText2"/>
    <w:semiHidden/>
    <w:rsid w:val="006E6B19"/>
    <w:rPr>
      <w:rFonts w:ascii="Palatino Linotype" w:eastAsia="Times New Roman" w:hAnsi="Palatino Linotype" w:cs="Times New Roman"/>
      <w:color w:val="FF0000"/>
      <w:lang w:val="nl-NL" w:eastAsia="nl-NL"/>
    </w:rPr>
  </w:style>
  <w:style w:type="character" w:styleId="Hyperlink">
    <w:name w:val="Hyperlink"/>
    <w:basedOn w:val="DefaultParagraphFont"/>
    <w:uiPriority w:val="99"/>
    <w:unhideWhenUsed/>
    <w:rsid w:val="006E6B19"/>
    <w:rPr>
      <w:color w:val="0563C1" w:themeColor="hyperlink"/>
      <w:u w:val="single"/>
    </w:rPr>
  </w:style>
  <w:style w:type="paragraph" w:customStyle="1" w:styleId="m-819842850958709886gmail-msocommenttext">
    <w:name w:val="m_-819842850958709886gmail-msocommenttext"/>
    <w:basedOn w:val="Normal"/>
    <w:rsid w:val="009875FA"/>
    <w:pPr>
      <w:spacing w:before="100" w:beforeAutospacing="1" w:after="100" w:afterAutospacing="1"/>
    </w:pPr>
    <w:rPr>
      <w:rFonts w:eastAsia="Times New Roman" w:cs="Times New Roman"/>
      <w:lang w:eastAsia="en-GB"/>
    </w:rPr>
  </w:style>
  <w:style w:type="character" w:styleId="FollowedHyperlink">
    <w:name w:val="FollowedHyperlink"/>
    <w:basedOn w:val="DefaultParagraphFont"/>
    <w:uiPriority w:val="99"/>
    <w:semiHidden/>
    <w:unhideWhenUsed/>
    <w:rsid w:val="008B5D18"/>
    <w:rPr>
      <w:color w:val="954F72" w:themeColor="followedHyperlink"/>
      <w:u w:val="single"/>
    </w:rPr>
  </w:style>
  <w:style w:type="character" w:customStyle="1" w:styleId="wknlnoota">
    <w:name w:val="wknl_noot_a"/>
    <w:basedOn w:val="DefaultParagraphFont"/>
    <w:rsid w:val="003E33D8"/>
  </w:style>
  <w:style w:type="character" w:customStyle="1" w:styleId="bold">
    <w:name w:val="bold"/>
    <w:basedOn w:val="DefaultParagraphFont"/>
    <w:rsid w:val="00975EB9"/>
  </w:style>
  <w:style w:type="character" w:customStyle="1" w:styleId="Heading2Char">
    <w:name w:val="Heading 2 Char"/>
    <w:basedOn w:val="DefaultParagraphFont"/>
    <w:link w:val="Heading2"/>
    <w:uiPriority w:val="9"/>
    <w:semiHidden/>
    <w:rsid w:val="004B687B"/>
    <w:rPr>
      <w:rFonts w:asciiTheme="majorHAnsi" w:eastAsiaTheme="majorEastAsia" w:hAnsiTheme="majorHAnsi" w:cstheme="majorBidi"/>
      <w:color w:val="2F5496" w:themeColor="accent1" w:themeShade="BF"/>
      <w:sz w:val="26"/>
      <w:szCs w:val="26"/>
      <w:lang w:val="en-GB"/>
    </w:rPr>
  </w:style>
  <w:style w:type="character" w:customStyle="1" w:styleId="UnresolvedMention1">
    <w:name w:val="Unresolved Mention1"/>
    <w:basedOn w:val="DefaultParagraphFont"/>
    <w:uiPriority w:val="99"/>
    <w:semiHidden/>
    <w:unhideWhenUsed/>
    <w:rsid w:val="004B687B"/>
    <w:rPr>
      <w:color w:val="605E5C"/>
      <w:shd w:val="clear" w:color="auto" w:fill="E1DFDD"/>
    </w:rPr>
  </w:style>
  <w:style w:type="character" w:customStyle="1" w:styleId="UnresolvedMention2">
    <w:name w:val="Unresolved Mention2"/>
    <w:basedOn w:val="DefaultParagraphFont"/>
    <w:uiPriority w:val="99"/>
    <w:rsid w:val="009E0B48"/>
    <w:rPr>
      <w:color w:val="605E5C"/>
      <w:shd w:val="clear" w:color="auto" w:fill="E1DFDD"/>
    </w:rPr>
  </w:style>
  <w:style w:type="paragraph" w:styleId="Header">
    <w:name w:val="header"/>
    <w:basedOn w:val="Normal"/>
    <w:link w:val="HeaderChar"/>
    <w:uiPriority w:val="99"/>
    <w:unhideWhenUsed/>
    <w:rsid w:val="00D53E93"/>
    <w:pPr>
      <w:tabs>
        <w:tab w:val="center" w:pos="4536"/>
        <w:tab w:val="right" w:pos="9072"/>
      </w:tabs>
    </w:pPr>
  </w:style>
  <w:style w:type="character" w:customStyle="1" w:styleId="HeaderChar">
    <w:name w:val="Header Char"/>
    <w:basedOn w:val="DefaultParagraphFont"/>
    <w:link w:val="Header"/>
    <w:uiPriority w:val="99"/>
    <w:rsid w:val="00D53E93"/>
    <w:rPr>
      <w:lang w:val="en-GB"/>
    </w:rPr>
  </w:style>
  <w:style w:type="paragraph" w:styleId="Footer">
    <w:name w:val="footer"/>
    <w:basedOn w:val="Normal"/>
    <w:link w:val="FooterChar"/>
    <w:uiPriority w:val="99"/>
    <w:unhideWhenUsed/>
    <w:rsid w:val="00D53E93"/>
    <w:pPr>
      <w:tabs>
        <w:tab w:val="center" w:pos="4536"/>
        <w:tab w:val="right" w:pos="9072"/>
      </w:tabs>
    </w:pPr>
  </w:style>
  <w:style w:type="character" w:customStyle="1" w:styleId="FooterChar">
    <w:name w:val="Footer Char"/>
    <w:basedOn w:val="DefaultParagraphFont"/>
    <w:link w:val="Footer"/>
    <w:uiPriority w:val="99"/>
    <w:rsid w:val="00D53E93"/>
    <w:rPr>
      <w:lang w:val="en-GB"/>
    </w:rPr>
  </w:style>
  <w:style w:type="character" w:customStyle="1" w:styleId="UnresolvedMention3">
    <w:name w:val="Unresolved Mention3"/>
    <w:basedOn w:val="DefaultParagraphFont"/>
    <w:uiPriority w:val="99"/>
    <w:semiHidden/>
    <w:unhideWhenUsed/>
    <w:rsid w:val="0075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248">
      <w:bodyDiv w:val="1"/>
      <w:marLeft w:val="0"/>
      <w:marRight w:val="0"/>
      <w:marTop w:val="0"/>
      <w:marBottom w:val="0"/>
      <w:divBdr>
        <w:top w:val="none" w:sz="0" w:space="0" w:color="auto"/>
        <w:left w:val="none" w:sz="0" w:space="0" w:color="auto"/>
        <w:bottom w:val="none" w:sz="0" w:space="0" w:color="auto"/>
        <w:right w:val="none" w:sz="0" w:space="0" w:color="auto"/>
      </w:divBdr>
    </w:div>
    <w:div w:id="788164531">
      <w:bodyDiv w:val="1"/>
      <w:marLeft w:val="0"/>
      <w:marRight w:val="0"/>
      <w:marTop w:val="0"/>
      <w:marBottom w:val="0"/>
      <w:divBdr>
        <w:top w:val="none" w:sz="0" w:space="0" w:color="auto"/>
        <w:left w:val="none" w:sz="0" w:space="0" w:color="auto"/>
        <w:bottom w:val="none" w:sz="0" w:space="0" w:color="auto"/>
        <w:right w:val="none" w:sz="0" w:space="0" w:color="auto"/>
      </w:divBdr>
    </w:div>
    <w:div w:id="1042484218">
      <w:bodyDiv w:val="1"/>
      <w:marLeft w:val="0"/>
      <w:marRight w:val="0"/>
      <w:marTop w:val="0"/>
      <w:marBottom w:val="0"/>
      <w:divBdr>
        <w:top w:val="none" w:sz="0" w:space="0" w:color="auto"/>
        <w:left w:val="none" w:sz="0" w:space="0" w:color="auto"/>
        <w:bottom w:val="none" w:sz="0" w:space="0" w:color="auto"/>
        <w:right w:val="none" w:sz="0" w:space="0" w:color="auto"/>
      </w:divBdr>
    </w:div>
    <w:div w:id="1153368971">
      <w:bodyDiv w:val="1"/>
      <w:marLeft w:val="0"/>
      <w:marRight w:val="0"/>
      <w:marTop w:val="0"/>
      <w:marBottom w:val="0"/>
      <w:divBdr>
        <w:top w:val="none" w:sz="0" w:space="0" w:color="auto"/>
        <w:left w:val="none" w:sz="0" w:space="0" w:color="auto"/>
        <w:bottom w:val="none" w:sz="0" w:space="0" w:color="auto"/>
        <w:right w:val="none" w:sz="0" w:space="0" w:color="auto"/>
      </w:divBdr>
    </w:div>
    <w:div w:id="1623271281">
      <w:bodyDiv w:val="1"/>
      <w:marLeft w:val="0"/>
      <w:marRight w:val="0"/>
      <w:marTop w:val="0"/>
      <w:marBottom w:val="0"/>
      <w:divBdr>
        <w:top w:val="none" w:sz="0" w:space="0" w:color="auto"/>
        <w:left w:val="none" w:sz="0" w:space="0" w:color="auto"/>
        <w:bottom w:val="none" w:sz="0" w:space="0" w:color="auto"/>
        <w:right w:val="none" w:sz="0" w:space="0" w:color="auto"/>
      </w:divBdr>
    </w:div>
    <w:div w:id="1728071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eril.eu/publications/ceril-report-2018-2-on-cross-border-restructuring-and-insolvency-post-brexit/" TargetMode="External"/><Relationship Id="rId2" Type="http://schemas.openxmlformats.org/officeDocument/2006/relationships/hyperlink" Target="https://ec.europa.eu/info/sites/info/files/insolvency_study_2016_final_en.pdf" TargetMode="External"/><Relationship Id="rId1" Type="http://schemas.openxmlformats.org/officeDocument/2006/relationships/hyperlink" Target="http://www.doingbusiness.org/en/reports/global-reports/doing-business-2019" TargetMode="External"/><Relationship Id="rId4" Type="http://schemas.openxmlformats.org/officeDocument/2006/relationships/hyperlink" Target="http://www.europarl.europa.eu/RegData/etudes/STUD/2017/583155/IPOL_STU(2017)583155_EN.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F114E-5AAB-4AFF-B251-927EFC07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11089</Words>
  <Characters>63213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Ehmke</dc:creator>
  <cp:lastModifiedBy>Jennifer Gant</cp:lastModifiedBy>
  <cp:revision>6</cp:revision>
  <dcterms:created xsi:type="dcterms:W3CDTF">2019-01-31T21:55:00Z</dcterms:created>
  <dcterms:modified xsi:type="dcterms:W3CDTF">2019-01-31T22:08:00Z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http://www.zotero.org/styles/insolvency-law-journal</vt:lpwstr>
  </property>
  <property fmtid="{D5CDD505-2E9C-101B-9397-08002B2CF9AE}" pid="11" name="Mendeley Recent Style Name 4_1">
    <vt:lpwstr>Insolvency Law Journal</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http://www.zotero.org/styles/oscola</vt:lpwstr>
  </property>
  <property fmtid="{D5CDD505-2E9C-101B-9397-08002B2CF9AE}" pid="19" name="Mendeley Recent Style Name 8_1">
    <vt:lpwstr>OSCOLA (Oxford University Standard for Citation of Legal Authorities)</vt:lpwstr>
  </property>
  <property fmtid="{D5CDD505-2E9C-101B-9397-08002B2CF9AE}" pid="20" name="Mendeley Recent Style Id 9_1">
    <vt:lpwstr>http://www.zotero.org/styles/oscola-no-ibid</vt:lpwstr>
  </property>
  <property fmtid="{D5CDD505-2E9C-101B-9397-08002B2CF9AE}" pid="21" name="Mendeley Recent Style Name 9_1">
    <vt:lpwstr>OSCOLA (Oxford University Standard for Citation of Legal Authorities) (no Ibid.)</vt:lpwstr>
  </property>
</Properties>
</file>