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13178" w14:textId="77777777" w:rsidR="00014D3A" w:rsidRPr="00143DB3" w:rsidRDefault="00014D3A">
      <w:pPr>
        <w:rPr>
          <w:b/>
        </w:rPr>
      </w:pPr>
      <w:r w:rsidRPr="00143DB3">
        <w:rPr>
          <w:b/>
        </w:rPr>
        <w:t>The Whole Class Ensemble Tuition programme in English Schools</w:t>
      </w:r>
      <w:r>
        <w:rPr>
          <w:b/>
        </w:rPr>
        <w:t xml:space="preserve"> – a Brief I</w:t>
      </w:r>
      <w:r w:rsidRPr="00143DB3">
        <w:rPr>
          <w:b/>
        </w:rPr>
        <w:t xml:space="preserve">ntroduction. </w:t>
      </w:r>
    </w:p>
    <w:p w14:paraId="0E037EEC" w14:textId="77777777" w:rsidR="00014D3A" w:rsidRPr="00143DB3" w:rsidRDefault="00014D3A"/>
    <w:p w14:paraId="3728CB4C" w14:textId="77777777" w:rsidR="00014D3A" w:rsidRPr="00143DB3" w:rsidRDefault="00014D3A">
      <w:r w:rsidRPr="00143DB3">
        <w:t>Martin Fautley</w:t>
      </w:r>
    </w:p>
    <w:p w14:paraId="330BF8DA" w14:textId="77777777" w:rsidR="00014D3A" w:rsidRPr="00143DB3" w:rsidRDefault="00014D3A">
      <w:r w:rsidRPr="00143DB3">
        <w:t>Alison Daubney</w:t>
      </w:r>
    </w:p>
    <w:p w14:paraId="6D569FA8" w14:textId="77777777" w:rsidR="00014D3A" w:rsidRPr="00143DB3" w:rsidRDefault="00014D3A"/>
    <w:p w14:paraId="2F37CF6B" w14:textId="77777777" w:rsidR="00014D3A" w:rsidRDefault="00014D3A">
      <w:r>
        <w:t xml:space="preserve">The whole class ensemble tuition (WCET) programme in English schools is a somewhat singular and relatively recent arrival onto the teaching and learning scene. It arose from a remark made by an English politician, and has grown from there into becoming a regular feature in the music education landscape in primary schools. It has elements which will be familiar to music educators in many parts of the world, whilst having some aspects which are unique to the English context. In order to place the WCET programme into perspective, this paper outlines the policy context which gave rise to it, and explains what it involves, and how it is operationalised in schools. </w:t>
      </w:r>
    </w:p>
    <w:p w14:paraId="0B1CF831" w14:textId="77777777" w:rsidR="00014D3A" w:rsidRDefault="00014D3A"/>
    <w:p w14:paraId="716A2BBE" w14:textId="77777777" w:rsidR="00014D3A" w:rsidRPr="005F6EB9" w:rsidRDefault="00014D3A" w:rsidP="00FD0C32">
      <w:pPr>
        <w:rPr>
          <w:b/>
        </w:rPr>
      </w:pPr>
      <w:r>
        <w:rPr>
          <w:b/>
        </w:rPr>
        <w:t>Background to WCET</w:t>
      </w:r>
    </w:p>
    <w:p w14:paraId="111CFDDB" w14:textId="77777777" w:rsidR="00014D3A" w:rsidRPr="00143DB3" w:rsidRDefault="00014D3A" w:rsidP="00FD0C32">
      <w:r>
        <w:t>I</w:t>
      </w:r>
      <w:r w:rsidRPr="00143DB3">
        <w:t xml:space="preserve">n a Governmental White Paper published in 2001, David Blunkett, the then Secretary of State for Education, said: “Over time, all primary pupils who want to will be able to learn a musical instrument” </w:t>
      </w:r>
      <w:r w:rsidRPr="00143DB3">
        <w:rPr>
          <w:noProof/>
        </w:rPr>
        <w:t>(DfES, 2001 p.12)</w:t>
      </w:r>
      <w:r w:rsidRPr="00143DB3">
        <w:t xml:space="preserve">. The first stage in </w:t>
      </w:r>
      <w:r>
        <w:t>putting this statement into practice</w:t>
      </w:r>
      <w:r w:rsidRPr="00143DB3">
        <w:t xml:space="preserve"> was to establ</w:t>
      </w:r>
      <w:r>
        <w:t>ish a national working party</w:t>
      </w:r>
      <w:r w:rsidRPr="00143DB3">
        <w:t xml:space="preserve"> to formulate plans for how the statement </w:t>
      </w:r>
      <w:r>
        <w:t>from</w:t>
      </w:r>
      <w:r w:rsidRPr="00143DB3">
        <w:t xml:space="preserve"> the white paper could be operationalised in schools. This included involvement from, amongst others, the Qualifications and Curriculum Authority (QCA – since disbanded), and the </w:t>
      </w:r>
      <w:r>
        <w:t xml:space="preserve">English schools’ inspectorate, the </w:t>
      </w:r>
      <w:r w:rsidRPr="00143DB3">
        <w:t xml:space="preserve">Office for Standards in Education (Ofsted). The </w:t>
      </w:r>
      <w:r>
        <w:t xml:space="preserve">first iteration of this work </w:t>
      </w:r>
      <w:r w:rsidRPr="00143DB3">
        <w:t xml:space="preserve">came to be known as </w:t>
      </w:r>
      <w:r>
        <w:t xml:space="preserve">the </w:t>
      </w:r>
      <w:r w:rsidRPr="00143DB3">
        <w:rPr>
          <w:i/>
        </w:rPr>
        <w:t>Wider Opportunities</w:t>
      </w:r>
      <w:r>
        <w:rPr>
          <w:i/>
        </w:rPr>
        <w:t xml:space="preserve"> </w:t>
      </w:r>
      <w:r>
        <w:t>programme</w:t>
      </w:r>
      <w:r w:rsidRPr="00143DB3">
        <w:rPr>
          <w:i/>
        </w:rPr>
        <w:t xml:space="preserve">. </w:t>
      </w:r>
      <w:r w:rsidRPr="00143DB3">
        <w:t>Following this work, thirteen Wider Opportunities projects were established in a pilot programme, funded by the Department for Education and Skills (DfES) and the Natio</w:t>
      </w:r>
      <w:r>
        <w:t>nal Foundation for Youth Music</w:t>
      </w:r>
      <w:r>
        <w:rPr>
          <w:i/>
        </w:rPr>
        <w:t>,</w:t>
      </w:r>
      <w:r w:rsidRPr="00143DB3">
        <w:t xml:space="preserve"> a charitable body distributing funding from a recurring annual gran</w:t>
      </w:r>
      <w:r>
        <w:t>t which they receive from, amongst other sources, the National Lottery</w:t>
      </w:r>
      <w:r w:rsidRPr="00143DB3">
        <w:t>. This pilot programme operated during the academic year 2002/0</w:t>
      </w:r>
      <w:r>
        <w:t>3,</w:t>
      </w:r>
      <w:r w:rsidRPr="00143DB3">
        <w:t xml:space="preserve"> and </w:t>
      </w:r>
      <w:r>
        <w:t xml:space="preserve">it </w:t>
      </w:r>
      <w:r w:rsidRPr="00143DB3">
        <w:t>provided opportunities for over a thousand primary school pupils to participate in learning to play a musical instrument along</w:t>
      </w:r>
      <w:r>
        <w:t xml:space="preserve"> with </w:t>
      </w:r>
      <w:r w:rsidRPr="00143DB3">
        <w:t xml:space="preserve">their peers in a whole class grouping. In the pilot programme, the normal </w:t>
      </w:r>
      <w:r>
        <w:t xml:space="preserve">teaching </w:t>
      </w:r>
      <w:r w:rsidRPr="00143DB3">
        <w:t xml:space="preserve">delivery model was that of paired adults in the classroom, the class teacher, and a visiting instrumental music teacher. This pilot programme was evaluated by Ofsted </w:t>
      </w:r>
      <w:r w:rsidRPr="00143DB3">
        <w:rPr>
          <w:noProof/>
        </w:rPr>
        <w:t>(Ofsted, 2004)</w:t>
      </w:r>
      <w:r w:rsidRPr="00143DB3">
        <w:t xml:space="preserve"> who visited twelve Local Education Authorities (LEAs) specifically for this purpose. The Ofsted report was generally positive, finding that:</w:t>
      </w:r>
    </w:p>
    <w:p w14:paraId="20436858" w14:textId="77777777" w:rsidR="00014D3A" w:rsidRPr="00143DB3" w:rsidRDefault="00014D3A" w:rsidP="00FD0C32"/>
    <w:p w14:paraId="5506AAC5" w14:textId="77777777" w:rsidR="00014D3A" w:rsidRPr="00143DB3" w:rsidRDefault="00014D3A" w:rsidP="00FD0C32">
      <w:pPr>
        <w:ind w:left="720"/>
      </w:pPr>
      <w:r w:rsidRPr="00143DB3">
        <w:t xml:space="preserve">Across the 12 programmes, consistently high quality of work was observed in 7 of the LEAs. In the other 5, there were good, sometimes very good features in all of them, but not consistently so </w:t>
      </w:r>
      <w:r w:rsidRPr="00143DB3">
        <w:rPr>
          <w:noProof/>
        </w:rPr>
        <w:t>(Ofsted, 2004 p.6)</w:t>
      </w:r>
    </w:p>
    <w:p w14:paraId="7BD2273F" w14:textId="77777777" w:rsidR="00014D3A" w:rsidRPr="00143DB3" w:rsidRDefault="00014D3A" w:rsidP="00FD0C32"/>
    <w:p w14:paraId="48389A5E" w14:textId="77777777" w:rsidR="00014D3A" w:rsidRPr="00143DB3" w:rsidRDefault="00014D3A" w:rsidP="00FD0C32">
      <w:r>
        <w:t>The Ofsted report</w:t>
      </w:r>
      <w:r w:rsidRPr="00143DB3">
        <w:t xml:space="preserve"> made a number of recommendations, including that</w:t>
      </w:r>
    </w:p>
    <w:p w14:paraId="3E86D301" w14:textId="77777777" w:rsidR="00014D3A" w:rsidRPr="00143DB3" w:rsidRDefault="00014D3A" w:rsidP="00FD0C32"/>
    <w:p w14:paraId="55599272" w14:textId="77777777" w:rsidR="00014D3A" w:rsidRPr="00143DB3" w:rsidRDefault="00014D3A" w:rsidP="00FD0C32">
      <w:pPr>
        <w:ind w:left="720"/>
      </w:pPr>
      <w:r>
        <w:lastRenderedPageBreak/>
        <w:t>…</w:t>
      </w:r>
      <w:r w:rsidRPr="00143DB3">
        <w:t>over time, all pupils in Key Stage 2 should have access to a free trial period of specialist instrumental tuition, wherever possible lasting for at least one year  </w:t>
      </w:r>
      <w:r w:rsidRPr="00143DB3">
        <w:rPr>
          <w:noProof/>
        </w:rPr>
        <w:t>(Ofsted, 2004 p.10)</w:t>
      </w:r>
    </w:p>
    <w:p w14:paraId="68540B62" w14:textId="77777777" w:rsidR="00014D3A" w:rsidRPr="00143DB3" w:rsidRDefault="00014D3A" w:rsidP="00FD0C32"/>
    <w:p w14:paraId="7B45A4FC" w14:textId="77777777" w:rsidR="00014D3A" w:rsidRPr="00143DB3" w:rsidRDefault="00014D3A" w:rsidP="00FD0C32">
      <w:r w:rsidRPr="00143DB3">
        <w:t xml:space="preserve">and </w:t>
      </w:r>
      <w:r>
        <w:t xml:space="preserve">also </w:t>
      </w:r>
      <w:r w:rsidRPr="00143DB3">
        <w:t>that</w:t>
      </w:r>
      <w:r>
        <w:t>:</w:t>
      </w:r>
    </w:p>
    <w:p w14:paraId="39D75773" w14:textId="77777777" w:rsidR="00014D3A" w:rsidRPr="00143DB3" w:rsidRDefault="00014D3A" w:rsidP="00FD0C32"/>
    <w:p w14:paraId="1542B304" w14:textId="77777777" w:rsidR="00014D3A" w:rsidRPr="00143DB3" w:rsidRDefault="00014D3A" w:rsidP="00FD0C32">
      <w:pPr>
        <w:ind w:left="360"/>
      </w:pPr>
      <w:r w:rsidRPr="00143DB3">
        <w:t xml:space="preserve">schools, either individually or in clusters, should work in partnership with music services to identify all available resources and staffing which can contribute to a Wider Opportunities in Music programme in Key Stage 2 which includes or integrates: </w:t>
      </w:r>
    </w:p>
    <w:p w14:paraId="3ADA6AEF" w14:textId="77777777" w:rsidR="00014D3A" w:rsidRPr="00143DB3" w:rsidRDefault="00014D3A" w:rsidP="00FD0C32">
      <w:pPr>
        <w:pStyle w:val="ListParagraph"/>
        <w:numPr>
          <w:ilvl w:val="0"/>
          <w:numId w:val="3"/>
        </w:numPr>
      </w:pPr>
      <w:r w:rsidRPr="00143DB3">
        <w:t>new musical experiences</w:t>
      </w:r>
    </w:p>
    <w:p w14:paraId="68451B6D" w14:textId="77777777" w:rsidR="00014D3A" w:rsidRPr="00143DB3" w:rsidRDefault="00014D3A" w:rsidP="00FD0C32">
      <w:pPr>
        <w:pStyle w:val="ListParagraph"/>
        <w:numPr>
          <w:ilvl w:val="0"/>
          <w:numId w:val="3"/>
        </w:numPr>
      </w:pPr>
      <w:r w:rsidRPr="00143DB3">
        <w:t xml:space="preserve">acquisition of musical skills </w:t>
      </w:r>
    </w:p>
    <w:p w14:paraId="3E3A252D" w14:textId="77777777" w:rsidR="00014D3A" w:rsidRPr="00143DB3" w:rsidRDefault="00014D3A" w:rsidP="00FD0C32">
      <w:pPr>
        <w:pStyle w:val="ListParagraph"/>
        <w:numPr>
          <w:ilvl w:val="0"/>
          <w:numId w:val="3"/>
        </w:numPr>
      </w:pPr>
      <w:r w:rsidRPr="00143DB3">
        <w:t xml:space="preserve">specialist instrumental tuition </w:t>
      </w:r>
      <w:r w:rsidRPr="00143DB3">
        <w:rPr>
          <w:noProof/>
        </w:rPr>
        <w:t>(Ofsted, 2004 p.10-11)</w:t>
      </w:r>
    </w:p>
    <w:p w14:paraId="57B0FD7F" w14:textId="77777777" w:rsidR="00014D3A" w:rsidRPr="00143DB3" w:rsidRDefault="00014D3A" w:rsidP="00FD0C32"/>
    <w:p w14:paraId="3BF9DC49" w14:textId="77777777" w:rsidR="00014D3A" w:rsidRPr="00143DB3" w:rsidRDefault="00014D3A" w:rsidP="00FD0C32">
      <w:r w:rsidRPr="00143DB3">
        <w:t xml:space="preserve">In the same year as the Ofsted report, Youth Music also published a report on Wider Opportunities </w:t>
      </w:r>
      <w:r w:rsidRPr="00143DB3">
        <w:rPr>
          <w:noProof/>
        </w:rPr>
        <w:t>(Davies &amp; Stephens, 2004)</w:t>
      </w:r>
      <w:r w:rsidRPr="00143DB3">
        <w:t>. This too made a number of recommendations, including these:</w:t>
      </w:r>
    </w:p>
    <w:p w14:paraId="7B84AC9D" w14:textId="77777777" w:rsidR="00014D3A" w:rsidRPr="00143DB3" w:rsidRDefault="00014D3A" w:rsidP="00FD0C32"/>
    <w:p w14:paraId="2BDF09E8" w14:textId="77777777" w:rsidR="00014D3A" w:rsidRPr="00143DB3" w:rsidRDefault="00014D3A" w:rsidP="00FD0C32">
      <w:pPr>
        <w:pStyle w:val="ListParagraph"/>
        <w:numPr>
          <w:ilvl w:val="0"/>
          <w:numId w:val="4"/>
        </w:numPr>
      </w:pPr>
      <w:r w:rsidRPr="00143DB3">
        <w:t>the close collaboration of Music Services, with community musicians, schools and other providers is a unique and vital development which will need careful nurturing and management</w:t>
      </w:r>
    </w:p>
    <w:p w14:paraId="268BE153" w14:textId="77777777" w:rsidR="00014D3A" w:rsidRPr="00143DB3" w:rsidRDefault="00014D3A" w:rsidP="000D7718">
      <w:pPr>
        <w:pStyle w:val="ListParagraph"/>
        <w:numPr>
          <w:ilvl w:val="0"/>
          <w:numId w:val="4"/>
        </w:numPr>
      </w:pPr>
      <w:r w:rsidRPr="00143DB3">
        <w:t>Music Services need to plan carefully the implementation of Wider Opportunities Programmes, The information and planning materials available to them through the FMS</w:t>
      </w:r>
      <w:r>
        <w:t xml:space="preserve"> [Federation of Music Services</w:t>
      </w:r>
      <w:r>
        <w:rPr>
          <w:rStyle w:val="FootnoteReference"/>
        </w:rPr>
        <w:footnoteReference w:id="1"/>
      </w:r>
      <w:r>
        <w:t>]</w:t>
      </w:r>
      <w:r w:rsidRPr="00143DB3">
        <w:t>, Ofsted, QCA</w:t>
      </w:r>
      <w:r>
        <w:t xml:space="preserve"> </w:t>
      </w:r>
      <w:r w:rsidRPr="00143DB3">
        <w:t>and Youth Music should assist this process</w:t>
      </w:r>
    </w:p>
    <w:p w14:paraId="5F4FF109" w14:textId="77777777" w:rsidR="00014D3A" w:rsidRPr="00143DB3" w:rsidRDefault="00014D3A" w:rsidP="00D91584">
      <w:pPr>
        <w:pStyle w:val="ListParagraph"/>
        <w:numPr>
          <w:ilvl w:val="0"/>
          <w:numId w:val="4"/>
        </w:numPr>
      </w:pPr>
      <w:r w:rsidRPr="00143DB3">
        <w:t>implementation needs to be seen as a long-term development probably over the course of</w:t>
      </w:r>
      <w:r>
        <w:t xml:space="preserve"> </w:t>
      </w:r>
      <w:r w:rsidRPr="00143DB3">
        <w:t>several years</w:t>
      </w:r>
    </w:p>
    <w:p w14:paraId="18DED5D7" w14:textId="77777777" w:rsidR="00014D3A" w:rsidRPr="00143DB3" w:rsidRDefault="00014D3A">
      <w:pPr>
        <w:pStyle w:val="ListParagraph"/>
        <w:numPr>
          <w:ilvl w:val="0"/>
          <w:numId w:val="4"/>
        </w:numPr>
      </w:pPr>
      <w:r w:rsidRPr="00143DB3">
        <w:t>funding for development is likely to be shared between several sources including LEAs</w:t>
      </w:r>
      <w:r>
        <w:t xml:space="preserve"> [Local Education Authorities]</w:t>
      </w:r>
      <w:r w:rsidRPr="00143DB3">
        <w:t>,</w:t>
      </w:r>
      <w:r>
        <w:t xml:space="preserve"> </w:t>
      </w:r>
      <w:r w:rsidRPr="00143DB3">
        <w:t>Music Services, schools and other bodies</w:t>
      </w:r>
    </w:p>
    <w:p w14:paraId="37BE5E57" w14:textId="77777777" w:rsidR="00014D3A" w:rsidRPr="00143DB3" w:rsidRDefault="00014D3A" w:rsidP="00FD0C32">
      <w:pPr>
        <w:pStyle w:val="ListParagraph"/>
        <w:numPr>
          <w:ilvl w:val="0"/>
          <w:numId w:val="4"/>
        </w:numPr>
      </w:pPr>
      <w:r w:rsidRPr="00143DB3">
        <w:t xml:space="preserve">staff training needs to be at the core of all developments, not just at the early stages </w:t>
      </w:r>
      <w:r w:rsidRPr="00143DB3">
        <w:rPr>
          <w:noProof/>
        </w:rPr>
        <w:t>(Davies &amp; Stephens, 2004 p.10)</w:t>
      </w:r>
    </w:p>
    <w:p w14:paraId="1D360327" w14:textId="77777777" w:rsidR="00014D3A" w:rsidRPr="00143DB3" w:rsidRDefault="00014D3A" w:rsidP="00FD0C32"/>
    <w:p w14:paraId="3C23B6F3" w14:textId="77777777" w:rsidR="00014D3A" w:rsidRPr="00143DB3" w:rsidRDefault="00014D3A" w:rsidP="00FD0C32">
      <w:r w:rsidRPr="00143DB3">
        <w:t xml:space="preserve">Davies and Stephens did not </w:t>
      </w:r>
      <w:r>
        <w:t>only</w:t>
      </w:r>
      <w:r w:rsidRPr="00143DB3">
        <w:t xml:space="preserve"> report on what they found</w:t>
      </w:r>
      <w:r>
        <w:t>;</w:t>
      </w:r>
      <w:r w:rsidRPr="00143DB3">
        <w:t xml:space="preserve"> they also offered suggestions as</w:t>
      </w:r>
      <w:r>
        <w:t xml:space="preserve"> to how the Wider Opportunities</w:t>
      </w:r>
      <w:r w:rsidRPr="00143DB3">
        <w:t xml:space="preserve"> </w:t>
      </w:r>
      <w:r>
        <w:t xml:space="preserve">programme </w:t>
      </w:r>
      <w:r w:rsidRPr="00143DB3">
        <w:t>could be delivered, and</w:t>
      </w:r>
      <w:r>
        <w:t xml:space="preserve"> gave</w:t>
      </w:r>
      <w:r w:rsidRPr="00143DB3">
        <w:t xml:space="preserve"> advice </w:t>
      </w:r>
      <w:r>
        <w:t>to</w:t>
      </w:r>
      <w:r w:rsidRPr="00143DB3">
        <w:t xml:space="preserve"> teachers and music services to help with the rolling-out of the programme across the country. </w:t>
      </w:r>
    </w:p>
    <w:p w14:paraId="412E6291" w14:textId="77777777" w:rsidR="00014D3A" w:rsidRPr="00143DB3" w:rsidRDefault="00014D3A" w:rsidP="00FD0C32"/>
    <w:p w14:paraId="2B8829CC" w14:textId="77777777" w:rsidR="00014D3A" w:rsidRPr="00143DB3" w:rsidRDefault="00014D3A" w:rsidP="00FD0C32">
      <w:r w:rsidRPr="00143DB3">
        <w:t xml:space="preserve">Following the pilot, Wider Opportunities became established as </w:t>
      </w:r>
      <w:r>
        <w:t xml:space="preserve">a </w:t>
      </w:r>
      <w:r w:rsidRPr="00143DB3">
        <w:t xml:space="preserve">nationwide programme. In 2009 the Federation of Music Services (FMS, later to become part of the organisation </w:t>
      </w:r>
      <w:r w:rsidRPr="00A17098">
        <w:rPr>
          <w:i/>
        </w:rPr>
        <w:t>Music Mark</w:t>
      </w:r>
      <w:r w:rsidRPr="00143DB3">
        <w:t xml:space="preserve">) commissioned the University of the Arts London to research the programme across the country </w:t>
      </w:r>
      <w:r w:rsidRPr="00143DB3">
        <w:rPr>
          <w:noProof/>
        </w:rPr>
        <w:t>(Bamford &amp; Glinkowski, 2010)</w:t>
      </w:r>
      <w:r w:rsidRPr="00143DB3">
        <w:t xml:space="preserve">. This </w:t>
      </w:r>
      <w:r>
        <w:t xml:space="preserve">resulting </w:t>
      </w:r>
      <w:r w:rsidRPr="00143DB3">
        <w:t>report found that:</w:t>
      </w:r>
    </w:p>
    <w:p w14:paraId="21B837C6" w14:textId="77777777" w:rsidR="00014D3A" w:rsidRPr="00143DB3" w:rsidRDefault="00014D3A" w:rsidP="00FD0C32"/>
    <w:p w14:paraId="33407767" w14:textId="77777777" w:rsidR="00014D3A" w:rsidRPr="00143DB3" w:rsidRDefault="00014D3A" w:rsidP="00FD0C32">
      <w:pPr>
        <w:ind w:left="720"/>
      </w:pPr>
      <w:r w:rsidRPr="00143DB3">
        <w:t xml:space="preserve">The overall results of the impact evaluation indicate that the WO music programme is generally of high international standard and receives </w:t>
      </w:r>
      <w:r w:rsidRPr="00143DB3">
        <w:lastRenderedPageBreak/>
        <w:t xml:space="preserve">widespread positive support from pupils, parents, teachers, headteachers and local authorities. Children appeared genuinely happy in most of the lessons and effective lessons were characterised by innovative pedagogy and interesting approaches. </w:t>
      </w:r>
      <w:r w:rsidRPr="00143DB3">
        <w:rPr>
          <w:noProof/>
        </w:rPr>
        <w:t>(Bamford &amp; Glinkowski, 2010 p.8)</w:t>
      </w:r>
    </w:p>
    <w:p w14:paraId="4B318767" w14:textId="77777777" w:rsidR="00014D3A" w:rsidRPr="00143DB3" w:rsidRDefault="00014D3A" w:rsidP="00FD0C32"/>
    <w:p w14:paraId="46246437" w14:textId="77777777" w:rsidR="00014D3A" w:rsidRPr="00143DB3" w:rsidRDefault="00014D3A" w:rsidP="00FD0C32">
      <w:r w:rsidRPr="00143DB3">
        <w:t>The report from Bamford and Glinkowski threw light onto the area of WCET at a time that a new way of organising music teaching and learning in England was emerging, t</w:t>
      </w:r>
      <w:r>
        <w:t xml:space="preserve">his being bodies known as </w:t>
      </w:r>
      <w:r>
        <w:rPr>
          <w:i/>
        </w:rPr>
        <w:t>M</w:t>
      </w:r>
      <w:r w:rsidRPr="00141BF8">
        <w:rPr>
          <w:i/>
        </w:rPr>
        <w:t xml:space="preserve">usic </w:t>
      </w:r>
      <w:r>
        <w:rPr>
          <w:i/>
        </w:rPr>
        <w:t>Education H</w:t>
      </w:r>
      <w:r w:rsidRPr="00141BF8">
        <w:rPr>
          <w:i/>
        </w:rPr>
        <w:t>ubs</w:t>
      </w:r>
      <w:r w:rsidRPr="00143DB3">
        <w:t>. Zeserson and Welch commented on this:</w:t>
      </w:r>
    </w:p>
    <w:p w14:paraId="7D257E19" w14:textId="77777777" w:rsidR="00014D3A" w:rsidRPr="00143DB3" w:rsidRDefault="00014D3A" w:rsidP="00FD0C32"/>
    <w:p w14:paraId="22638968" w14:textId="77777777" w:rsidR="00014D3A" w:rsidRPr="00143DB3" w:rsidRDefault="00014D3A" w:rsidP="00FD0C32">
      <w:pPr>
        <w:ind w:left="720"/>
      </w:pPr>
      <w:r w:rsidRPr="00143DB3">
        <w:t xml:space="preserve">…Bamford and Glinkowski's (2010) research was particularly important in helping to make the case for embedding whole class/large group instrumental teaching into the framework for new Music Education Hubs. The researchers found evidence of positive impact and engagement in their research sites—as clearly evidenced in the title of the report—and made precise recommendations about the conditions necessary to maximize that potential across the country. Their report also showed that the well-disseminated insights from 2004 and 2006 had not been as well embedded throughout the implementation of programs as all might have hoped. </w:t>
      </w:r>
      <w:r w:rsidRPr="00143DB3">
        <w:rPr>
          <w:noProof/>
        </w:rPr>
        <w:t>(Zeserson &amp; Welch, 2017 p.69)</w:t>
      </w:r>
    </w:p>
    <w:p w14:paraId="5F9B2C3A" w14:textId="77777777" w:rsidR="00014D3A" w:rsidRPr="00143DB3" w:rsidRDefault="00014D3A" w:rsidP="00FD0C32"/>
    <w:p w14:paraId="5EFC97EB" w14:textId="77777777" w:rsidR="00014D3A" w:rsidRPr="00143DB3" w:rsidRDefault="00014D3A" w:rsidP="00FD0C32">
      <w:r w:rsidRPr="00143DB3">
        <w:t>The W</w:t>
      </w:r>
      <w:r>
        <w:t>CET</w:t>
      </w:r>
      <w:r w:rsidRPr="00143DB3">
        <w:t xml:space="preserve"> programme represented a considerable shift in professional practice for many instrumental music teachers:</w:t>
      </w:r>
    </w:p>
    <w:p w14:paraId="1B5CECF6" w14:textId="77777777" w:rsidR="00014D3A" w:rsidRPr="00143DB3" w:rsidRDefault="00014D3A" w:rsidP="00FD0C32"/>
    <w:p w14:paraId="56FB63FF" w14:textId="77777777" w:rsidR="00014D3A" w:rsidRPr="00143DB3" w:rsidRDefault="00014D3A" w:rsidP="00FD0C32">
      <w:pPr>
        <w:ind w:left="720"/>
      </w:pPr>
      <w:r>
        <w:t>[WCET]</w:t>
      </w:r>
      <w:r w:rsidRPr="00143DB3">
        <w:t xml:space="preserve"> involves instrumental music teachers teaching whole classes of primary pupils to play instruments, and sing. The WO programme is “part of an integrated, holistic musical approach” … For many instrumental music teachers this represented a significant shift in professional practice. Prior to this the normal </w:t>
      </w:r>
      <w:r w:rsidRPr="00143DB3">
        <w:rPr>
          <w:i/>
          <w:iCs/>
        </w:rPr>
        <w:t xml:space="preserve">modus operandi </w:t>
      </w:r>
      <w:r w:rsidRPr="00143DB3">
        <w:t xml:space="preserve">for many instrumental music teachers would be to work with individuals, or small groups of pupils. For these teachers, teaching and learning would be focussed on the acquisition of skills in learning to play a specific instrument. In WO there is an emphasis on whole class learning through the medium of the instrument. </w:t>
      </w:r>
      <w:r>
        <w:rPr>
          <w:noProof/>
        </w:rPr>
        <w:t>(Fautley et al., 2011 p.1)</w:t>
      </w:r>
    </w:p>
    <w:p w14:paraId="0538042F" w14:textId="77777777" w:rsidR="00014D3A" w:rsidRPr="00143DB3" w:rsidRDefault="00014D3A" w:rsidP="00FD0C32"/>
    <w:p w14:paraId="51052AAF" w14:textId="77777777" w:rsidR="00014D3A" w:rsidRDefault="00014D3A" w:rsidP="00FD0C32">
      <w:r>
        <w:t xml:space="preserve">In order to address this Trinity Guildhall (as it was then) and the Open University were awarded governmental funding to put into place a Continuing Professional Development (CPD) programme to help those delivering WO come to terms with their new roles. This helped workforce development significantly, with over </w:t>
      </w:r>
      <w:r w:rsidRPr="007D14F9">
        <w:rPr>
          <w:lang w:val="en-US"/>
        </w:rPr>
        <w:t xml:space="preserve">74% of instrumental teachers and 79% of class teachers </w:t>
      </w:r>
      <w:r>
        <w:rPr>
          <w:lang w:val="en-US"/>
        </w:rPr>
        <w:t xml:space="preserve">reporting positively on their experiences of this CPD </w:t>
      </w:r>
      <w:r>
        <w:rPr>
          <w:noProof/>
          <w:lang w:val="en-US"/>
        </w:rPr>
        <w:t>(Fautley et al., 2011 p.3)</w:t>
      </w:r>
      <w:r>
        <w:rPr>
          <w:lang w:val="en-US"/>
        </w:rPr>
        <w:t xml:space="preserve">, </w:t>
      </w:r>
      <w:r>
        <w:t xml:space="preserve">although the uptake of this professional development programme was small in relation to the number of teachers required to roll-out WCET programmes across the country. </w:t>
      </w:r>
    </w:p>
    <w:p w14:paraId="4E434A79" w14:textId="77777777" w:rsidR="00014D3A" w:rsidRDefault="00014D3A" w:rsidP="00FD0C32"/>
    <w:p w14:paraId="068CE811" w14:textId="77777777" w:rsidR="00014D3A" w:rsidRDefault="00014D3A"/>
    <w:p w14:paraId="66AF7B10" w14:textId="77777777" w:rsidR="00014D3A" w:rsidRDefault="00014D3A"/>
    <w:p w14:paraId="7510F910" w14:textId="77777777" w:rsidR="00014D3A" w:rsidRDefault="00014D3A"/>
    <w:p w14:paraId="272FDC5E" w14:textId="77777777" w:rsidR="00014D3A" w:rsidRPr="00B12A41" w:rsidRDefault="00014D3A">
      <w:pPr>
        <w:rPr>
          <w:i/>
        </w:rPr>
      </w:pPr>
      <w:r w:rsidRPr="00B12A41">
        <w:rPr>
          <w:i/>
        </w:rPr>
        <w:t>Music Education Hubs</w:t>
      </w:r>
    </w:p>
    <w:p w14:paraId="7225B7DF" w14:textId="77777777" w:rsidR="00014D3A" w:rsidRDefault="00014D3A" w:rsidP="00B12A41">
      <w:r w:rsidRPr="00143DB3">
        <w:t>England is unusual in that it has not only a</w:t>
      </w:r>
      <w:r>
        <w:t xml:space="preserve"> National Curriculum for music, which is described below, </w:t>
      </w:r>
      <w:r w:rsidRPr="00143DB3">
        <w:t xml:space="preserve">but also a National Plan for Music Education </w:t>
      </w:r>
      <w:r w:rsidRPr="00143DB3">
        <w:rPr>
          <w:noProof/>
        </w:rPr>
        <w:t>(DfE &amp; DCMS, 2011)</w:t>
      </w:r>
      <w:r w:rsidRPr="00143DB3">
        <w:t>. The National Plan (NPME) established the roles of Music</w:t>
      </w:r>
      <w:r>
        <w:t xml:space="preserve"> Education</w:t>
      </w:r>
      <w:r w:rsidRPr="00143DB3">
        <w:t xml:space="preserve"> Hubs</w:t>
      </w:r>
      <w:r>
        <w:t xml:space="preserve"> (MEHs)</w:t>
      </w:r>
      <w:r w:rsidRPr="00143DB3">
        <w:t xml:space="preserve">. Space precludes a detailed discussion of </w:t>
      </w:r>
      <w:r>
        <w:t>MEHs</w:t>
      </w:r>
      <w:r w:rsidRPr="00143DB3">
        <w:t xml:space="preserve"> here</w:t>
      </w:r>
      <w:r>
        <w:t>, but in essence they are:</w:t>
      </w:r>
    </w:p>
    <w:p w14:paraId="2C0BC8EB" w14:textId="77777777" w:rsidR="00014D3A" w:rsidRDefault="00014D3A" w:rsidP="00B12A41"/>
    <w:p w14:paraId="5B27B038" w14:textId="77777777" w:rsidR="00014D3A" w:rsidRDefault="00014D3A" w:rsidP="001701EC">
      <w:pPr>
        <w:ind w:left="720"/>
      </w:pPr>
      <w:r>
        <w:t>Music Education Hubs are groups of organisations – such as local authorities, schools, other hubs, art organisations, community or voluntary organisations – working together to create joined-up music education provision, respond to local need and fulfil the objectives of the Hub as set out in the National Plan for Music Education</w:t>
      </w:r>
    </w:p>
    <w:p w14:paraId="1CA02DD0" w14:textId="77777777" w:rsidR="00014D3A" w:rsidRDefault="00014D3A" w:rsidP="001701EC">
      <w:pPr>
        <w:ind w:left="720"/>
      </w:pPr>
      <w:r>
        <w:t xml:space="preserve">Hubs are coordinated by the Hub lead organisation, which takes on responsibility for the funding and governance of the Hub. The total amount of Hub funding from the Department for Education in the 2019-20 financial year is £75.84 million (artscouncil.org.uk, no date) </w:t>
      </w:r>
    </w:p>
    <w:p w14:paraId="480A3364" w14:textId="77777777" w:rsidR="00014D3A" w:rsidRDefault="00014D3A" w:rsidP="00B12A41"/>
    <w:p w14:paraId="4A627153" w14:textId="77777777" w:rsidR="00014D3A" w:rsidRPr="00143DB3" w:rsidRDefault="00014D3A" w:rsidP="00B12A41">
      <w:r>
        <w:t>In terms of WCET, t</w:t>
      </w:r>
      <w:r w:rsidRPr="00143DB3">
        <w:t xml:space="preserve">he </w:t>
      </w:r>
      <w:r w:rsidRPr="00FD5BD3">
        <w:t>NPME established four core roles for the Music Hubs to put into practice, one of which related specifically to Music Hubs:</w:t>
      </w:r>
    </w:p>
    <w:p w14:paraId="3DA24981" w14:textId="77777777" w:rsidR="00014D3A" w:rsidRPr="00143DB3" w:rsidRDefault="00014D3A" w:rsidP="00B12A41"/>
    <w:p w14:paraId="15EAB73A" w14:textId="77777777" w:rsidR="00014D3A" w:rsidRPr="00143DB3" w:rsidRDefault="00014D3A" w:rsidP="00B12A41">
      <w:pPr>
        <w:ind w:left="720"/>
      </w:pPr>
      <w:r w:rsidRPr="00143DB3">
        <w:t xml:space="preserve">Ensure that every child aged 5–18 has the opportunity to learn a musical instrument (other than voice) through whole-class ensemble teaching programmes for ideally a year (but for a minimum of a term) of weekly tuition on the same instrument. </w:t>
      </w:r>
      <w:r w:rsidRPr="00143DB3">
        <w:rPr>
          <w:noProof/>
        </w:rPr>
        <w:t>(DfE &amp; DCMS, 2011 p.11)</w:t>
      </w:r>
    </w:p>
    <w:p w14:paraId="6883EBFB" w14:textId="77777777" w:rsidR="00014D3A" w:rsidRPr="00143DB3" w:rsidRDefault="00014D3A" w:rsidP="00B12A41"/>
    <w:p w14:paraId="2800FA11" w14:textId="77777777" w:rsidR="00014D3A" w:rsidRPr="00143DB3" w:rsidRDefault="00014D3A" w:rsidP="00B12A41">
      <w:r w:rsidRPr="00143DB3">
        <w:t xml:space="preserve">This </w:t>
      </w:r>
      <w:r>
        <w:t xml:space="preserve">somewhat variable </w:t>
      </w:r>
      <w:r w:rsidRPr="00143DB3">
        <w:t xml:space="preserve">requirement for </w:t>
      </w:r>
      <w:r>
        <w:t xml:space="preserve">duration of delivery-length </w:t>
      </w:r>
      <w:r w:rsidRPr="00143DB3">
        <w:t xml:space="preserve">means that there is very little by way of standardisation </w:t>
      </w:r>
      <w:r>
        <w:t>o</w:t>
      </w:r>
      <w:r w:rsidRPr="00143DB3">
        <w:t>f programme</w:t>
      </w:r>
      <w:r>
        <w:t>s</w:t>
      </w:r>
      <w:r w:rsidRPr="00143DB3">
        <w:t>. In her research, Hallam found that:</w:t>
      </w:r>
    </w:p>
    <w:p w14:paraId="488617A5" w14:textId="77777777" w:rsidR="00014D3A" w:rsidRPr="00143DB3" w:rsidRDefault="00014D3A" w:rsidP="00B12A41"/>
    <w:p w14:paraId="5B45FAFE" w14:textId="77777777" w:rsidR="00014D3A" w:rsidRDefault="00014D3A" w:rsidP="00B12A41">
      <w:pPr>
        <w:ind w:left="720"/>
      </w:pPr>
      <w:r w:rsidRPr="00143DB3">
        <w:t xml:space="preserve">The length of the provision reported varied from half a term to six years although the majority of the sample provided tuition for a whole year. </w:t>
      </w:r>
      <w:r w:rsidRPr="00143DB3">
        <w:rPr>
          <w:noProof/>
        </w:rPr>
        <w:t>(Hallam, 2016 p.5)</w:t>
      </w:r>
    </w:p>
    <w:p w14:paraId="26BACB40" w14:textId="77777777" w:rsidR="00014D3A" w:rsidRDefault="00014D3A" w:rsidP="00FD2B80"/>
    <w:p w14:paraId="67141C15" w14:textId="77777777" w:rsidR="00014D3A" w:rsidRDefault="00014D3A" w:rsidP="00FD2B80">
      <w:r>
        <w:t>With funding for music education diminishing in real terms there has been a significant change to employment terms and conditions over the past few years, away from contracted permanent jobs and towards a model where instrumental teachers are more likely to be hourly paid and often self-employed (Musicians Union, 2017).  This casualisation of employment terms and conditions is a significant threat to the quality of teaching and teachers delivering instrumental provision, including WCET, which in turn leads to further fragmentation of provision (ISM, 2018).  The All-Party Parliamentary Group for Music Education noted that:</w:t>
      </w:r>
    </w:p>
    <w:p w14:paraId="09863690" w14:textId="77777777" w:rsidR="00014D3A" w:rsidRDefault="00014D3A" w:rsidP="00FD2B80"/>
    <w:p w14:paraId="7CE7D91F" w14:textId="77777777" w:rsidR="00014D3A" w:rsidRDefault="00014D3A" w:rsidP="00FD2B80">
      <w:pPr>
        <w:ind w:left="720"/>
      </w:pPr>
      <w:r w:rsidRPr="009C3A3C">
        <w:rPr>
          <w:bCs/>
        </w:rPr>
        <w:t xml:space="preserve">Teachers are not always valued or properly rewarded for their work. </w:t>
      </w:r>
      <w:r w:rsidRPr="00FD2B80">
        <w:t>Hubs are increasingly moving teachers onto insecure, flat-rate, hourly paid roles. This affects their access to professional development and has had the unintended consequence of fragmenting instrumental teaching as teachers form their own cooperatives often in direct competition to Hubs</w:t>
      </w:r>
      <w:r>
        <w:t>…Employment insecurity [also] impacts teachers’ mental health.  (Daubney, Spruce &amp; Annetts, 2019 p. 21)</w:t>
      </w:r>
    </w:p>
    <w:p w14:paraId="65817DE9" w14:textId="77777777" w:rsidR="00014D3A" w:rsidRDefault="00014D3A" w:rsidP="00FD2B80"/>
    <w:p w14:paraId="33C83308" w14:textId="77777777" w:rsidR="00014D3A" w:rsidRPr="00143DB3" w:rsidRDefault="00014D3A" w:rsidP="00FD2B80">
      <w:r>
        <w:t xml:space="preserve">This further compounds the inequalities in music education hub provision noted by the Department for Digital, Culture, Media and Sport (2018).  </w:t>
      </w:r>
    </w:p>
    <w:p w14:paraId="225A7627" w14:textId="77777777" w:rsidR="00014D3A" w:rsidRPr="00143DB3" w:rsidRDefault="00014D3A" w:rsidP="00FD5BD3"/>
    <w:p w14:paraId="03736B25" w14:textId="77777777" w:rsidR="00014D3A" w:rsidRDefault="00014D3A"/>
    <w:p w14:paraId="7DE22E06" w14:textId="77777777" w:rsidR="00014D3A" w:rsidRPr="009352EB" w:rsidRDefault="00014D3A">
      <w:pPr>
        <w:rPr>
          <w:i/>
        </w:rPr>
      </w:pPr>
      <w:r>
        <w:rPr>
          <w:i/>
        </w:rPr>
        <w:t>Music in Primary Schools</w:t>
      </w:r>
    </w:p>
    <w:p w14:paraId="690C963C" w14:textId="77777777" w:rsidR="00014D3A" w:rsidRDefault="00014D3A">
      <w:r>
        <w:t xml:space="preserve">WCET normally takes place in primary schools, which in </w:t>
      </w:r>
      <w:r w:rsidRPr="00143DB3">
        <w:t>England provide education for children aged between 7 and 11 years in age.</w:t>
      </w:r>
      <w:r>
        <w:t xml:space="preserve"> The provision of WCET takes place against a background of a previously existing National Curriculum for music. </w:t>
      </w:r>
      <w:r w:rsidRPr="00143DB3">
        <w:t>There has been a National Curriculum in for</w:t>
      </w:r>
      <w:r>
        <w:t>ce since 1992. In the latest iteration, published in 2013, the National Curriculum (NC) for music for primary schools is very brief:</w:t>
      </w:r>
    </w:p>
    <w:p w14:paraId="22EC77F5" w14:textId="77777777" w:rsidR="00014D3A" w:rsidRDefault="00014D3A"/>
    <w:p w14:paraId="64C2A4A7" w14:textId="77777777" w:rsidR="00014D3A" w:rsidRDefault="00014D3A" w:rsidP="00A64CF1">
      <w:pPr>
        <w:ind w:left="720"/>
      </w:pPr>
      <w:r>
        <w:t>Pupils should be taught to sing and play musically with increasing confidence and control. They should develop an understanding of musical composition, organising and manipulating ideas within musical structures and reproducing sounds from aural memory.</w:t>
      </w:r>
    </w:p>
    <w:p w14:paraId="1A3392C8" w14:textId="77777777" w:rsidR="00014D3A" w:rsidRDefault="00014D3A" w:rsidP="00A64CF1">
      <w:pPr>
        <w:ind w:left="720"/>
      </w:pPr>
      <w:r>
        <w:t>Pupils should be taught to:</w:t>
      </w:r>
    </w:p>
    <w:p w14:paraId="4792BCA7" w14:textId="77777777" w:rsidR="00014D3A" w:rsidRDefault="00014D3A" w:rsidP="00A64CF1">
      <w:pPr>
        <w:pStyle w:val="ListParagraph"/>
        <w:numPr>
          <w:ilvl w:val="0"/>
          <w:numId w:val="5"/>
        </w:numPr>
      </w:pPr>
      <w:r>
        <w:t>play and perform in solo and ensemble contexts, using their voices and playing musical instruments with increasing accuracy, fluency, control and expression</w:t>
      </w:r>
    </w:p>
    <w:p w14:paraId="635C1CC5" w14:textId="77777777" w:rsidR="00014D3A" w:rsidRDefault="00014D3A" w:rsidP="00A64CF1">
      <w:pPr>
        <w:pStyle w:val="ListParagraph"/>
        <w:numPr>
          <w:ilvl w:val="0"/>
          <w:numId w:val="5"/>
        </w:numPr>
      </w:pPr>
      <w:r>
        <w:t>improvise and compose music for a range of purposes using the inter-related dimensions of music</w:t>
      </w:r>
    </w:p>
    <w:p w14:paraId="5FC8A40E" w14:textId="77777777" w:rsidR="00014D3A" w:rsidRDefault="00014D3A" w:rsidP="00A64CF1">
      <w:pPr>
        <w:pStyle w:val="ListParagraph"/>
        <w:numPr>
          <w:ilvl w:val="0"/>
          <w:numId w:val="5"/>
        </w:numPr>
      </w:pPr>
      <w:r>
        <w:t>listen with attention to detail and recall sounds with increasing aural memory</w:t>
      </w:r>
    </w:p>
    <w:p w14:paraId="2F4A9BE8" w14:textId="77777777" w:rsidR="00014D3A" w:rsidRDefault="00014D3A" w:rsidP="00A64CF1">
      <w:pPr>
        <w:pStyle w:val="ListParagraph"/>
        <w:numPr>
          <w:ilvl w:val="0"/>
          <w:numId w:val="5"/>
        </w:numPr>
      </w:pPr>
      <w:r>
        <w:t>use and understand staff and other musical notations</w:t>
      </w:r>
    </w:p>
    <w:p w14:paraId="5C4BDF8F" w14:textId="77777777" w:rsidR="00014D3A" w:rsidRDefault="00014D3A" w:rsidP="00A64CF1">
      <w:pPr>
        <w:pStyle w:val="ListParagraph"/>
        <w:numPr>
          <w:ilvl w:val="0"/>
          <w:numId w:val="5"/>
        </w:numPr>
      </w:pPr>
      <w:r>
        <w:t>appreciate and understand a wide range of high-quality live and recorded music drawn from different traditions and from great composers and musicians</w:t>
      </w:r>
    </w:p>
    <w:p w14:paraId="65CC4757" w14:textId="77777777" w:rsidR="00014D3A" w:rsidRDefault="00014D3A" w:rsidP="00A64CF1">
      <w:pPr>
        <w:pStyle w:val="ListParagraph"/>
        <w:numPr>
          <w:ilvl w:val="0"/>
          <w:numId w:val="5"/>
        </w:numPr>
      </w:pPr>
      <w:r>
        <w:t xml:space="preserve">develop an understanding of the history of music. </w:t>
      </w:r>
      <w:r>
        <w:rPr>
          <w:noProof/>
        </w:rPr>
        <w:t>(DfE, 2013)</w:t>
      </w:r>
    </w:p>
    <w:p w14:paraId="68D9BF00" w14:textId="77777777" w:rsidR="00014D3A" w:rsidRDefault="00014D3A"/>
    <w:p w14:paraId="04816082" w14:textId="77777777" w:rsidR="00014D3A" w:rsidRPr="00AD66DD" w:rsidRDefault="00014D3A">
      <w:r>
        <w:t xml:space="preserve">These 133 words - the entirety of the NC for children aged 7-11 years old –form the basis for teaching and learning in the primary school. It should be apparent from the text of the NC that </w:t>
      </w:r>
      <w:r w:rsidRPr="00143DB3">
        <w:t xml:space="preserve">this is a classroom-based curriculum, </w:t>
      </w:r>
      <w:r>
        <w:t>with performing, composing, and listening as the three main strands. School</w:t>
      </w:r>
      <w:r w:rsidRPr="00143DB3">
        <w:t xml:space="preserve"> music often taught </w:t>
      </w:r>
      <w:r>
        <w:t xml:space="preserve">by the generalist class teacher, who may, or more likely, may not be a musician, or a music education specialist. </w:t>
      </w:r>
    </w:p>
    <w:p w14:paraId="72601837" w14:textId="77777777" w:rsidR="00014D3A" w:rsidRPr="00143DB3" w:rsidRDefault="00014D3A"/>
    <w:p w14:paraId="6B8DF0A3" w14:textId="77777777" w:rsidR="00014D3A" w:rsidRPr="00143DB3" w:rsidRDefault="00014D3A"/>
    <w:p w14:paraId="3F558464" w14:textId="77777777" w:rsidR="00014D3A" w:rsidRPr="00143DB3" w:rsidRDefault="00014D3A" w:rsidP="00320E4B">
      <w:pPr>
        <w:rPr>
          <w:i/>
        </w:rPr>
      </w:pPr>
      <w:r w:rsidRPr="00143DB3">
        <w:rPr>
          <w:i/>
        </w:rPr>
        <w:t>WCET content</w:t>
      </w:r>
    </w:p>
    <w:p w14:paraId="4EC4CED0" w14:textId="77777777" w:rsidR="00014D3A" w:rsidRPr="00143DB3" w:rsidRDefault="00014D3A" w:rsidP="00320E4B">
      <w:r w:rsidRPr="00143DB3">
        <w:t xml:space="preserve">Another area where there is very little standardisation is that of content of WCET programmes. The range of instruments involved is large; Fautley </w:t>
      </w:r>
      <w:r w:rsidRPr="00143DB3">
        <w:rPr>
          <w:i/>
        </w:rPr>
        <w:t>et al</w:t>
      </w:r>
      <w:r w:rsidRPr="00143DB3">
        <w:t xml:space="preserve"> found that over 35 instruments formed the basis for various WCET programmes, with Violin and Trumpet/Cornet being the most common </w:t>
      </w:r>
      <w:r w:rsidRPr="00143DB3">
        <w:rPr>
          <w:noProof/>
        </w:rPr>
        <w:t>(Fautley et al., 2017)</w:t>
      </w:r>
      <w:r w:rsidRPr="00143DB3">
        <w:t xml:space="preserve">. Alongside learning to play an instrument, WCET programmes draw on a range of other music learning and performing activities, including clapping and rhythm games, movement, composing, and listening to music. </w:t>
      </w:r>
      <w:r>
        <w:t xml:space="preserve">An important component of WCET programmes is singing, with the majority of programmes involving singing in some form </w:t>
      </w:r>
      <w:r>
        <w:rPr>
          <w:noProof/>
        </w:rPr>
        <w:t>(Lamont et al., 2012)</w:t>
      </w:r>
      <w:r>
        <w:t xml:space="preserve">. </w:t>
      </w:r>
      <w:r w:rsidRPr="00143DB3">
        <w:t xml:space="preserve">Some </w:t>
      </w:r>
      <w:r>
        <w:t xml:space="preserve">WCET programmes </w:t>
      </w:r>
      <w:r w:rsidRPr="00143DB3">
        <w:t xml:space="preserve">also involve learning to read from music notation, ether staff notation, or graphic notation, or other forms. As with other areas we have seen, there is no standardisation of what is taught, learned, and performed. </w:t>
      </w:r>
    </w:p>
    <w:p w14:paraId="6F3EDD46" w14:textId="77777777" w:rsidR="00014D3A" w:rsidRPr="00143DB3" w:rsidRDefault="00014D3A" w:rsidP="00320E4B"/>
    <w:p w14:paraId="59BBACDB" w14:textId="77777777" w:rsidR="00014D3A" w:rsidRPr="00143DB3" w:rsidRDefault="00014D3A" w:rsidP="00320E4B">
      <w:pPr>
        <w:rPr>
          <w:i/>
        </w:rPr>
      </w:pPr>
      <w:r w:rsidRPr="00143DB3">
        <w:rPr>
          <w:i/>
        </w:rPr>
        <w:t xml:space="preserve">Assessment </w:t>
      </w:r>
    </w:p>
    <w:p w14:paraId="0FE33317" w14:textId="77777777" w:rsidR="00014D3A" w:rsidRDefault="00014D3A">
      <w:r>
        <w:t xml:space="preserve">As with so many other aspects of WCET, there is no standardised form of assessment involved in programmes, </w:t>
      </w:r>
      <w:r>
        <w:rPr>
          <w:noProof/>
        </w:rPr>
        <w:t>(Johnson &amp; Fautley, 2017)</w:t>
      </w:r>
      <w:r w:rsidRPr="00DE0DBF">
        <w:t xml:space="preserve"> </w:t>
      </w:r>
      <w:r>
        <w:t xml:space="preserve">and although many Music Education Hubs have developed their own versions, there is no commonality of standards or standardisation, of attainment targets, or of curriculum goals. </w:t>
      </w:r>
      <w:r>
        <w:t>This in itself is not a problem, as the length of the programmes, the context in which it is taught and the age groups /</w:t>
      </w:r>
      <w:bookmarkStart w:id="0" w:name="_GoBack"/>
      <w:bookmarkEnd w:id="0"/>
      <w:r>
        <w:t xml:space="preserve"> instruments vary consistently, therefore this flexibility is appropriate for the diversity of the programmes offered.  </w:t>
      </w:r>
    </w:p>
    <w:p w14:paraId="1A2BB18E" w14:textId="77777777" w:rsidR="00014D3A" w:rsidRDefault="00014D3A"/>
    <w:p w14:paraId="194750E8" w14:textId="77777777" w:rsidR="00014D3A" w:rsidRDefault="00014D3A">
      <w:pPr>
        <w:rPr>
          <w:i/>
        </w:rPr>
      </w:pPr>
      <w:r>
        <w:rPr>
          <w:i/>
        </w:rPr>
        <w:t>Conclusion</w:t>
      </w:r>
    </w:p>
    <w:p w14:paraId="5FF79039" w14:textId="77777777" w:rsidR="00014D3A" w:rsidRPr="00DE0DBF" w:rsidRDefault="00014D3A">
      <w:r>
        <w:t xml:space="preserve">This very brief introduction sets the scene for what is involved in WCET programmes in England, and will hopefully enable an international readership to gain some understanding concerning how it came into being, and of the different and disparate ways in which the programme is operationalised. </w:t>
      </w:r>
    </w:p>
    <w:p w14:paraId="3764C089" w14:textId="77777777" w:rsidR="00014D3A" w:rsidRPr="00143DB3" w:rsidRDefault="00014D3A"/>
    <w:p w14:paraId="2F3B1BD7" w14:textId="77777777" w:rsidR="00014D3A" w:rsidRPr="00143DB3" w:rsidRDefault="00014D3A"/>
    <w:p w14:paraId="09A7D94E" w14:textId="77777777" w:rsidR="00014D3A" w:rsidRPr="00143DB3" w:rsidRDefault="00014D3A" w:rsidP="00AD66DD">
      <w:r w:rsidRPr="00143DB3">
        <w:t>REFERENCES</w:t>
      </w:r>
    </w:p>
    <w:p w14:paraId="074842C8" w14:textId="77777777" w:rsidR="00014D3A" w:rsidRDefault="00014D3A"/>
    <w:p w14:paraId="7A36A408" w14:textId="77777777" w:rsidR="00014D3A" w:rsidRPr="00143DB3" w:rsidRDefault="00014D3A" w:rsidP="00014D3A">
      <w:pPr>
        <w:ind w:left="720" w:hanging="720"/>
      </w:pPr>
      <w:r>
        <w:t xml:space="preserve">Artscouncil.org.uk (no date) </w:t>
      </w:r>
      <w:hyperlink r:id="rId8" w:anchor="section-1" w:history="1">
        <w:r w:rsidRPr="008F2778">
          <w:rPr>
            <w:rStyle w:val="Hyperlink"/>
          </w:rPr>
          <w:t>https://www.artscouncil.org.uk/music-education/music-education-hubs#section-1</w:t>
        </w:r>
      </w:hyperlink>
      <w:r>
        <w:t xml:space="preserve"> Accessed 07/19</w:t>
      </w:r>
    </w:p>
    <w:p w14:paraId="1D3FBBA6" w14:textId="77777777" w:rsidR="00014D3A" w:rsidRPr="00B12A41" w:rsidRDefault="00014D3A" w:rsidP="00014D3A">
      <w:pPr>
        <w:pStyle w:val="EndNoteBibliography"/>
        <w:ind w:left="720" w:hanging="720"/>
        <w:rPr>
          <w:noProof/>
        </w:rPr>
      </w:pPr>
      <w:r w:rsidRPr="00B12A41">
        <w:rPr>
          <w:noProof/>
        </w:rPr>
        <w:t>Bamford, A. &amp; Glinkowski, P. (2010) 'Impact Evaluation of Wider Opportunities Programme in Music at Key Stage Two'. London, Federation of Music Services (FMS).</w:t>
      </w:r>
    </w:p>
    <w:p w14:paraId="310E82C8" w14:textId="77777777" w:rsidR="00014D3A" w:rsidRPr="00014D3A" w:rsidRDefault="00014D3A" w:rsidP="00014D3A">
      <w:pPr>
        <w:autoSpaceDE/>
        <w:autoSpaceDN/>
        <w:adjustRightInd/>
        <w:ind w:left="720" w:hanging="720"/>
        <w:rPr>
          <w:rFonts w:eastAsia="Times New Roman" w:cs="Arial"/>
          <w:szCs w:val="24"/>
          <w:lang w:eastAsia="en-US"/>
        </w:rPr>
      </w:pPr>
      <w:r w:rsidRPr="00014D3A">
        <w:rPr>
          <w:rFonts w:eastAsia="Times New Roman" w:cs="Arial"/>
          <w:szCs w:val="24"/>
          <w:lang w:eastAsia="en-US"/>
        </w:rPr>
        <w:t xml:space="preserve">Daubney, A., Spruce G. and Annetts, D. (2019) Music Education: State of the Nation.  Report by the All-Party Parliamentary Group for Music Education, the Incorporated Society of Musicians and the University of Sussex.  </w:t>
      </w:r>
      <w:hyperlink r:id="rId9" w:history="1">
        <w:r w:rsidRPr="00014D3A">
          <w:rPr>
            <w:rStyle w:val="Hyperlink"/>
            <w:rFonts w:eastAsia="Times New Roman" w:cs="Arial"/>
            <w:szCs w:val="24"/>
            <w:lang w:eastAsia="en-US"/>
          </w:rPr>
          <w:t>https://www.ism.org/images/images/FINAL-State-of-the-Nation-Music-Education-for-email-or-web-2.pdf</w:t>
        </w:r>
      </w:hyperlink>
    </w:p>
    <w:p w14:paraId="14BC0455" w14:textId="77777777" w:rsidR="00014D3A" w:rsidRPr="00B12A41" w:rsidRDefault="00014D3A" w:rsidP="00014D3A">
      <w:pPr>
        <w:pStyle w:val="EndNoteBibliography"/>
        <w:ind w:left="720" w:hanging="720"/>
        <w:rPr>
          <w:noProof/>
        </w:rPr>
      </w:pPr>
      <w:r w:rsidRPr="00B12A41">
        <w:rPr>
          <w:noProof/>
        </w:rPr>
        <w:t>Davies, L. &amp; Stephens, J. (2004) 'Creating chances for making music'. London, Youth Music.</w:t>
      </w:r>
    </w:p>
    <w:p w14:paraId="0BFEE3E9" w14:textId="77777777" w:rsidR="00014D3A" w:rsidRPr="00B12A41" w:rsidRDefault="00014D3A" w:rsidP="00014D3A">
      <w:pPr>
        <w:pStyle w:val="EndNoteBibliography"/>
        <w:ind w:left="720" w:hanging="720"/>
        <w:rPr>
          <w:noProof/>
        </w:rPr>
      </w:pPr>
      <w:r w:rsidRPr="00B12A41">
        <w:rPr>
          <w:noProof/>
        </w:rPr>
        <w:t xml:space="preserve">DfE (2013) Music programmes of study: key stage 2, London, Departent for Education. </w:t>
      </w:r>
      <w:r w:rsidRPr="00014D3A">
        <w:rPr>
          <w:rFonts w:cs="Cochin"/>
          <w:noProof/>
        </w:rPr>
        <w:t>https://www.gov.uk/government/uploads/system/uploads/attachment_data/file/239088/SECONDARY_national_curriculum_-_Music.pdf</w:t>
      </w:r>
    </w:p>
    <w:p w14:paraId="4C7A0982" w14:textId="77777777" w:rsidR="00014D3A" w:rsidRPr="00B12A41" w:rsidRDefault="00014D3A" w:rsidP="00014D3A">
      <w:pPr>
        <w:pStyle w:val="EndNoteBibliography"/>
        <w:ind w:left="720" w:hanging="720"/>
        <w:rPr>
          <w:noProof/>
        </w:rPr>
      </w:pPr>
      <w:r w:rsidRPr="00B12A41">
        <w:rPr>
          <w:noProof/>
        </w:rPr>
        <w:t>DfE &amp; DCMS (2011) 'The Importance of Music - A National Plan for Music Education'. London, Department for Education, and Department for Culture, Media, and Sport.</w:t>
      </w:r>
    </w:p>
    <w:p w14:paraId="00CB8BFC" w14:textId="77777777" w:rsidR="00014D3A" w:rsidRPr="00B12A41" w:rsidRDefault="00014D3A" w:rsidP="00014D3A">
      <w:pPr>
        <w:pStyle w:val="EndNoteBibliography"/>
        <w:ind w:left="720" w:hanging="720"/>
        <w:rPr>
          <w:noProof/>
        </w:rPr>
      </w:pPr>
      <w:r w:rsidRPr="00B12A41">
        <w:rPr>
          <w:noProof/>
        </w:rPr>
        <w:t>DfES (2001) 'Schools achieving success'. London, Department for Education and Skills.</w:t>
      </w:r>
    </w:p>
    <w:p w14:paraId="1BC5E82A" w14:textId="77777777" w:rsidR="00014D3A" w:rsidRPr="00014D3A" w:rsidRDefault="00014D3A" w:rsidP="00014D3A">
      <w:pPr>
        <w:pStyle w:val="NormalWeb"/>
        <w:spacing w:before="0" w:beforeAutospacing="0" w:after="0" w:afterAutospacing="0"/>
        <w:ind w:left="720" w:hanging="720"/>
        <w:rPr>
          <w:rFonts w:ascii="Arial" w:hAnsi="Arial" w:cs="Arial"/>
          <w:i/>
          <w:iCs/>
          <w:color w:val="00727F"/>
        </w:rPr>
      </w:pPr>
      <w:r w:rsidRPr="00014D3A">
        <w:rPr>
          <w:rFonts w:ascii="Arial" w:hAnsi="Arial" w:cs="Arial"/>
        </w:rPr>
        <w:t xml:space="preserve">Digital, Culture, Media and Sport Committee (2018) Live music inquiry, 5 December 2018. </w:t>
      </w:r>
      <w:r w:rsidRPr="00014D3A">
        <w:rPr>
          <w:rFonts w:ascii="Arial" w:hAnsi="Arial" w:cs="Arial"/>
          <w:i/>
          <w:iCs/>
          <w:color w:val="00727F"/>
        </w:rPr>
        <w:t xml:space="preserve">https://www. parliamentlive.tv/Event/Index/8541cc55-9aa7-4632-b7ff- 8d0623c9674d </w:t>
      </w:r>
    </w:p>
    <w:p w14:paraId="12684DC8" w14:textId="77777777" w:rsidR="00014D3A" w:rsidRPr="00B12A41" w:rsidRDefault="00014D3A" w:rsidP="00014D3A">
      <w:pPr>
        <w:pStyle w:val="EndNoteBibliography"/>
        <w:ind w:left="720" w:hanging="720"/>
        <w:rPr>
          <w:noProof/>
        </w:rPr>
      </w:pPr>
      <w:r w:rsidRPr="00B12A41">
        <w:rPr>
          <w:noProof/>
        </w:rPr>
        <w:t>Fautley, M., Coll, H. &amp; Henley, J. (2011) 'Report into the Wider Opportunities Continuing Professional Development Programme provided by Trinity Guildhall and The Open University'. Birmingham, Birmingham City University.</w:t>
      </w:r>
    </w:p>
    <w:p w14:paraId="467CAB50" w14:textId="77777777" w:rsidR="00014D3A" w:rsidRPr="00B12A41" w:rsidRDefault="00014D3A" w:rsidP="00014D3A">
      <w:pPr>
        <w:pStyle w:val="EndNoteBibliography"/>
        <w:ind w:left="720" w:hanging="720"/>
        <w:rPr>
          <w:noProof/>
        </w:rPr>
      </w:pPr>
      <w:r w:rsidRPr="00B12A41">
        <w:rPr>
          <w:noProof/>
        </w:rPr>
        <w:t xml:space="preserve">Fautley, M., Kinsella, V. &amp; Whittaker, A. (2017) </w:t>
      </w:r>
      <w:r w:rsidRPr="00B12A41">
        <w:rPr>
          <w:i/>
          <w:noProof/>
        </w:rPr>
        <w:t>Whole Class Ensemble Teaching - Research Report</w:t>
      </w:r>
      <w:r w:rsidRPr="00B12A41">
        <w:rPr>
          <w:noProof/>
        </w:rPr>
        <w:t>, Birmingham, Birmingham City University and Music Mark.</w:t>
      </w:r>
    </w:p>
    <w:p w14:paraId="37C5005B" w14:textId="77777777" w:rsidR="00014D3A" w:rsidRPr="00B12A41" w:rsidRDefault="00014D3A" w:rsidP="00014D3A">
      <w:pPr>
        <w:pStyle w:val="EndNoteBibliography"/>
        <w:ind w:left="720" w:hanging="720"/>
        <w:rPr>
          <w:noProof/>
        </w:rPr>
      </w:pPr>
      <w:r w:rsidRPr="00B12A41">
        <w:rPr>
          <w:noProof/>
        </w:rPr>
        <w:t>Hallam, S. (2016) 'Whole Class Ensemble Teaching (WCET) Final Report 2016'. London, Music Mark and UCL.</w:t>
      </w:r>
    </w:p>
    <w:p w14:paraId="1BAB6E97" w14:textId="77777777" w:rsidR="00014D3A" w:rsidRPr="00014D3A" w:rsidRDefault="00014D3A" w:rsidP="00014D3A">
      <w:pPr>
        <w:autoSpaceDE/>
        <w:autoSpaceDN/>
        <w:adjustRightInd/>
        <w:ind w:left="720" w:hanging="720"/>
        <w:rPr>
          <w:rFonts w:eastAsia="Times New Roman" w:cs="Arial"/>
          <w:i/>
          <w:iCs/>
          <w:color w:val="00727F"/>
          <w:szCs w:val="24"/>
          <w:lang w:eastAsia="en-US"/>
        </w:rPr>
      </w:pPr>
      <w:r w:rsidRPr="00014D3A">
        <w:rPr>
          <w:rFonts w:eastAsia="Times New Roman" w:cs="Arial"/>
          <w:szCs w:val="24"/>
          <w:lang w:eastAsia="en-US"/>
        </w:rPr>
        <w:t xml:space="preserve">Incorporated Society of Musicians (2018) Consultation on the Future of Music Education. </w:t>
      </w:r>
      <w:r w:rsidRPr="00014D3A">
        <w:rPr>
          <w:rFonts w:eastAsia="Times New Roman" w:cs="Arial"/>
          <w:i/>
          <w:iCs/>
          <w:color w:val="00727F"/>
          <w:szCs w:val="24"/>
          <w:lang w:eastAsia="en-US"/>
        </w:rPr>
        <w:t>https://www.ism.org/news/the- ism-releases-report-on-the-future-of-music-education</w:t>
      </w:r>
    </w:p>
    <w:p w14:paraId="1ABE4DEE" w14:textId="77777777" w:rsidR="00014D3A" w:rsidRPr="00B12A41" w:rsidRDefault="00014D3A" w:rsidP="00014D3A">
      <w:pPr>
        <w:pStyle w:val="EndNoteBibliography"/>
        <w:ind w:left="720" w:hanging="720"/>
        <w:rPr>
          <w:noProof/>
        </w:rPr>
      </w:pPr>
      <w:r w:rsidRPr="00B12A41">
        <w:rPr>
          <w:noProof/>
        </w:rPr>
        <w:t xml:space="preserve">Johnson, D. &amp; Fautley, M. (2017) Assessment of whole-class instrumental music learning in England and the United States of America: an international comparative study. </w:t>
      </w:r>
      <w:r w:rsidRPr="00B12A41">
        <w:rPr>
          <w:i/>
          <w:noProof/>
        </w:rPr>
        <w:t>Education 3-13,</w:t>
      </w:r>
      <w:r w:rsidRPr="00B12A41">
        <w:rPr>
          <w:noProof/>
        </w:rPr>
        <w:t xml:space="preserve"> </w:t>
      </w:r>
      <w:r w:rsidRPr="00B12A41">
        <w:rPr>
          <w:b/>
          <w:noProof/>
        </w:rPr>
        <w:t>45</w:t>
      </w:r>
      <w:r w:rsidRPr="00B12A41">
        <w:rPr>
          <w:noProof/>
        </w:rPr>
        <w:t>, 6, 701-709.</w:t>
      </w:r>
    </w:p>
    <w:p w14:paraId="11C06A59" w14:textId="77777777" w:rsidR="00014D3A" w:rsidRPr="00B12A41" w:rsidRDefault="00014D3A" w:rsidP="00014D3A">
      <w:pPr>
        <w:pStyle w:val="EndNoteBibliography"/>
        <w:ind w:left="720" w:hanging="720"/>
        <w:rPr>
          <w:noProof/>
        </w:rPr>
      </w:pPr>
      <w:r w:rsidRPr="00B12A41">
        <w:rPr>
          <w:noProof/>
        </w:rPr>
        <w:t xml:space="preserve">Lamont, A., Daubney, A. &amp; Spruce, G. (2012) Singing in primary schools: case studies of good practice in whole class vocal tuition. </w:t>
      </w:r>
      <w:r w:rsidRPr="00B12A41">
        <w:rPr>
          <w:i/>
          <w:noProof/>
        </w:rPr>
        <w:t>British Journal of Music Education,</w:t>
      </w:r>
      <w:r w:rsidRPr="00B12A41">
        <w:rPr>
          <w:noProof/>
        </w:rPr>
        <w:t xml:space="preserve"> </w:t>
      </w:r>
      <w:r w:rsidRPr="00B12A41">
        <w:rPr>
          <w:b/>
          <w:noProof/>
        </w:rPr>
        <w:t>29</w:t>
      </w:r>
      <w:r w:rsidRPr="00B12A41">
        <w:rPr>
          <w:noProof/>
        </w:rPr>
        <w:t>, 2, 251-268.</w:t>
      </w:r>
    </w:p>
    <w:p w14:paraId="1DBC855E" w14:textId="77777777" w:rsidR="00014D3A" w:rsidRPr="00014D3A" w:rsidRDefault="00014D3A" w:rsidP="00014D3A">
      <w:pPr>
        <w:autoSpaceDE/>
        <w:autoSpaceDN/>
        <w:adjustRightInd/>
        <w:ind w:left="720" w:hanging="720"/>
        <w:rPr>
          <w:rFonts w:eastAsia="Times New Roman" w:cs="Arial"/>
          <w:szCs w:val="24"/>
          <w:lang w:eastAsia="en-US"/>
        </w:rPr>
      </w:pPr>
      <w:r w:rsidRPr="00014D3A">
        <w:rPr>
          <w:rFonts w:eastAsia="Times New Roman" w:cs="Arial"/>
          <w:szCs w:val="24"/>
          <w:lang w:eastAsia="en-US"/>
        </w:rPr>
        <w:t>Musicians Union (2017) 2017 Education report. https://www.musiciansunion.org.uk/Files/Reports/Industry/MU-2017-Education-Report-8pp-A4</w:t>
      </w:r>
    </w:p>
    <w:p w14:paraId="645520FE" w14:textId="77777777" w:rsidR="00014D3A" w:rsidRPr="00B12A41" w:rsidRDefault="00014D3A" w:rsidP="00014D3A">
      <w:pPr>
        <w:pStyle w:val="EndNoteBibliography"/>
        <w:ind w:left="720" w:hanging="720"/>
        <w:rPr>
          <w:noProof/>
        </w:rPr>
      </w:pPr>
      <w:r w:rsidRPr="00B12A41">
        <w:rPr>
          <w:noProof/>
        </w:rPr>
        <w:t>Ofsted (2004) 'Tuning in: wider opportunities in specialist instrumental tuition for pupils in Key Stage 2. An evaluation of pilot programmes in 12 local education authorities'. London, Ofsted.</w:t>
      </w:r>
    </w:p>
    <w:p w14:paraId="30DF92CE" w14:textId="77777777" w:rsidR="00014D3A" w:rsidRPr="00B12A41" w:rsidRDefault="00014D3A" w:rsidP="00014D3A">
      <w:pPr>
        <w:pStyle w:val="EndNoteBibliography"/>
        <w:ind w:left="720" w:hanging="720"/>
        <w:rPr>
          <w:noProof/>
        </w:rPr>
      </w:pPr>
      <w:r w:rsidRPr="00B12A41">
        <w:rPr>
          <w:noProof/>
        </w:rPr>
        <w:t>Zeserson, K. &amp; Welch, G. F. (2017) 'Policy and research endeavours'. In Schmidt, P. &amp; Colwell, R. (Eds), pp. 65-84. New York, Oxford University Press.</w:t>
      </w:r>
    </w:p>
    <w:p w14:paraId="0C0FBD35" w14:textId="77777777" w:rsidR="00014D3A" w:rsidRPr="00FD2B80" w:rsidRDefault="00014D3A" w:rsidP="00FD5BD3">
      <w:pPr>
        <w:autoSpaceDE/>
        <w:autoSpaceDN/>
        <w:adjustRightInd/>
        <w:spacing w:before="100" w:beforeAutospacing="1" w:after="100" w:afterAutospacing="1"/>
        <w:rPr>
          <w:rFonts w:ascii="Times New Roman" w:eastAsia="Times New Roman" w:hAnsi="Times New Roman" w:cs="Times New Roman"/>
          <w:szCs w:val="24"/>
          <w:lang w:eastAsia="en-US"/>
        </w:rPr>
      </w:pPr>
    </w:p>
    <w:p w14:paraId="52DA61F6" w14:textId="77777777" w:rsidR="00014D3A" w:rsidRDefault="00014D3A" w:rsidP="00FD5BD3">
      <w:pPr>
        <w:pStyle w:val="NormalWeb"/>
      </w:pPr>
    </w:p>
    <w:p w14:paraId="1EECEDB1" w14:textId="77777777" w:rsidR="00014D3A" w:rsidRPr="00143DB3" w:rsidRDefault="00014D3A"/>
    <w:p w14:paraId="0267522E" w14:textId="77777777" w:rsidR="009E231B" w:rsidRDefault="009E231B"/>
    <w:sectPr w:rsidR="009E231B" w:rsidSect="00EB62F4">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CFAB2" w14:textId="77777777" w:rsidR="00014D3A" w:rsidRDefault="00014D3A" w:rsidP="00014D3A">
      <w:r>
        <w:separator/>
      </w:r>
    </w:p>
  </w:endnote>
  <w:endnote w:type="continuationSeparator" w:id="0">
    <w:p w14:paraId="0EC7C97A" w14:textId="77777777" w:rsidR="00014D3A" w:rsidRDefault="00014D3A" w:rsidP="0001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ochin">
    <w:panose1 w:val="02000603020000020003"/>
    <w:charset w:val="00"/>
    <w:family w:val="auto"/>
    <w:pitch w:val="variable"/>
    <w:sig w:usb0="800002FF" w:usb1="4000004A" w:usb2="00000000" w:usb3="00000000" w:csb0="00000007"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0BACE" w14:textId="77777777" w:rsidR="00D717FD" w:rsidRDefault="007413AE" w:rsidP="00CF34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3B2882" w14:textId="77777777" w:rsidR="00D717FD" w:rsidRDefault="007413AE" w:rsidP="00CF349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A4991" w14:textId="77777777" w:rsidR="00D717FD" w:rsidRDefault="007413AE" w:rsidP="00CF34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554FC99" w14:textId="77777777" w:rsidR="00D717FD" w:rsidRDefault="007413AE" w:rsidP="00CF349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726FF" w14:textId="77777777" w:rsidR="00014D3A" w:rsidRDefault="00014D3A" w:rsidP="00014D3A">
      <w:r>
        <w:separator/>
      </w:r>
    </w:p>
  </w:footnote>
  <w:footnote w:type="continuationSeparator" w:id="0">
    <w:p w14:paraId="5BC8B182" w14:textId="77777777" w:rsidR="00014D3A" w:rsidRDefault="00014D3A" w:rsidP="00014D3A">
      <w:r>
        <w:continuationSeparator/>
      </w:r>
    </w:p>
  </w:footnote>
  <w:footnote w:id="1">
    <w:p w14:paraId="2B80ECE9" w14:textId="77777777" w:rsidR="00014D3A" w:rsidRDefault="00014D3A">
      <w:pPr>
        <w:pStyle w:val="FootnoteText"/>
      </w:pPr>
      <w:r>
        <w:rPr>
          <w:rStyle w:val="FootnoteReference"/>
        </w:rPr>
        <w:footnoteRef/>
      </w:r>
      <w:r>
        <w:t xml:space="preserve"> FMS, the Federation of Music Services, no longer exists, but is now subsumed within an English national music subject association ‘Music Mark’.</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976054"/>
    <w:multiLevelType w:val="hybridMultilevel"/>
    <w:tmpl w:val="8E1C32EE"/>
    <w:lvl w:ilvl="0" w:tplc="0416111A">
      <w:start w:val="1"/>
      <w:numFmt w:val="bullet"/>
      <w:lvlText w:val="−"/>
      <w:lvlJc w:val="left"/>
      <w:pPr>
        <w:ind w:left="1440" w:hanging="360"/>
      </w:pPr>
      <w:rPr>
        <w:rFonts w:ascii="Arial" w:eastAsia="Cochin" w:hAnsi="Arial" w:cs="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EBD7675"/>
    <w:multiLevelType w:val="hybridMultilevel"/>
    <w:tmpl w:val="86D8AF94"/>
    <w:lvl w:ilvl="0" w:tplc="0416111A">
      <w:start w:val="1"/>
      <w:numFmt w:val="bullet"/>
      <w:lvlText w:val="−"/>
      <w:lvlJc w:val="left"/>
      <w:pPr>
        <w:ind w:left="1440" w:hanging="360"/>
      </w:pPr>
      <w:rPr>
        <w:rFonts w:ascii="Arial" w:eastAsia="Cochin" w:hAnsi="Arial" w:cs="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1295905"/>
    <w:multiLevelType w:val="hybridMultilevel"/>
    <w:tmpl w:val="D43A727C"/>
    <w:lvl w:ilvl="0" w:tplc="0416111A">
      <w:start w:val="1"/>
      <w:numFmt w:val="bullet"/>
      <w:lvlText w:val="−"/>
      <w:lvlJc w:val="left"/>
      <w:pPr>
        <w:ind w:left="720" w:hanging="360"/>
      </w:pPr>
      <w:rPr>
        <w:rFonts w:ascii="Arial" w:eastAsia="Cochi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DA7CAE"/>
    <w:multiLevelType w:val="hybridMultilevel"/>
    <w:tmpl w:val="8ECA6914"/>
    <w:lvl w:ilvl="0" w:tplc="0416111A">
      <w:start w:val="1"/>
      <w:numFmt w:val="bullet"/>
      <w:lvlText w:val="−"/>
      <w:lvlJc w:val="left"/>
      <w:pPr>
        <w:ind w:left="720" w:hanging="360"/>
      </w:pPr>
      <w:rPr>
        <w:rFonts w:ascii="Arial" w:eastAsia="Cochi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34765E"/>
    <w:multiLevelType w:val="multilevel"/>
    <w:tmpl w:val="AE8848F8"/>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7CC173A"/>
    <w:multiLevelType w:val="multilevel"/>
    <w:tmpl w:val="912E1B6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14D3A"/>
    <w:rsid w:val="00014D3A"/>
    <w:rsid w:val="00473DF1"/>
    <w:rsid w:val="007413AE"/>
    <w:rsid w:val="009E231B"/>
    <w:rsid w:val="00E07E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280A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14D3A"/>
    <w:pPr>
      <w:autoSpaceDE w:val="0"/>
      <w:autoSpaceDN w:val="0"/>
      <w:adjustRightInd w:val="0"/>
    </w:pPr>
    <w:rPr>
      <w:rFonts w:ascii="Arial" w:eastAsia="Cochin" w:hAnsi="Arial" w:cs="Cochin"/>
      <w:szCs w:val="20"/>
      <w:lang w:eastAsia="ja-JP"/>
    </w:rPr>
  </w:style>
  <w:style w:type="character" w:default="1" w:styleId="DefaultParagraphFont">
    <w:name w:val="Default Paragraph Font"/>
    <w:uiPriority w:val="1"/>
    <w:semiHidden/>
    <w:unhideWhenUsed/>
    <w:rsid w:val="00014D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14D3A"/>
  </w:style>
  <w:style w:type="paragraph" w:styleId="BalloonText">
    <w:name w:val="Balloon Text"/>
    <w:basedOn w:val="Normal"/>
    <w:link w:val="BalloonTextChar"/>
    <w:uiPriority w:val="99"/>
    <w:semiHidden/>
    <w:unhideWhenUsed/>
    <w:rsid w:val="00014D3A"/>
    <w:rPr>
      <w:rFonts w:ascii="Lucida Grande" w:hAnsi="Lucida Grande"/>
      <w:sz w:val="18"/>
      <w:szCs w:val="18"/>
    </w:rPr>
  </w:style>
  <w:style w:type="character" w:customStyle="1" w:styleId="BalloonTextChar">
    <w:name w:val="Balloon Text Char"/>
    <w:basedOn w:val="DefaultParagraphFont"/>
    <w:link w:val="BalloonText"/>
    <w:uiPriority w:val="99"/>
    <w:semiHidden/>
    <w:rsid w:val="00014D3A"/>
    <w:rPr>
      <w:rFonts w:ascii="Lucida Grande" w:eastAsia="Cochin" w:hAnsi="Lucida Grande" w:cs="Cochin"/>
      <w:sz w:val="18"/>
      <w:szCs w:val="18"/>
      <w:lang w:eastAsia="ja-JP"/>
    </w:rPr>
  </w:style>
  <w:style w:type="paragraph" w:customStyle="1" w:styleId="Tables">
    <w:name w:val="Tables"/>
    <w:basedOn w:val="Normal"/>
    <w:autoRedefine/>
    <w:uiPriority w:val="99"/>
    <w:qFormat/>
    <w:rsid w:val="00014D3A"/>
    <w:rPr>
      <w:i/>
      <w:sz w:val="20"/>
    </w:rPr>
  </w:style>
  <w:style w:type="paragraph" w:styleId="TableofFigures">
    <w:name w:val="table of figures"/>
    <w:basedOn w:val="Normal"/>
    <w:next w:val="Normal"/>
    <w:uiPriority w:val="99"/>
    <w:unhideWhenUsed/>
    <w:rsid w:val="00014D3A"/>
    <w:rPr>
      <w:i/>
      <w:color w:val="365F91" w:themeColor="accent1" w:themeShade="BF"/>
      <w:sz w:val="20"/>
    </w:rPr>
  </w:style>
  <w:style w:type="paragraph" w:styleId="TOC1">
    <w:name w:val="toc 1"/>
    <w:aliases w:val="Table of tables"/>
    <w:basedOn w:val="Normal"/>
    <w:next w:val="Normal"/>
    <w:autoRedefine/>
    <w:uiPriority w:val="39"/>
    <w:semiHidden/>
    <w:unhideWhenUsed/>
    <w:qFormat/>
    <w:rsid w:val="00014D3A"/>
    <w:pPr>
      <w:autoSpaceDE/>
      <w:autoSpaceDN/>
      <w:adjustRightInd/>
      <w:spacing w:after="100"/>
    </w:pPr>
    <w:rPr>
      <w:rFonts w:eastAsiaTheme="minorHAnsi" w:cstheme="minorBidi"/>
      <w:i/>
      <w:sz w:val="20"/>
      <w:szCs w:val="24"/>
      <w:lang w:eastAsia="en-US"/>
    </w:rPr>
  </w:style>
  <w:style w:type="paragraph" w:styleId="TOC2">
    <w:name w:val="toc 2"/>
    <w:basedOn w:val="Normal"/>
    <w:next w:val="Normal"/>
    <w:autoRedefine/>
    <w:uiPriority w:val="39"/>
    <w:unhideWhenUsed/>
    <w:qFormat/>
    <w:rsid w:val="00014D3A"/>
    <w:pPr>
      <w:spacing w:after="100"/>
      <w:ind w:left="240"/>
    </w:pPr>
    <w:rPr>
      <w:i/>
      <w:sz w:val="20"/>
    </w:rPr>
  </w:style>
  <w:style w:type="paragraph" w:customStyle="1" w:styleId="EndNoteBibliographyTitle">
    <w:name w:val="EndNote Bibliography Title"/>
    <w:basedOn w:val="Normal"/>
    <w:rsid w:val="00014D3A"/>
    <w:pPr>
      <w:jc w:val="center"/>
    </w:pPr>
    <w:rPr>
      <w:rFonts w:cs="Arial"/>
    </w:rPr>
  </w:style>
  <w:style w:type="paragraph" w:customStyle="1" w:styleId="EndNoteBibliography">
    <w:name w:val="EndNote Bibliography"/>
    <w:basedOn w:val="Normal"/>
    <w:rsid w:val="00014D3A"/>
    <w:rPr>
      <w:rFonts w:cs="Arial"/>
    </w:rPr>
  </w:style>
  <w:style w:type="paragraph" w:styleId="ListParagraph">
    <w:name w:val="List Paragraph"/>
    <w:basedOn w:val="Normal"/>
    <w:uiPriority w:val="34"/>
    <w:qFormat/>
    <w:rsid w:val="00014D3A"/>
    <w:pPr>
      <w:ind w:left="720"/>
      <w:contextualSpacing/>
    </w:pPr>
  </w:style>
  <w:style w:type="paragraph" w:styleId="Footer">
    <w:name w:val="footer"/>
    <w:basedOn w:val="Normal"/>
    <w:link w:val="FooterChar"/>
    <w:uiPriority w:val="99"/>
    <w:unhideWhenUsed/>
    <w:rsid w:val="00014D3A"/>
    <w:pPr>
      <w:tabs>
        <w:tab w:val="center" w:pos="4320"/>
        <w:tab w:val="right" w:pos="8640"/>
      </w:tabs>
    </w:pPr>
  </w:style>
  <w:style w:type="character" w:customStyle="1" w:styleId="FooterChar">
    <w:name w:val="Footer Char"/>
    <w:basedOn w:val="DefaultParagraphFont"/>
    <w:link w:val="Footer"/>
    <w:uiPriority w:val="99"/>
    <w:rsid w:val="00014D3A"/>
    <w:rPr>
      <w:rFonts w:ascii="Arial" w:eastAsia="Cochin" w:hAnsi="Arial" w:cs="Cochin"/>
      <w:szCs w:val="20"/>
      <w:lang w:eastAsia="ja-JP"/>
    </w:rPr>
  </w:style>
  <w:style w:type="character" w:styleId="PageNumber">
    <w:name w:val="page number"/>
    <w:basedOn w:val="DefaultParagraphFont"/>
    <w:uiPriority w:val="99"/>
    <w:semiHidden/>
    <w:unhideWhenUsed/>
    <w:rsid w:val="00014D3A"/>
  </w:style>
  <w:style w:type="character" w:styleId="Hyperlink">
    <w:name w:val="Hyperlink"/>
    <w:basedOn w:val="DefaultParagraphFont"/>
    <w:uiPriority w:val="99"/>
    <w:unhideWhenUsed/>
    <w:rsid w:val="00014D3A"/>
    <w:rPr>
      <w:color w:val="0000FF" w:themeColor="hyperlink"/>
      <w:u w:val="single"/>
    </w:rPr>
  </w:style>
  <w:style w:type="character" w:styleId="CommentReference">
    <w:name w:val="annotation reference"/>
    <w:basedOn w:val="DefaultParagraphFont"/>
    <w:uiPriority w:val="99"/>
    <w:semiHidden/>
    <w:unhideWhenUsed/>
    <w:rsid w:val="00014D3A"/>
    <w:rPr>
      <w:sz w:val="16"/>
      <w:szCs w:val="16"/>
    </w:rPr>
  </w:style>
  <w:style w:type="paragraph" w:styleId="CommentText">
    <w:name w:val="annotation text"/>
    <w:basedOn w:val="Normal"/>
    <w:link w:val="CommentTextChar"/>
    <w:uiPriority w:val="99"/>
    <w:semiHidden/>
    <w:unhideWhenUsed/>
    <w:rsid w:val="00014D3A"/>
    <w:rPr>
      <w:sz w:val="20"/>
    </w:rPr>
  </w:style>
  <w:style w:type="character" w:customStyle="1" w:styleId="CommentTextChar">
    <w:name w:val="Comment Text Char"/>
    <w:basedOn w:val="DefaultParagraphFont"/>
    <w:link w:val="CommentText"/>
    <w:uiPriority w:val="99"/>
    <w:semiHidden/>
    <w:rsid w:val="00014D3A"/>
    <w:rPr>
      <w:rFonts w:ascii="Arial" w:eastAsia="Cochin" w:hAnsi="Arial" w:cs="Cochin"/>
      <w:sz w:val="20"/>
      <w:szCs w:val="20"/>
      <w:lang w:eastAsia="ja-JP"/>
    </w:rPr>
  </w:style>
  <w:style w:type="paragraph" w:styleId="CommentSubject">
    <w:name w:val="annotation subject"/>
    <w:basedOn w:val="CommentText"/>
    <w:next w:val="CommentText"/>
    <w:link w:val="CommentSubjectChar"/>
    <w:uiPriority w:val="99"/>
    <w:semiHidden/>
    <w:unhideWhenUsed/>
    <w:rsid w:val="00014D3A"/>
    <w:rPr>
      <w:b/>
      <w:bCs/>
    </w:rPr>
  </w:style>
  <w:style w:type="character" w:customStyle="1" w:styleId="CommentSubjectChar">
    <w:name w:val="Comment Subject Char"/>
    <w:basedOn w:val="CommentTextChar"/>
    <w:link w:val="CommentSubject"/>
    <w:uiPriority w:val="99"/>
    <w:semiHidden/>
    <w:rsid w:val="00014D3A"/>
    <w:rPr>
      <w:rFonts w:ascii="Arial" w:eastAsia="Cochin" w:hAnsi="Arial" w:cs="Cochin"/>
      <w:b/>
      <w:bCs/>
      <w:sz w:val="20"/>
      <w:szCs w:val="20"/>
      <w:lang w:eastAsia="ja-JP"/>
    </w:rPr>
  </w:style>
  <w:style w:type="paragraph" w:styleId="FootnoteText">
    <w:name w:val="footnote text"/>
    <w:basedOn w:val="Normal"/>
    <w:link w:val="FootnoteTextChar"/>
    <w:uiPriority w:val="99"/>
    <w:semiHidden/>
    <w:unhideWhenUsed/>
    <w:rsid w:val="00014D3A"/>
    <w:rPr>
      <w:sz w:val="20"/>
    </w:rPr>
  </w:style>
  <w:style w:type="character" w:customStyle="1" w:styleId="FootnoteTextChar">
    <w:name w:val="Footnote Text Char"/>
    <w:basedOn w:val="DefaultParagraphFont"/>
    <w:link w:val="FootnoteText"/>
    <w:uiPriority w:val="99"/>
    <w:semiHidden/>
    <w:rsid w:val="00014D3A"/>
    <w:rPr>
      <w:rFonts w:ascii="Arial" w:eastAsia="Cochin" w:hAnsi="Arial" w:cs="Cochin"/>
      <w:sz w:val="20"/>
      <w:szCs w:val="20"/>
      <w:lang w:eastAsia="ja-JP"/>
    </w:rPr>
  </w:style>
  <w:style w:type="character" w:styleId="FootnoteReference">
    <w:name w:val="footnote reference"/>
    <w:basedOn w:val="DefaultParagraphFont"/>
    <w:uiPriority w:val="99"/>
    <w:semiHidden/>
    <w:unhideWhenUsed/>
    <w:rsid w:val="00014D3A"/>
    <w:rPr>
      <w:vertAlign w:val="superscript"/>
    </w:rPr>
  </w:style>
  <w:style w:type="paragraph" w:styleId="NormalWeb">
    <w:name w:val="Normal (Web)"/>
    <w:basedOn w:val="Normal"/>
    <w:uiPriority w:val="99"/>
    <w:semiHidden/>
    <w:unhideWhenUsed/>
    <w:rsid w:val="00014D3A"/>
    <w:pPr>
      <w:autoSpaceDE/>
      <w:autoSpaceDN/>
      <w:adjustRightInd/>
      <w:spacing w:before="100" w:beforeAutospacing="1" w:after="100" w:afterAutospacing="1"/>
    </w:pPr>
    <w:rPr>
      <w:rFonts w:ascii="Times New Roman" w:eastAsia="Times New Roman" w:hAnsi="Times New Roman" w:cs="Times New Roman"/>
      <w:szCs w:val="24"/>
      <w:lang w:eastAsia="en-US"/>
    </w:rPr>
  </w:style>
  <w:style w:type="character" w:customStyle="1" w:styleId="UnresolvedMention1">
    <w:name w:val="Unresolved Mention1"/>
    <w:basedOn w:val="DefaultParagraphFont"/>
    <w:uiPriority w:val="99"/>
    <w:semiHidden/>
    <w:unhideWhenUsed/>
    <w:rsid w:val="00014D3A"/>
    <w:rPr>
      <w:color w:val="605E5C"/>
      <w:shd w:val="clear" w:color="auto" w:fill="E1DFDD"/>
    </w:rPr>
  </w:style>
  <w:style w:type="paragraph" w:styleId="Revision">
    <w:name w:val="Revision"/>
    <w:hidden/>
    <w:uiPriority w:val="99"/>
    <w:semiHidden/>
    <w:rsid w:val="00014D3A"/>
    <w:rPr>
      <w:rFonts w:ascii="Arial" w:eastAsia="Cochin" w:hAnsi="Arial" w:cs="Cochin"/>
      <w:szCs w:val="20"/>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14D3A"/>
    <w:pPr>
      <w:autoSpaceDE w:val="0"/>
      <w:autoSpaceDN w:val="0"/>
      <w:adjustRightInd w:val="0"/>
    </w:pPr>
    <w:rPr>
      <w:rFonts w:ascii="Arial" w:eastAsia="Cochin" w:hAnsi="Arial" w:cs="Cochin"/>
      <w:szCs w:val="20"/>
      <w:lang w:eastAsia="ja-JP"/>
    </w:rPr>
  </w:style>
  <w:style w:type="character" w:default="1" w:styleId="DefaultParagraphFont">
    <w:name w:val="Default Paragraph Font"/>
    <w:uiPriority w:val="1"/>
    <w:semiHidden/>
    <w:unhideWhenUsed/>
    <w:rsid w:val="00014D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14D3A"/>
  </w:style>
  <w:style w:type="paragraph" w:styleId="BalloonText">
    <w:name w:val="Balloon Text"/>
    <w:basedOn w:val="Normal"/>
    <w:link w:val="BalloonTextChar"/>
    <w:uiPriority w:val="99"/>
    <w:semiHidden/>
    <w:unhideWhenUsed/>
    <w:rsid w:val="00014D3A"/>
    <w:rPr>
      <w:rFonts w:ascii="Lucida Grande" w:hAnsi="Lucida Grande"/>
      <w:sz w:val="18"/>
      <w:szCs w:val="18"/>
    </w:rPr>
  </w:style>
  <w:style w:type="character" w:customStyle="1" w:styleId="BalloonTextChar">
    <w:name w:val="Balloon Text Char"/>
    <w:basedOn w:val="DefaultParagraphFont"/>
    <w:link w:val="BalloonText"/>
    <w:uiPriority w:val="99"/>
    <w:semiHidden/>
    <w:rsid w:val="00014D3A"/>
    <w:rPr>
      <w:rFonts w:ascii="Lucida Grande" w:eastAsia="Cochin" w:hAnsi="Lucida Grande" w:cs="Cochin"/>
      <w:sz w:val="18"/>
      <w:szCs w:val="18"/>
      <w:lang w:eastAsia="ja-JP"/>
    </w:rPr>
  </w:style>
  <w:style w:type="paragraph" w:customStyle="1" w:styleId="Tables">
    <w:name w:val="Tables"/>
    <w:basedOn w:val="Normal"/>
    <w:autoRedefine/>
    <w:uiPriority w:val="99"/>
    <w:qFormat/>
    <w:rsid w:val="00014D3A"/>
    <w:rPr>
      <w:i/>
      <w:sz w:val="20"/>
    </w:rPr>
  </w:style>
  <w:style w:type="paragraph" w:styleId="TableofFigures">
    <w:name w:val="table of figures"/>
    <w:basedOn w:val="Normal"/>
    <w:next w:val="Normal"/>
    <w:uiPriority w:val="99"/>
    <w:unhideWhenUsed/>
    <w:rsid w:val="00014D3A"/>
    <w:rPr>
      <w:i/>
      <w:color w:val="365F91" w:themeColor="accent1" w:themeShade="BF"/>
      <w:sz w:val="20"/>
    </w:rPr>
  </w:style>
  <w:style w:type="paragraph" w:styleId="TOC1">
    <w:name w:val="toc 1"/>
    <w:aliases w:val="Table of tables"/>
    <w:basedOn w:val="Normal"/>
    <w:next w:val="Normal"/>
    <w:autoRedefine/>
    <w:uiPriority w:val="39"/>
    <w:semiHidden/>
    <w:unhideWhenUsed/>
    <w:qFormat/>
    <w:rsid w:val="00014D3A"/>
    <w:pPr>
      <w:autoSpaceDE/>
      <w:autoSpaceDN/>
      <w:adjustRightInd/>
      <w:spacing w:after="100"/>
    </w:pPr>
    <w:rPr>
      <w:rFonts w:eastAsiaTheme="minorHAnsi" w:cstheme="minorBidi"/>
      <w:i/>
      <w:sz w:val="20"/>
      <w:szCs w:val="24"/>
      <w:lang w:eastAsia="en-US"/>
    </w:rPr>
  </w:style>
  <w:style w:type="paragraph" w:styleId="TOC2">
    <w:name w:val="toc 2"/>
    <w:basedOn w:val="Normal"/>
    <w:next w:val="Normal"/>
    <w:autoRedefine/>
    <w:uiPriority w:val="39"/>
    <w:unhideWhenUsed/>
    <w:qFormat/>
    <w:rsid w:val="00014D3A"/>
    <w:pPr>
      <w:spacing w:after="100"/>
      <w:ind w:left="240"/>
    </w:pPr>
    <w:rPr>
      <w:i/>
      <w:sz w:val="20"/>
    </w:rPr>
  </w:style>
  <w:style w:type="paragraph" w:customStyle="1" w:styleId="EndNoteBibliographyTitle">
    <w:name w:val="EndNote Bibliography Title"/>
    <w:basedOn w:val="Normal"/>
    <w:rsid w:val="00014D3A"/>
    <w:pPr>
      <w:jc w:val="center"/>
    </w:pPr>
    <w:rPr>
      <w:rFonts w:cs="Arial"/>
    </w:rPr>
  </w:style>
  <w:style w:type="paragraph" w:customStyle="1" w:styleId="EndNoteBibliography">
    <w:name w:val="EndNote Bibliography"/>
    <w:basedOn w:val="Normal"/>
    <w:rsid w:val="00014D3A"/>
    <w:rPr>
      <w:rFonts w:cs="Arial"/>
    </w:rPr>
  </w:style>
  <w:style w:type="paragraph" w:styleId="ListParagraph">
    <w:name w:val="List Paragraph"/>
    <w:basedOn w:val="Normal"/>
    <w:uiPriority w:val="34"/>
    <w:qFormat/>
    <w:rsid w:val="00014D3A"/>
    <w:pPr>
      <w:ind w:left="720"/>
      <w:contextualSpacing/>
    </w:pPr>
  </w:style>
  <w:style w:type="paragraph" w:styleId="Footer">
    <w:name w:val="footer"/>
    <w:basedOn w:val="Normal"/>
    <w:link w:val="FooterChar"/>
    <w:uiPriority w:val="99"/>
    <w:unhideWhenUsed/>
    <w:rsid w:val="00014D3A"/>
    <w:pPr>
      <w:tabs>
        <w:tab w:val="center" w:pos="4320"/>
        <w:tab w:val="right" w:pos="8640"/>
      </w:tabs>
    </w:pPr>
  </w:style>
  <w:style w:type="character" w:customStyle="1" w:styleId="FooterChar">
    <w:name w:val="Footer Char"/>
    <w:basedOn w:val="DefaultParagraphFont"/>
    <w:link w:val="Footer"/>
    <w:uiPriority w:val="99"/>
    <w:rsid w:val="00014D3A"/>
    <w:rPr>
      <w:rFonts w:ascii="Arial" w:eastAsia="Cochin" w:hAnsi="Arial" w:cs="Cochin"/>
      <w:szCs w:val="20"/>
      <w:lang w:eastAsia="ja-JP"/>
    </w:rPr>
  </w:style>
  <w:style w:type="character" w:styleId="PageNumber">
    <w:name w:val="page number"/>
    <w:basedOn w:val="DefaultParagraphFont"/>
    <w:uiPriority w:val="99"/>
    <w:semiHidden/>
    <w:unhideWhenUsed/>
    <w:rsid w:val="00014D3A"/>
  </w:style>
  <w:style w:type="character" w:styleId="Hyperlink">
    <w:name w:val="Hyperlink"/>
    <w:basedOn w:val="DefaultParagraphFont"/>
    <w:uiPriority w:val="99"/>
    <w:unhideWhenUsed/>
    <w:rsid w:val="00014D3A"/>
    <w:rPr>
      <w:color w:val="0000FF" w:themeColor="hyperlink"/>
      <w:u w:val="single"/>
    </w:rPr>
  </w:style>
  <w:style w:type="character" w:styleId="CommentReference">
    <w:name w:val="annotation reference"/>
    <w:basedOn w:val="DefaultParagraphFont"/>
    <w:uiPriority w:val="99"/>
    <w:semiHidden/>
    <w:unhideWhenUsed/>
    <w:rsid w:val="00014D3A"/>
    <w:rPr>
      <w:sz w:val="16"/>
      <w:szCs w:val="16"/>
    </w:rPr>
  </w:style>
  <w:style w:type="paragraph" w:styleId="CommentText">
    <w:name w:val="annotation text"/>
    <w:basedOn w:val="Normal"/>
    <w:link w:val="CommentTextChar"/>
    <w:uiPriority w:val="99"/>
    <w:semiHidden/>
    <w:unhideWhenUsed/>
    <w:rsid w:val="00014D3A"/>
    <w:rPr>
      <w:sz w:val="20"/>
    </w:rPr>
  </w:style>
  <w:style w:type="character" w:customStyle="1" w:styleId="CommentTextChar">
    <w:name w:val="Comment Text Char"/>
    <w:basedOn w:val="DefaultParagraphFont"/>
    <w:link w:val="CommentText"/>
    <w:uiPriority w:val="99"/>
    <w:semiHidden/>
    <w:rsid w:val="00014D3A"/>
    <w:rPr>
      <w:rFonts w:ascii="Arial" w:eastAsia="Cochin" w:hAnsi="Arial" w:cs="Cochin"/>
      <w:sz w:val="20"/>
      <w:szCs w:val="20"/>
      <w:lang w:eastAsia="ja-JP"/>
    </w:rPr>
  </w:style>
  <w:style w:type="paragraph" w:styleId="CommentSubject">
    <w:name w:val="annotation subject"/>
    <w:basedOn w:val="CommentText"/>
    <w:next w:val="CommentText"/>
    <w:link w:val="CommentSubjectChar"/>
    <w:uiPriority w:val="99"/>
    <w:semiHidden/>
    <w:unhideWhenUsed/>
    <w:rsid w:val="00014D3A"/>
    <w:rPr>
      <w:b/>
      <w:bCs/>
    </w:rPr>
  </w:style>
  <w:style w:type="character" w:customStyle="1" w:styleId="CommentSubjectChar">
    <w:name w:val="Comment Subject Char"/>
    <w:basedOn w:val="CommentTextChar"/>
    <w:link w:val="CommentSubject"/>
    <w:uiPriority w:val="99"/>
    <w:semiHidden/>
    <w:rsid w:val="00014D3A"/>
    <w:rPr>
      <w:rFonts w:ascii="Arial" w:eastAsia="Cochin" w:hAnsi="Arial" w:cs="Cochin"/>
      <w:b/>
      <w:bCs/>
      <w:sz w:val="20"/>
      <w:szCs w:val="20"/>
      <w:lang w:eastAsia="ja-JP"/>
    </w:rPr>
  </w:style>
  <w:style w:type="paragraph" w:styleId="FootnoteText">
    <w:name w:val="footnote text"/>
    <w:basedOn w:val="Normal"/>
    <w:link w:val="FootnoteTextChar"/>
    <w:uiPriority w:val="99"/>
    <w:semiHidden/>
    <w:unhideWhenUsed/>
    <w:rsid w:val="00014D3A"/>
    <w:rPr>
      <w:sz w:val="20"/>
    </w:rPr>
  </w:style>
  <w:style w:type="character" w:customStyle="1" w:styleId="FootnoteTextChar">
    <w:name w:val="Footnote Text Char"/>
    <w:basedOn w:val="DefaultParagraphFont"/>
    <w:link w:val="FootnoteText"/>
    <w:uiPriority w:val="99"/>
    <w:semiHidden/>
    <w:rsid w:val="00014D3A"/>
    <w:rPr>
      <w:rFonts w:ascii="Arial" w:eastAsia="Cochin" w:hAnsi="Arial" w:cs="Cochin"/>
      <w:sz w:val="20"/>
      <w:szCs w:val="20"/>
      <w:lang w:eastAsia="ja-JP"/>
    </w:rPr>
  </w:style>
  <w:style w:type="character" w:styleId="FootnoteReference">
    <w:name w:val="footnote reference"/>
    <w:basedOn w:val="DefaultParagraphFont"/>
    <w:uiPriority w:val="99"/>
    <w:semiHidden/>
    <w:unhideWhenUsed/>
    <w:rsid w:val="00014D3A"/>
    <w:rPr>
      <w:vertAlign w:val="superscript"/>
    </w:rPr>
  </w:style>
  <w:style w:type="paragraph" w:styleId="NormalWeb">
    <w:name w:val="Normal (Web)"/>
    <w:basedOn w:val="Normal"/>
    <w:uiPriority w:val="99"/>
    <w:semiHidden/>
    <w:unhideWhenUsed/>
    <w:rsid w:val="00014D3A"/>
    <w:pPr>
      <w:autoSpaceDE/>
      <w:autoSpaceDN/>
      <w:adjustRightInd/>
      <w:spacing w:before="100" w:beforeAutospacing="1" w:after="100" w:afterAutospacing="1"/>
    </w:pPr>
    <w:rPr>
      <w:rFonts w:ascii="Times New Roman" w:eastAsia="Times New Roman" w:hAnsi="Times New Roman" w:cs="Times New Roman"/>
      <w:szCs w:val="24"/>
      <w:lang w:eastAsia="en-US"/>
    </w:rPr>
  </w:style>
  <w:style w:type="character" w:customStyle="1" w:styleId="UnresolvedMention1">
    <w:name w:val="Unresolved Mention1"/>
    <w:basedOn w:val="DefaultParagraphFont"/>
    <w:uiPriority w:val="99"/>
    <w:semiHidden/>
    <w:unhideWhenUsed/>
    <w:rsid w:val="00014D3A"/>
    <w:rPr>
      <w:color w:val="605E5C"/>
      <w:shd w:val="clear" w:color="auto" w:fill="E1DFDD"/>
    </w:rPr>
  </w:style>
  <w:style w:type="paragraph" w:styleId="Revision">
    <w:name w:val="Revision"/>
    <w:hidden/>
    <w:uiPriority w:val="99"/>
    <w:semiHidden/>
    <w:rsid w:val="00014D3A"/>
    <w:rPr>
      <w:rFonts w:ascii="Arial" w:eastAsia="Cochin" w:hAnsi="Arial" w:cs="Cochin"/>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artscouncil.org.uk/music-education/music-education-hubs" TargetMode="External"/><Relationship Id="rId9" Type="http://schemas.openxmlformats.org/officeDocument/2006/relationships/hyperlink" Target="https://www.ism.org/images/images/FINAL-State-of-the-Nation-Music-Education-for-email-or-web-2.pdf"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2569</Words>
  <Characters>14647</Characters>
  <Application>Microsoft Macintosh Word</Application>
  <DocSecurity>0</DocSecurity>
  <Lines>122</Lines>
  <Paragraphs>34</Paragraphs>
  <ScaleCrop>false</ScaleCrop>
  <Company/>
  <LinksUpToDate>false</LinksUpToDate>
  <CharactersWithSpaces>17182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Fautley</dc:creator>
  <cp:keywords/>
  <dc:description/>
  <cp:lastModifiedBy>Martin Fautley</cp:lastModifiedBy>
  <cp:revision>2</cp:revision>
  <dcterms:created xsi:type="dcterms:W3CDTF">2019-08-14T10:06:00Z</dcterms:created>
  <dcterms:modified xsi:type="dcterms:W3CDTF">2019-08-14T10:09:00Z</dcterms:modified>
</cp:coreProperties>
</file>