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A7B7F" w14:textId="77777777" w:rsidR="0095722F" w:rsidRPr="00B0503D" w:rsidRDefault="00F874F2" w:rsidP="00F56D99">
      <w:pPr>
        <w:jc w:val="center"/>
        <w:rPr>
          <w:rFonts w:ascii="Helvetica" w:hAnsi="Helvetica"/>
          <w:b/>
          <w:i/>
        </w:rPr>
      </w:pPr>
      <w:bookmarkStart w:id="0" w:name="_GoBack"/>
      <w:bookmarkEnd w:id="0"/>
      <w:r w:rsidRPr="00B0503D">
        <w:rPr>
          <w:rFonts w:ascii="Helvetica" w:hAnsi="Helvetica"/>
          <w:b/>
          <w:i/>
        </w:rPr>
        <w:t>Understanding Graduate Careers: Research, Policy and Practice in Context</w:t>
      </w:r>
    </w:p>
    <w:p w14:paraId="7F70A98C" w14:textId="77777777" w:rsidR="00F874F2" w:rsidRPr="00B0503D" w:rsidRDefault="00F874F2" w:rsidP="00F56D99">
      <w:pPr>
        <w:jc w:val="center"/>
        <w:rPr>
          <w:rFonts w:ascii="Helvetica" w:hAnsi="Helvetica"/>
        </w:rPr>
      </w:pPr>
    </w:p>
    <w:p w14:paraId="20256E27" w14:textId="77777777" w:rsidR="00F874F2" w:rsidRPr="00B0503D" w:rsidRDefault="00F874F2" w:rsidP="00F56D99">
      <w:pPr>
        <w:jc w:val="center"/>
        <w:rPr>
          <w:rFonts w:ascii="Helvetica" w:hAnsi="Helvetica"/>
          <w:b/>
          <w:u w:val="single"/>
        </w:rPr>
      </w:pPr>
      <w:r w:rsidRPr="00B0503D">
        <w:rPr>
          <w:rFonts w:ascii="Helvetica" w:hAnsi="Helvetica"/>
          <w:b/>
          <w:u w:val="single"/>
        </w:rPr>
        <w:t>Careers and Transitions Section</w:t>
      </w:r>
    </w:p>
    <w:p w14:paraId="56FF7F3F" w14:textId="77777777" w:rsidR="00F874F2" w:rsidRPr="00B0503D" w:rsidRDefault="00F874F2">
      <w:pPr>
        <w:rPr>
          <w:rFonts w:ascii="Helvetica" w:hAnsi="Helvetica"/>
        </w:rPr>
      </w:pPr>
    </w:p>
    <w:p w14:paraId="22C16CC1" w14:textId="77777777" w:rsidR="00F56D99" w:rsidRPr="00B0503D" w:rsidRDefault="00F56D99">
      <w:pPr>
        <w:rPr>
          <w:rFonts w:ascii="Helvetica" w:hAnsi="Helvetica"/>
        </w:rPr>
      </w:pPr>
    </w:p>
    <w:p w14:paraId="7175EBEC" w14:textId="28F9EC49" w:rsidR="00F874F2" w:rsidRPr="00B0503D" w:rsidRDefault="001613A5" w:rsidP="00F56D99">
      <w:pPr>
        <w:spacing w:line="276" w:lineRule="auto"/>
        <w:jc w:val="center"/>
        <w:rPr>
          <w:rFonts w:ascii="Helvetica" w:hAnsi="Helvetica"/>
          <w:b/>
        </w:rPr>
      </w:pPr>
      <w:r>
        <w:rPr>
          <w:rFonts w:ascii="Helvetica" w:hAnsi="Helvetica"/>
          <w:b/>
        </w:rPr>
        <w:t xml:space="preserve">Graduate Gap Years: </w:t>
      </w:r>
      <w:r w:rsidR="00F874F2" w:rsidRPr="00B0503D">
        <w:rPr>
          <w:rFonts w:ascii="Helvetica" w:hAnsi="Helvetica"/>
          <w:b/>
        </w:rPr>
        <w:t>Narratives of Postponement in Graduate Employment Transitions</w:t>
      </w:r>
      <w:r>
        <w:rPr>
          <w:rFonts w:ascii="Helvetica" w:hAnsi="Helvetica"/>
          <w:b/>
        </w:rPr>
        <w:t xml:space="preserve"> in England</w:t>
      </w:r>
    </w:p>
    <w:p w14:paraId="53E8A555" w14:textId="77777777" w:rsidR="00F56D99" w:rsidRPr="00B0503D" w:rsidRDefault="00F56D99" w:rsidP="00F56D99">
      <w:pPr>
        <w:spacing w:line="276" w:lineRule="auto"/>
        <w:jc w:val="center"/>
        <w:rPr>
          <w:rFonts w:ascii="Helvetica" w:hAnsi="Helvetica"/>
        </w:rPr>
      </w:pPr>
    </w:p>
    <w:p w14:paraId="1F1B9D99" w14:textId="449B91B7" w:rsidR="00F56D99" w:rsidRPr="00B0503D" w:rsidRDefault="00F56D99" w:rsidP="00F56D99">
      <w:pPr>
        <w:spacing w:line="276" w:lineRule="auto"/>
        <w:jc w:val="center"/>
        <w:rPr>
          <w:rFonts w:ascii="Helvetica" w:hAnsi="Helvetica"/>
        </w:rPr>
      </w:pPr>
      <w:r w:rsidRPr="00B0503D">
        <w:rPr>
          <w:rFonts w:ascii="Helvetica" w:hAnsi="Helvetica"/>
        </w:rPr>
        <w:t>Katy Vigurs, Steven Jones, Diane Harris</w:t>
      </w:r>
      <w:r w:rsidR="00AC5922">
        <w:rPr>
          <w:rFonts w:ascii="Helvetica" w:hAnsi="Helvetica"/>
        </w:rPr>
        <w:t xml:space="preserve"> and Julia Everitt</w:t>
      </w:r>
    </w:p>
    <w:p w14:paraId="383DBC6B" w14:textId="6027E3B2" w:rsidR="00F56D99" w:rsidRPr="00144630" w:rsidRDefault="00F56D99" w:rsidP="00F56D99">
      <w:pPr>
        <w:pStyle w:val="NormalWeb"/>
        <w:spacing w:line="276" w:lineRule="auto"/>
        <w:jc w:val="both"/>
        <w:rPr>
          <w:rFonts w:ascii="Helvetica" w:hAnsi="Helvetica"/>
          <w:color w:val="000000"/>
          <w:sz w:val="24"/>
          <w:szCs w:val="24"/>
        </w:rPr>
      </w:pPr>
    </w:p>
    <w:p w14:paraId="65E33851" w14:textId="58F4648D" w:rsidR="003B3E7B" w:rsidRPr="003B3E7B" w:rsidRDefault="00AC5922" w:rsidP="003B3E7B">
      <w:pPr>
        <w:pStyle w:val="NormalWeb"/>
        <w:spacing w:line="276" w:lineRule="auto"/>
        <w:ind w:left="1440" w:hanging="1440"/>
        <w:jc w:val="both"/>
        <w:rPr>
          <w:rFonts w:ascii="Helvetica" w:hAnsi="Helvetica"/>
          <w:color w:val="000000"/>
          <w:sz w:val="24"/>
          <w:szCs w:val="24"/>
        </w:rPr>
      </w:pPr>
      <w:r>
        <w:rPr>
          <w:rFonts w:ascii="Helvetica" w:hAnsi="Helvetica"/>
          <w:b/>
          <w:color w:val="000000"/>
          <w:sz w:val="24"/>
          <w:szCs w:val="24"/>
        </w:rPr>
        <w:t>Key words:</w:t>
      </w:r>
      <w:r>
        <w:rPr>
          <w:rFonts w:ascii="Helvetica" w:hAnsi="Helvetica"/>
          <w:b/>
          <w:color w:val="000000"/>
          <w:sz w:val="24"/>
          <w:szCs w:val="24"/>
        </w:rPr>
        <w:tab/>
      </w:r>
      <w:r w:rsidR="00521957" w:rsidRPr="00521957">
        <w:rPr>
          <w:rFonts w:ascii="Helvetica" w:hAnsi="Helvetica"/>
          <w:color w:val="000000"/>
          <w:sz w:val="24"/>
          <w:szCs w:val="24"/>
        </w:rPr>
        <w:t xml:space="preserve">graduate employment; graduate outcomes; graduate gap year; </w:t>
      </w:r>
      <w:r w:rsidR="00521957">
        <w:rPr>
          <w:rFonts w:ascii="Helvetica" w:hAnsi="Helvetica"/>
          <w:color w:val="000000"/>
          <w:sz w:val="24"/>
          <w:szCs w:val="24"/>
        </w:rPr>
        <w:t>graduate employability</w:t>
      </w:r>
      <w:r w:rsidR="009F6E50">
        <w:rPr>
          <w:rFonts w:ascii="Helvetica" w:hAnsi="Helvetica"/>
          <w:color w:val="000000"/>
          <w:sz w:val="24"/>
          <w:szCs w:val="24"/>
        </w:rPr>
        <w:t>; graduate inequality</w:t>
      </w:r>
    </w:p>
    <w:p w14:paraId="181E61EA" w14:textId="77777777" w:rsidR="005D3EE5" w:rsidRPr="00B0503D" w:rsidRDefault="005D3EE5" w:rsidP="00F56D99">
      <w:pPr>
        <w:spacing w:line="276" w:lineRule="auto"/>
        <w:rPr>
          <w:rFonts w:ascii="Helvetica" w:hAnsi="Helvetica"/>
        </w:rPr>
      </w:pPr>
    </w:p>
    <w:p w14:paraId="17DB528B" w14:textId="5F58411B" w:rsidR="00DA42D1" w:rsidRPr="00DA42D1" w:rsidRDefault="00DA42D1" w:rsidP="00B0503D">
      <w:pPr>
        <w:spacing w:line="276" w:lineRule="auto"/>
        <w:jc w:val="both"/>
        <w:rPr>
          <w:rFonts w:ascii="Helvetica" w:hAnsi="Helvetica"/>
          <w:b/>
          <w:lang w:val="en-US"/>
        </w:rPr>
      </w:pPr>
      <w:r w:rsidRPr="00DA42D1">
        <w:rPr>
          <w:rFonts w:ascii="Helvetica" w:hAnsi="Helvetica"/>
          <w:b/>
          <w:lang w:val="en-US"/>
        </w:rPr>
        <w:t>Introduction</w:t>
      </w:r>
    </w:p>
    <w:p w14:paraId="53FA4D53" w14:textId="77777777" w:rsidR="00DA42D1" w:rsidRDefault="00DA42D1" w:rsidP="00B0503D">
      <w:pPr>
        <w:spacing w:line="276" w:lineRule="auto"/>
        <w:jc w:val="both"/>
        <w:rPr>
          <w:rFonts w:ascii="Helvetica" w:hAnsi="Helvetica"/>
          <w:lang w:val="en-US"/>
        </w:rPr>
      </w:pPr>
    </w:p>
    <w:p w14:paraId="75571B9F" w14:textId="429AF01D" w:rsidR="00540427" w:rsidRDefault="00540427" w:rsidP="00B0503D">
      <w:pPr>
        <w:spacing w:line="276" w:lineRule="auto"/>
        <w:jc w:val="both"/>
        <w:rPr>
          <w:rFonts w:ascii="Helvetica" w:hAnsi="Helvetica"/>
          <w:lang w:val="en-US"/>
        </w:rPr>
      </w:pPr>
      <w:r w:rsidRPr="00B0503D">
        <w:rPr>
          <w:rFonts w:ascii="Helvetica" w:hAnsi="Helvetica"/>
          <w:color w:val="000000"/>
        </w:rPr>
        <w:t xml:space="preserve">For </w:t>
      </w:r>
      <w:r w:rsidR="001613A5">
        <w:rPr>
          <w:rFonts w:ascii="Helvetica" w:hAnsi="Helvetica"/>
          <w:color w:val="000000"/>
        </w:rPr>
        <w:t>UK</w:t>
      </w:r>
      <w:r w:rsidRPr="00B0503D">
        <w:rPr>
          <w:rFonts w:ascii="Helvetica" w:hAnsi="Helvetica"/>
          <w:color w:val="000000"/>
        </w:rPr>
        <w:t xml:space="preserve"> higher education students, the </w:t>
      </w:r>
      <w:r w:rsidR="001613A5">
        <w:rPr>
          <w:rFonts w:ascii="Helvetica" w:hAnsi="Helvetica"/>
          <w:color w:val="000000"/>
        </w:rPr>
        <w:t>‘</w:t>
      </w:r>
      <w:r w:rsidRPr="00B0503D">
        <w:rPr>
          <w:rFonts w:ascii="Helvetica" w:hAnsi="Helvetica"/>
          <w:color w:val="000000"/>
        </w:rPr>
        <w:t>gap year</w:t>
      </w:r>
      <w:r w:rsidR="001613A5">
        <w:rPr>
          <w:rFonts w:ascii="Helvetica" w:hAnsi="Helvetica"/>
          <w:color w:val="000000"/>
        </w:rPr>
        <w:t>’</w:t>
      </w:r>
      <w:r w:rsidRPr="00B0503D">
        <w:rPr>
          <w:rFonts w:ascii="Helvetica" w:hAnsi="Helvetica"/>
          <w:color w:val="000000"/>
        </w:rPr>
        <w:t xml:space="preserve"> or </w:t>
      </w:r>
      <w:r w:rsidR="001613A5">
        <w:rPr>
          <w:rFonts w:ascii="Helvetica" w:hAnsi="Helvetica"/>
          <w:color w:val="000000"/>
        </w:rPr>
        <w:t>‘</w:t>
      </w:r>
      <w:r w:rsidRPr="00B0503D">
        <w:rPr>
          <w:rFonts w:ascii="Helvetica" w:hAnsi="Helvetica"/>
          <w:color w:val="000000"/>
        </w:rPr>
        <w:t>year out</w:t>
      </w:r>
      <w:r w:rsidR="001613A5">
        <w:rPr>
          <w:rFonts w:ascii="Helvetica" w:hAnsi="Helvetica"/>
          <w:color w:val="000000"/>
        </w:rPr>
        <w:t>’</w:t>
      </w:r>
      <w:r w:rsidRPr="00B0503D">
        <w:rPr>
          <w:rFonts w:ascii="Helvetica" w:hAnsi="Helvetica"/>
          <w:color w:val="000000"/>
        </w:rPr>
        <w:t xml:space="preserve"> is historically conceptualised as an amassing of wider life experience, often overseas, during a twelve-month period between the completion of A-level studies and the first year of a university degree. However, in a recent </w:t>
      </w:r>
      <w:r w:rsidR="009B7A0D">
        <w:rPr>
          <w:rFonts w:ascii="Helvetica" w:hAnsi="Helvetica"/>
          <w:color w:val="000000"/>
        </w:rPr>
        <w:t xml:space="preserve">comparative </w:t>
      </w:r>
      <w:r w:rsidRPr="00B0503D">
        <w:rPr>
          <w:rFonts w:ascii="Helvetica" w:hAnsi="Helvetica"/>
          <w:color w:val="000000"/>
        </w:rPr>
        <w:t xml:space="preserve">study, which saw interviews conducted </w:t>
      </w:r>
      <w:r w:rsidR="009B7A0D">
        <w:rPr>
          <w:rFonts w:ascii="Helvetica" w:hAnsi="Helvetica"/>
          <w:color w:val="000000"/>
        </w:rPr>
        <w:t xml:space="preserve">in both 2014 and 2015 </w:t>
      </w:r>
      <w:r w:rsidRPr="00B0503D">
        <w:rPr>
          <w:rFonts w:ascii="Helvetica" w:hAnsi="Helvetica"/>
          <w:color w:val="000000"/>
        </w:rPr>
        <w:t xml:space="preserve">with final year undergraduate students </w:t>
      </w:r>
      <w:r w:rsidR="009B7A0D">
        <w:rPr>
          <w:rFonts w:ascii="Helvetica" w:hAnsi="Helvetica"/>
          <w:color w:val="000000"/>
        </w:rPr>
        <w:t>(</w:t>
      </w:r>
      <w:r w:rsidR="009B7A0D">
        <w:rPr>
          <w:rFonts w:ascii="Helvetica" w:hAnsi="Helvetica"/>
          <w:i/>
          <w:color w:val="000000"/>
        </w:rPr>
        <w:t>n</w:t>
      </w:r>
      <w:r w:rsidR="009B7A0D" w:rsidRPr="009B7A0D">
        <w:rPr>
          <w:rFonts w:ascii="Helvetica" w:hAnsi="Helvetica"/>
          <w:color w:val="000000"/>
        </w:rPr>
        <w:t>74)</w:t>
      </w:r>
      <w:r w:rsidR="009B7A0D">
        <w:rPr>
          <w:rFonts w:ascii="Helvetica" w:hAnsi="Helvetica"/>
          <w:color w:val="000000"/>
        </w:rPr>
        <w:t xml:space="preserve"> </w:t>
      </w:r>
      <w:r w:rsidRPr="00B0503D">
        <w:rPr>
          <w:rFonts w:ascii="Helvetica" w:hAnsi="Helvetica"/>
          <w:color w:val="000000"/>
        </w:rPr>
        <w:t xml:space="preserve">from different social backgrounds, across two </w:t>
      </w:r>
      <w:r w:rsidR="009B7A0D">
        <w:rPr>
          <w:rFonts w:ascii="Helvetica" w:hAnsi="Helvetica"/>
          <w:color w:val="000000"/>
        </w:rPr>
        <w:t xml:space="preserve">English </w:t>
      </w:r>
      <w:r w:rsidRPr="00B0503D">
        <w:rPr>
          <w:rFonts w:ascii="Helvetica" w:hAnsi="Helvetica"/>
          <w:color w:val="000000"/>
        </w:rPr>
        <w:t xml:space="preserve">universities (one Russell Group </w:t>
      </w:r>
      <w:r w:rsidR="009B7A0D">
        <w:rPr>
          <w:rFonts w:ascii="Helvetica" w:hAnsi="Helvetica"/>
          <w:color w:val="000000"/>
        </w:rPr>
        <w:t xml:space="preserve">university </w:t>
      </w:r>
      <w:r w:rsidRPr="00B0503D">
        <w:rPr>
          <w:rFonts w:ascii="Helvetica" w:hAnsi="Helvetica"/>
          <w:color w:val="000000"/>
        </w:rPr>
        <w:t xml:space="preserve">and </w:t>
      </w:r>
      <w:r w:rsidR="009B7A0D">
        <w:rPr>
          <w:rFonts w:ascii="Helvetica" w:hAnsi="Helvetica"/>
          <w:color w:val="000000"/>
        </w:rPr>
        <w:t>one Post-1992 university), the term ‘</w:t>
      </w:r>
      <w:r w:rsidRPr="00B0503D">
        <w:rPr>
          <w:rFonts w:ascii="Helvetica" w:hAnsi="Helvetica"/>
          <w:color w:val="000000"/>
        </w:rPr>
        <w:t>gap year</w:t>
      </w:r>
      <w:r w:rsidR="009B7A0D">
        <w:rPr>
          <w:rFonts w:ascii="Helvetica" w:hAnsi="Helvetica"/>
          <w:color w:val="000000"/>
        </w:rPr>
        <w:t>’</w:t>
      </w:r>
      <w:r w:rsidRPr="00B0503D">
        <w:rPr>
          <w:rFonts w:ascii="Helvetica" w:hAnsi="Helvetica"/>
          <w:color w:val="000000"/>
        </w:rPr>
        <w:t xml:space="preserve"> was being re-appropriated to capture something different</w:t>
      </w:r>
      <w:r w:rsidR="009B7A0D">
        <w:rPr>
          <w:rFonts w:ascii="Helvetica" w:hAnsi="Helvetica"/>
          <w:color w:val="000000"/>
        </w:rPr>
        <w:t>.</w:t>
      </w:r>
      <w:r w:rsidRPr="00B0503D">
        <w:rPr>
          <w:rFonts w:ascii="Helvetica" w:hAnsi="Helvetica"/>
          <w:color w:val="000000"/>
        </w:rPr>
        <w:t xml:space="preserve"> </w:t>
      </w:r>
      <w:r w:rsidR="009B7A0D">
        <w:rPr>
          <w:rFonts w:ascii="Helvetica" w:hAnsi="Helvetica"/>
          <w:color w:val="000000"/>
        </w:rPr>
        <w:t xml:space="preserve">The term was being used to describe </w:t>
      </w:r>
      <w:r w:rsidRPr="00B0503D">
        <w:rPr>
          <w:rFonts w:ascii="Helvetica" w:hAnsi="Helvetica"/>
          <w:color w:val="000000"/>
        </w:rPr>
        <w:t xml:space="preserve">a period following graduation in which </w:t>
      </w:r>
      <w:r w:rsidR="009B7A0D">
        <w:rPr>
          <w:rFonts w:ascii="Helvetica" w:hAnsi="Helvetica"/>
          <w:color w:val="000000"/>
        </w:rPr>
        <w:t>graduands</w:t>
      </w:r>
      <w:r w:rsidRPr="00B0503D">
        <w:rPr>
          <w:rFonts w:ascii="Helvetica" w:hAnsi="Helvetica"/>
          <w:color w:val="000000"/>
        </w:rPr>
        <w:t xml:space="preserve"> plan</w:t>
      </w:r>
      <w:r w:rsidR="009B7A0D">
        <w:rPr>
          <w:rFonts w:ascii="Helvetica" w:hAnsi="Helvetica"/>
          <w:color w:val="000000"/>
        </w:rPr>
        <w:t>ned</w:t>
      </w:r>
      <w:r w:rsidRPr="00B0503D">
        <w:rPr>
          <w:rFonts w:ascii="Helvetica" w:hAnsi="Helvetica"/>
          <w:color w:val="000000"/>
        </w:rPr>
        <w:t xml:space="preserve"> to take low-paid work or ‘ordinary’ jobs, take stock of their financial situation, and attempt to save money and/or repay urgent debt. A high proportion of students in the </w:t>
      </w:r>
      <w:r w:rsidR="009B7A0D">
        <w:rPr>
          <w:rFonts w:ascii="Helvetica" w:hAnsi="Helvetica"/>
          <w:color w:val="000000"/>
        </w:rPr>
        <w:t xml:space="preserve">2015 stage of the </w:t>
      </w:r>
      <w:r w:rsidRPr="00B0503D">
        <w:rPr>
          <w:rFonts w:ascii="Helvetica" w:hAnsi="Helvetica"/>
          <w:color w:val="000000"/>
        </w:rPr>
        <w:t xml:space="preserve">study </w:t>
      </w:r>
      <w:r w:rsidR="00AD3FC8">
        <w:rPr>
          <w:rFonts w:ascii="Helvetica" w:hAnsi="Helvetica"/>
          <w:color w:val="000000"/>
        </w:rPr>
        <w:t>(</w:t>
      </w:r>
      <w:r w:rsidR="00CE5E4B">
        <w:rPr>
          <w:rFonts w:ascii="Helvetica" w:hAnsi="Helvetica"/>
          <w:color w:val="000000"/>
        </w:rPr>
        <w:t>16/37</w:t>
      </w:r>
      <w:r w:rsidR="00AD3FC8">
        <w:rPr>
          <w:rFonts w:ascii="Helvetica" w:hAnsi="Helvetica"/>
          <w:color w:val="000000"/>
        </w:rPr>
        <w:t xml:space="preserve">) </w:t>
      </w:r>
      <w:r w:rsidRPr="00B0503D">
        <w:rPr>
          <w:rFonts w:ascii="Helvetica" w:hAnsi="Helvetica"/>
          <w:color w:val="000000"/>
        </w:rPr>
        <w:t xml:space="preserve">spoke of taking a </w:t>
      </w:r>
      <w:r w:rsidR="009F6E50">
        <w:rPr>
          <w:rFonts w:ascii="Helvetica" w:hAnsi="Helvetica"/>
          <w:color w:val="000000"/>
        </w:rPr>
        <w:t>graduate</w:t>
      </w:r>
      <w:r w:rsidRPr="00B0503D">
        <w:rPr>
          <w:rFonts w:ascii="Helvetica" w:hAnsi="Helvetica"/>
          <w:color w:val="000000"/>
        </w:rPr>
        <w:t xml:space="preserve"> </w:t>
      </w:r>
      <w:r w:rsidR="00990A22">
        <w:rPr>
          <w:rFonts w:ascii="Helvetica" w:hAnsi="Helvetica"/>
          <w:color w:val="000000"/>
        </w:rPr>
        <w:t>gap year</w:t>
      </w:r>
      <w:r w:rsidR="00AD3FC8">
        <w:rPr>
          <w:rFonts w:ascii="Helvetica" w:hAnsi="Helvetica"/>
          <w:color w:val="000000"/>
        </w:rPr>
        <w:t>,</w:t>
      </w:r>
      <w:r w:rsidR="009B7A0D">
        <w:rPr>
          <w:rFonts w:ascii="Helvetica" w:hAnsi="Helvetica"/>
          <w:color w:val="000000"/>
        </w:rPr>
        <w:t xml:space="preserve"> </w:t>
      </w:r>
      <w:r w:rsidR="002E4B55">
        <w:rPr>
          <w:rFonts w:ascii="Helvetica" w:hAnsi="Helvetica"/>
          <w:color w:val="000000"/>
        </w:rPr>
        <w:t xml:space="preserve">compared with </w:t>
      </w:r>
      <w:r w:rsidR="00CE5E4B">
        <w:rPr>
          <w:rFonts w:ascii="Helvetica" w:hAnsi="Helvetica"/>
          <w:color w:val="000000"/>
        </w:rPr>
        <w:t>9/37</w:t>
      </w:r>
      <w:r w:rsidR="002E4B55">
        <w:rPr>
          <w:rFonts w:ascii="Helvetica" w:hAnsi="Helvetica"/>
          <w:color w:val="000000"/>
        </w:rPr>
        <w:t xml:space="preserve"> in 2014</w:t>
      </w:r>
      <w:r w:rsidRPr="00B0503D">
        <w:rPr>
          <w:rFonts w:ascii="Helvetica" w:hAnsi="Helvetica"/>
          <w:color w:val="000000"/>
        </w:rPr>
        <w:t xml:space="preserve">. It may be that the increasing costs of debt-based forms of higher education payment coinciding with growing precarious employment has contributed to this situation. By borrowing the term gap year to describe a new and different phenomenon, </w:t>
      </w:r>
      <w:r w:rsidR="00A37C04">
        <w:rPr>
          <w:rFonts w:ascii="Helvetica" w:hAnsi="Helvetica"/>
          <w:color w:val="000000"/>
        </w:rPr>
        <w:t xml:space="preserve">some of </w:t>
      </w:r>
      <w:r w:rsidRPr="00B0503D">
        <w:rPr>
          <w:rFonts w:ascii="Helvetica" w:hAnsi="Helvetica"/>
          <w:color w:val="000000"/>
        </w:rPr>
        <w:t>the student interviewees may be legitimising the predicament in which they find themselves. This chapter explor</w:t>
      </w:r>
      <w:r>
        <w:rPr>
          <w:rFonts w:ascii="Helvetica" w:hAnsi="Helvetica"/>
          <w:color w:val="000000"/>
        </w:rPr>
        <w:t>es</w:t>
      </w:r>
      <w:r w:rsidRPr="00B0503D">
        <w:rPr>
          <w:rFonts w:ascii="Helvetica" w:hAnsi="Helvetica"/>
          <w:color w:val="000000"/>
        </w:rPr>
        <w:t xml:space="preserve"> the experiences of students who spoke of </w:t>
      </w:r>
      <w:r w:rsidR="00A37C04">
        <w:rPr>
          <w:rFonts w:ascii="Helvetica" w:hAnsi="Helvetica"/>
          <w:color w:val="000000"/>
        </w:rPr>
        <w:t>taking</w:t>
      </w:r>
      <w:r w:rsidRPr="00B0503D">
        <w:rPr>
          <w:rFonts w:ascii="Helvetica" w:hAnsi="Helvetica"/>
          <w:color w:val="000000"/>
        </w:rPr>
        <w:t xml:space="preserve"> a </w:t>
      </w:r>
      <w:r w:rsidR="009F6E50">
        <w:rPr>
          <w:rFonts w:ascii="Helvetica" w:hAnsi="Helvetica"/>
          <w:color w:val="000000"/>
        </w:rPr>
        <w:t>graduate</w:t>
      </w:r>
      <w:r w:rsidRPr="00B0503D">
        <w:rPr>
          <w:rFonts w:ascii="Helvetica" w:hAnsi="Helvetica"/>
          <w:color w:val="000000"/>
        </w:rPr>
        <w:t xml:space="preserve"> gap year</w:t>
      </w:r>
      <w:r w:rsidR="00AD3FC8">
        <w:rPr>
          <w:rFonts w:ascii="Helvetica" w:hAnsi="Helvetica"/>
          <w:color w:val="000000"/>
        </w:rPr>
        <w:t>.</w:t>
      </w:r>
      <w:r w:rsidRPr="00B0503D">
        <w:rPr>
          <w:rFonts w:ascii="Helvetica" w:hAnsi="Helvetica"/>
          <w:color w:val="000000"/>
        </w:rPr>
        <w:t xml:space="preserve"> </w:t>
      </w:r>
      <w:r w:rsidR="00AD3FC8">
        <w:rPr>
          <w:rFonts w:ascii="Helvetica" w:hAnsi="Helvetica"/>
          <w:color w:val="000000"/>
        </w:rPr>
        <w:t>It</w:t>
      </w:r>
      <w:r w:rsidRPr="00144630">
        <w:rPr>
          <w:rFonts w:ascii="Helvetica" w:hAnsi="Helvetica"/>
          <w:color w:val="000000"/>
        </w:rPr>
        <w:t xml:space="preserve"> examines </w:t>
      </w:r>
      <w:r w:rsidRPr="00144630">
        <w:rPr>
          <w:rFonts w:ascii="Helvetica" w:eastAsia="Calibri" w:hAnsi="Helvetica"/>
          <w:lang w:eastAsia="en-GB"/>
        </w:rPr>
        <w:t xml:space="preserve">the different roles of a </w:t>
      </w:r>
      <w:r w:rsidR="009F6E50">
        <w:rPr>
          <w:rFonts w:ascii="Helvetica" w:eastAsia="Calibri" w:hAnsi="Helvetica"/>
          <w:lang w:eastAsia="en-GB"/>
        </w:rPr>
        <w:t>graduate</w:t>
      </w:r>
      <w:r w:rsidRPr="00144630">
        <w:rPr>
          <w:rFonts w:ascii="Helvetica" w:eastAsia="Calibri" w:hAnsi="Helvetica"/>
          <w:lang w:eastAsia="en-GB"/>
        </w:rPr>
        <w:t xml:space="preserve"> gap year and discu</w:t>
      </w:r>
      <w:r w:rsidR="00AD3FC8">
        <w:rPr>
          <w:rFonts w:ascii="Helvetica" w:eastAsia="Calibri" w:hAnsi="Helvetica"/>
          <w:lang w:eastAsia="en-GB"/>
        </w:rPr>
        <w:t>sses wider implications</w:t>
      </w:r>
      <w:r w:rsidR="00A37C04">
        <w:rPr>
          <w:rFonts w:ascii="Helvetica" w:eastAsia="Calibri" w:hAnsi="Helvetica"/>
          <w:lang w:eastAsia="en-GB"/>
        </w:rPr>
        <w:t xml:space="preserve"> for unequal graduate outcomes</w:t>
      </w:r>
      <w:r w:rsidRPr="00144630">
        <w:rPr>
          <w:rFonts w:ascii="Helvetica" w:eastAsia="Calibri" w:hAnsi="Helvetica"/>
          <w:lang w:eastAsia="en-GB"/>
        </w:rPr>
        <w:t>.</w:t>
      </w:r>
      <w:r w:rsidR="00AD3FC8">
        <w:rPr>
          <w:rFonts w:ascii="Helvetica" w:eastAsia="Calibri" w:hAnsi="Helvetica"/>
          <w:lang w:eastAsia="en-GB"/>
        </w:rPr>
        <w:t xml:space="preserve"> </w:t>
      </w:r>
    </w:p>
    <w:p w14:paraId="29CB9B8C" w14:textId="77777777" w:rsidR="00540427" w:rsidRDefault="00540427" w:rsidP="00B0503D">
      <w:pPr>
        <w:spacing w:line="276" w:lineRule="auto"/>
        <w:jc w:val="both"/>
        <w:rPr>
          <w:rFonts w:ascii="Helvetica" w:hAnsi="Helvetica"/>
          <w:lang w:val="en-US"/>
        </w:rPr>
      </w:pPr>
    </w:p>
    <w:p w14:paraId="05F5A806" w14:textId="7916743F" w:rsidR="005D3EE5" w:rsidRPr="00B0503D" w:rsidRDefault="005D3EE5" w:rsidP="00B0503D">
      <w:pPr>
        <w:spacing w:line="276" w:lineRule="auto"/>
        <w:jc w:val="both"/>
        <w:rPr>
          <w:rFonts w:ascii="Helvetica" w:hAnsi="Helvetica"/>
        </w:rPr>
      </w:pPr>
    </w:p>
    <w:p w14:paraId="57C68066" w14:textId="77777777" w:rsidR="00DA42D1" w:rsidRDefault="00DA42D1" w:rsidP="00B0503D">
      <w:pPr>
        <w:spacing w:line="276" w:lineRule="auto"/>
        <w:jc w:val="both"/>
        <w:rPr>
          <w:rFonts w:ascii="Helvetica" w:hAnsi="Helvetica"/>
          <w:lang w:val="en-US"/>
        </w:rPr>
      </w:pPr>
    </w:p>
    <w:p w14:paraId="1ABF467E" w14:textId="370012D6" w:rsidR="00DA42D1" w:rsidRPr="00DA42D1" w:rsidRDefault="00DA42D1" w:rsidP="00B0503D">
      <w:pPr>
        <w:spacing w:line="276" w:lineRule="auto"/>
        <w:jc w:val="both"/>
        <w:rPr>
          <w:rFonts w:ascii="Helvetica" w:hAnsi="Helvetica"/>
          <w:b/>
          <w:lang w:val="en-US"/>
        </w:rPr>
      </w:pPr>
      <w:r w:rsidRPr="00DA42D1">
        <w:rPr>
          <w:rFonts w:ascii="Helvetica" w:hAnsi="Helvetica"/>
          <w:b/>
          <w:lang w:val="en-US"/>
        </w:rPr>
        <w:lastRenderedPageBreak/>
        <w:t>The archetypal gap year and gap year taker</w:t>
      </w:r>
    </w:p>
    <w:p w14:paraId="7538AFDA" w14:textId="77777777" w:rsidR="00DA42D1" w:rsidRDefault="00DA42D1" w:rsidP="00B0503D">
      <w:pPr>
        <w:spacing w:line="276" w:lineRule="auto"/>
        <w:jc w:val="both"/>
        <w:rPr>
          <w:rFonts w:ascii="Helvetica" w:hAnsi="Helvetica"/>
          <w:lang w:val="en-US"/>
        </w:rPr>
      </w:pPr>
    </w:p>
    <w:p w14:paraId="048976B0" w14:textId="0E3460F6" w:rsidR="009F5ADA" w:rsidRDefault="00AD3FC8" w:rsidP="00B0503D">
      <w:pPr>
        <w:spacing w:line="276" w:lineRule="auto"/>
        <w:jc w:val="both"/>
        <w:rPr>
          <w:rFonts w:ascii="Helvetica" w:hAnsi="Helvetica"/>
          <w:lang w:val="en-US"/>
        </w:rPr>
      </w:pPr>
      <w:r>
        <w:rPr>
          <w:rFonts w:ascii="Helvetica" w:hAnsi="Helvetica"/>
          <w:lang w:val="en-US"/>
        </w:rPr>
        <w:t xml:space="preserve">The term ‘gap year’ </w:t>
      </w:r>
      <w:r w:rsidRPr="00B0503D">
        <w:rPr>
          <w:rFonts w:ascii="Helvetica" w:hAnsi="Helvetica"/>
          <w:lang w:val="en-US"/>
        </w:rPr>
        <w:t>is largely conceived as a pre-university experience in the literature</w:t>
      </w:r>
      <w:r w:rsidR="00695EB7">
        <w:rPr>
          <w:rFonts w:ascii="Helvetica" w:hAnsi="Helvetica"/>
          <w:lang w:val="en-US"/>
        </w:rPr>
        <w:t xml:space="preserve"> (Birch and Miller, 2007; Stehlik, 2010)</w:t>
      </w:r>
      <w:r w:rsidRPr="00B0503D">
        <w:rPr>
          <w:rFonts w:ascii="Helvetica" w:hAnsi="Helvetica"/>
          <w:lang w:val="en-US"/>
        </w:rPr>
        <w:t>.</w:t>
      </w:r>
      <w:r>
        <w:rPr>
          <w:rFonts w:ascii="Helvetica" w:hAnsi="Helvetica"/>
          <w:lang w:val="en-US"/>
        </w:rPr>
        <w:t xml:space="preserve"> It is useful to begin by briefly exploring definitions of </w:t>
      </w:r>
      <w:r w:rsidRPr="00B0503D">
        <w:rPr>
          <w:rFonts w:ascii="Helvetica" w:hAnsi="Helvetica"/>
          <w:lang w:val="en-US"/>
        </w:rPr>
        <w:t>traditional</w:t>
      </w:r>
      <w:r>
        <w:rPr>
          <w:rFonts w:ascii="Helvetica" w:hAnsi="Helvetica"/>
          <w:lang w:val="en-US"/>
        </w:rPr>
        <w:t xml:space="preserve"> </w:t>
      </w:r>
      <w:r w:rsidRPr="00B0503D">
        <w:rPr>
          <w:rFonts w:ascii="Helvetica" w:hAnsi="Helvetica"/>
          <w:lang w:val="en-US"/>
        </w:rPr>
        <w:t>gap year</w:t>
      </w:r>
      <w:r w:rsidR="00990A22">
        <w:rPr>
          <w:rFonts w:ascii="Helvetica" w:hAnsi="Helvetica"/>
          <w:lang w:val="en-US"/>
        </w:rPr>
        <w:t>s</w:t>
      </w:r>
      <w:r w:rsidRPr="00B0503D">
        <w:rPr>
          <w:rFonts w:ascii="Helvetica" w:hAnsi="Helvetica"/>
          <w:lang w:val="en-US"/>
        </w:rPr>
        <w:t xml:space="preserve"> </w:t>
      </w:r>
      <w:r>
        <w:rPr>
          <w:rFonts w:ascii="Helvetica" w:hAnsi="Helvetica"/>
          <w:lang w:val="en-US"/>
        </w:rPr>
        <w:t>and gap year takers</w:t>
      </w:r>
      <w:r w:rsidRPr="00B0503D">
        <w:rPr>
          <w:rFonts w:ascii="Helvetica" w:hAnsi="Helvetica"/>
          <w:lang w:val="en-US"/>
        </w:rPr>
        <w:t xml:space="preserve">. </w:t>
      </w:r>
      <w:r>
        <w:rPr>
          <w:rFonts w:ascii="Helvetica" w:hAnsi="Helvetica"/>
          <w:lang w:val="en-US"/>
        </w:rPr>
        <w:t xml:space="preserve">The </w:t>
      </w:r>
      <w:r w:rsidRPr="00B0503D">
        <w:rPr>
          <w:rFonts w:ascii="Helvetica" w:hAnsi="Helvetica"/>
          <w:lang w:val="en-US"/>
        </w:rPr>
        <w:t xml:space="preserve">Jones </w:t>
      </w:r>
      <w:r>
        <w:rPr>
          <w:rFonts w:ascii="Helvetica" w:hAnsi="Helvetica"/>
          <w:lang w:val="en-US"/>
        </w:rPr>
        <w:t>(</w:t>
      </w:r>
      <w:r w:rsidRPr="00B0503D">
        <w:rPr>
          <w:rFonts w:ascii="Helvetica" w:hAnsi="Helvetica"/>
          <w:lang w:val="en-US"/>
        </w:rPr>
        <w:t>2003</w:t>
      </w:r>
      <w:r>
        <w:rPr>
          <w:rFonts w:ascii="Helvetica" w:hAnsi="Helvetica"/>
          <w:lang w:val="en-US"/>
        </w:rPr>
        <w:t>)</w:t>
      </w:r>
      <w:r w:rsidRPr="00B0503D">
        <w:rPr>
          <w:rFonts w:ascii="Helvetica" w:hAnsi="Helvetica"/>
          <w:lang w:val="en-US"/>
        </w:rPr>
        <w:t xml:space="preserve"> review of Gap Year Provision, for the Department for Education and Skills, describe</w:t>
      </w:r>
      <w:r w:rsidR="001118A6">
        <w:rPr>
          <w:rFonts w:ascii="Helvetica" w:hAnsi="Helvetica"/>
          <w:lang w:val="en-US"/>
        </w:rPr>
        <w:t>d</w:t>
      </w:r>
      <w:r w:rsidRPr="00B0503D">
        <w:rPr>
          <w:rFonts w:ascii="Helvetica" w:hAnsi="Helvetica"/>
          <w:lang w:val="en-US"/>
        </w:rPr>
        <w:t xml:space="preserve"> </w:t>
      </w:r>
      <w:r w:rsidR="009F5ADA">
        <w:rPr>
          <w:rFonts w:ascii="Helvetica" w:hAnsi="Helvetica"/>
          <w:lang w:val="en-US"/>
        </w:rPr>
        <w:t>a gap year</w:t>
      </w:r>
      <w:r w:rsidRPr="00B0503D">
        <w:rPr>
          <w:rFonts w:ascii="Helvetica" w:hAnsi="Helvetica"/>
          <w:lang w:val="en-US"/>
        </w:rPr>
        <w:t xml:space="preserve"> as a particular period of time, </w:t>
      </w:r>
      <w:r>
        <w:rPr>
          <w:rFonts w:ascii="Helvetica" w:hAnsi="Helvetica"/>
          <w:lang w:val="en-US"/>
        </w:rPr>
        <w:t xml:space="preserve">usually 12 consecutive months, </w:t>
      </w:r>
      <w:r w:rsidRPr="00B0503D">
        <w:rPr>
          <w:rFonts w:ascii="Helvetica" w:hAnsi="Helvetica"/>
          <w:lang w:val="en-US"/>
        </w:rPr>
        <w:t xml:space="preserve">when students take a year out between finishing college and starting university. </w:t>
      </w:r>
    </w:p>
    <w:p w14:paraId="5AD04551" w14:textId="77777777" w:rsidR="009F5ADA" w:rsidRDefault="009F5ADA" w:rsidP="00B0503D">
      <w:pPr>
        <w:spacing w:line="276" w:lineRule="auto"/>
        <w:jc w:val="both"/>
        <w:rPr>
          <w:rFonts w:ascii="Helvetica" w:hAnsi="Helvetica"/>
          <w:lang w:val="en-US"/>
        </w:rPr>
      </w:pPr>
    </w:p>
    <w:p w14:paraId="07F81672" w14:textId="25F52EC7" w:rsidR="00101B81" w:rsidRPr="00B0503D" w:rsidRDefault="001118A6" w:rsidP="00101B81">
      <w:pPr>
        <w:spacing w:line="276" w:lineRule="auto"/>
        <w:jc w:val="both"/>
        <w:rPr>
          <w:rFonts w:ascii="Helvetica" w:hAnsi="Helvetica"/>
        </w:rPr>
      </w:pPr>
      <w:r>
        <w:rPr>
          <w:rFonts w:ascii="Helvetica" w:hAnsi="Helvetica"/>
          <w:lang w:val="en-US"/>
        </w:rPr>
        <w:t>T</w:t>
      </w:r>
      <w:r w:rsidR="000D4CAE" w:rsidRPr="00B0503D">
        <w:rPr>
          <w:rFonts w:ascii="Helvetica" w:hAnsi="Helvetica"/>
          <w:lang w:val="en-US"/>
        </w:rPr>
        <w:t xml:space="preserve">raditional gap year takers </w:t>
      </w:r>
      <w:r w:rsidR="009F5ADA">
        <w:rPr>
          <w:rFonts w:ascii="Helvetica" w:hAnsi="Helvetica"/>
          <w:lang w:val="en-US"/>
        </w:rPr>
        <w:t>have been found to come</w:t>
      </w:r>
      <w:r w:rsidRPr="00B0503D">
        <w:rPr>
          <w:rFonts w:ascii="Helvetica" w:hAnsi="Helvetica"/>
          <w:lang w:val="en-US"/>
        </w:rPr>
        <w:t xml:space="preserve"> from </w:t>
      </w:r>
      <w:r>
        <w:rPr>
          <w:rFonts w:ascii="Helvetica" w:hAnsi="Helvetica"/>
          <w:lang w:val="en-US"/>
        </w:rPr>
        <w:t xml:space="preserve">more advantaged </w:t>
      </w:r>
      <w:r w:rsidRPr="00B0503D">
        <w:rPr>
          <w:rFonts w:ascii="Helvetica" w:hAnsi="Helvetica"/>
          <w:lang w:val="en-US"/>
        </w:rPr>
        <w:t>socio-economic backgrounds and better performing schools</w:t>
      </w:r>
      <w:r>
        <w:rPr>
          <w:rFonts w:ascii="Helvetica" w:hAnsi="Helvetica"/>
          <w:lang w:val="en-US"/>
        </w:rPr>
        <w:t xml:space="preserve"> (</w:t>
      </w:r>
      <w:r w:rsidR="00A45924">
        <w:rPr>
          <w:rFonts w:ascii="Helvetica" w:hAnsi="Helvetica"/>
          <w:lang w:val="en-US"/>
        </w:rPr>
        <w:t xml:space="preserve">Birch and Miller, 2007; </w:t>
      </w:r>
      <w:r>
        <w:rPr>
          <w:rFonts w:ascii="Helvetica" w:hAnsi="Helvetica"/>
          <w:lang w:val="en-US"/>
        </w:rPr>
        <w:t xml:space="preserve">Crawford and Cribb, 2012). </w:t>
      </w:r>
      <w:r w:rsidR="00E10FF6" w:rsidRPr="00B0503D">
        <w:rPr>
          <w:rFonts w:ascii="Helvetica" w:hAnsi="Helvetica"/>
          <w:lang w:val="en-US"/>
        </w:rPr>
        <w:t>Th</w:t>
      </w:r>
      <w:r w:rsidR="00E10FF6">
        <w:rPr>
          <w:rFonts w:ascii="Helvetica" w:hAnsi="Helvetica"/>
          <w:lang w:val="en-US"/>
        </w:rPr>
        <w:t>e</w:t>
      </w:r>
      <w:r w:rsidR="00E10FF6" w:rsidRPr="00B0503D">
        <w:rPr>
          <w:rFonts w:ascii="Helvetica" w:hAnsi="Helvetica"/>
          <w:lang w:val="en-US"/>
        </w:rPr>
        <w:t xml:space="preserve">se </w:t>
      </w:r>
      <w:r w:rsidR="00E10FF6">
        <w:rPr>
          <w:rFonts w:ascii="Helvetica" w:hAnsi="Helvetica"/>
          <w:lang w:val="en-US"/>
        </w:rPr>
        <w:t xml:space="preserve">students have usually </w:t>
      </w:r>
      <w:r w:rsidR="00E10FF6" w:rsidRPr="00B0503D">
        <w:rPr>
          <w:rFonts w:ascii="Helvetica" w:hAnsi="Helvetica"/>
          <w:lang w:val="en-US"/>
        </w:rPr>
        <w:t>deliberately plan</w:t>
      </w:r>
      <w:r w:rsidR="00E10FF6">
        <w:rPr>
          <w:rFonts w:ascii="Helvetica" w:hAnsi="Helvetica"/>
          <w:lang w:val="en-US"/>
        </w:rPr>
        <w:t>ned</w:t>
      </w:r>
      <w:r w:rsidR="00E10FF6" w:rsidRPr="00B0503D">
        <w:rPr>
          <w:rFonts w:ascii="Helvetica" w:hAnsi="Helvetica"/>
          <w:lang w:val="en-US"/>
        </w:rPr>
        <w:t xml:space="preserve"> to take a gap year</w:t>
      </w:r>
      <w:r w:rsidR="00E10FF6">
        <w:rPr>
          <w:rFonts w:ascii="Helvetica" w:hAnsi="Helvetica"/>
          <w:lang w:val="en-US"/>
        </w:rPr>
        <w:t xml:space="preserve"> and are also</w:t>
      </w:r>
      <w:r w:rsidR="00E10FF6" w:rsidRPr="00B0503D">
        <w:rPr>
          <w:rFonts w:ascii="Helvetica" w:hAnsi="Helvetica"/>
          <w:lang w:val="en-US"/>
        </w:rPr>
        <w:t xml:space="preserve"> more likely to have applied and accepted a place at university before their gap year</w:t>
      </w:r>
      <w:r w:rsidR="00E10FF6">
        <w:rPr>
          <w:rFonts w:ascii="Helvetica" w:hAnsi="Helvetica"/>
          <w:lang w:val="en-US"/>
        </w:rPr>
        <w:t xml:space="preserve"> begins.</w:t>
      </w:r>
      <w:r w:rsidR="00E10FF6" w:rsidRPr="00B0503D">
        <w:rPr>
          <w:rFonts w:ascii="Helvetica" w:hAnsi="Helvetica"/>
          <w:lang w:val="en-US"/>
        </w:rPr>
        <w:t xml:space="preserve"> </w:t>
      </w:r>
      <w:r w:rsidR="00AB02EE">
        <w:rPr>
          <w:rFonts w:ascii="Helvetica" w:hAnsi="Helvetica"/>
          <w:lang w:val="en-US"/>
        </w:rPr>
        <w:t xml:space="preserve">Indeed, a profitable industry has grown up around the traditional notion of the gap year. </w:t>
      </w:r>
      <w:r w:rsidR="001A0A75">
        <w:rPr>
          <w:rFonts w:ascii="Helvetica" w:hAnsi="Helvetica"/>
          <w:lang w:val="en-US"/>
        </w:rPr>
        <w:t>I</w:t>
      </w:r>
      <w:r w:rsidR="00AB02EE">
        <w:rPr>
          <w:rFonts w:ascii="Helvetica" w:hAnsi="Helvetica"/>
          <w:lang w:val="en-US"/>
        </w:rPr>
        <w:t>t is important to note</w:t>
      </w:r>
      <w:r w:rsidR="001A0A75">
        <w:rPr>
          <w:rFonts w:ascii="Helvetica" w:hAnsi="Helvetica"/>
          <w:lang w:val="en-US"/>
        </w:rPr>
        <w:t>, however,</w:t>
      </w:r>
      <w:r w:rsidR="00AB02EE">
        <w:rPr>
          <w:rFonts w:ascii="Helvetica" w:hAnsi="Helvetica"/>
          <w:lang w:val="en-US"/>
        </w:rPr>
        <w:t xml:space="preserve"> that </w:t>
      </w:r>
      <w:r w:rsidR="000D4CAE" w:rsidRPr="00B0503D">
        <w:rPr>
          <w:rFonts w:ascii="Helvetica" w:hAnsi="Helvetica"/>
          <w:lang w:val="en-US"/>
        </w:rPr>
        <w:t>Crawford and Cr</w:t>
      </w:r>
      <w:r w:rsidR="00E10FF6">
        <w:rPr>
          <w:rFonts w:ascii="Helvetica" w:hAnsi="Helvetica"/>
          <w:lang w:val="en-US"/>
        </w:rPr>
        <w:t xml:space="preserve">ibb’s (2012) analysis revealed another type of gap year taker. </w:t>
      </w:r>
      <w:r w:rsidR="000D4CAE" w:rsidRPr="00B0503D">
        <w:rPr>
          <w:rFonts w:ascii="Helvetica" w:hAnsi="Helvetica"/>
          <w:lang w:val="en-US"/>
        </w:rPr>
        <w:t>Th</w:t>
      </w:r>
      <w:r w:rsidR="00E10FF6">
        <w:rPr>
          <w:rFonts w:ascii="Helvetica" w:hAnsi="Helvetica"/>
          <w:lang w:val="en-US"/>
        </w:rPr>
        <w:t>e</w:t>
      </w:r>
      <w:r w:rsidR="000D4CAE" w:rsidRPr="00B0503D">
        <w:rPr>
          <w:rFonts w:ascii="Helvetica" w:hAnsi="Helvetica"/>
          <w:lang w:val="en-US"/>
        </w:rPr>
        <w:t xml:space="preserve">se </w:t>
      </w:r>
      <w:r w:rsidR="00E10FF6">
        <w:rPr>
          <w:rFonts w:ascii="Helvetica" w:hAnsi="Helvetica"/>
          <w:lang w:val="en-US"/>
        </w:rPr>
        <w:t xml:space="preserve">are students </w:t>
      </w:r>
      <w:r w:rsidR="000D4CAE" w:rsidRPr="00B0503D">
        <w:rPr>
          <w:rFonts w:ascii="Helvetica" w:hAnsi="Helvetica"/>
          <w:lang w:val="en-US"/>
        </w:rPr>
        <w:t>that did</w:t>
      </w:r>
      <w:r w:rsidR="00E10FF6">
        <w:rPr>
          <w:rFonts w:ascii="Helvetica" w:hAnsi="Helvetica"/>
          <w:lang w:val="en-US"/>
        </w:rPr>
        <w:t xml:space="preserve"> </w:t>
      </w:r>
      <w:r w:rsidR="000D4CAE" w:rsidRPr="00B0503D">
        <w:rPr>
          <w:rFonts w:ascii="Helvetica" w:hAnsi="Helvetica"/>
          <w:lang w:val="en-US"/>
        </w:rPr>
        <w:t>n</w:t>
      </w:r>
      <w:r w:rsidR="00E10FF6">
        <w:rPr>
          <w:rFonts w:ascii="Helvetica" w:hAnsi="Helvetica"/>
          <w:lang w:val="en-US"/>
        </w:rPr>
        <w:t>o</w:t>
      </w:r>
      <w:r w:rsidR="000D4CAE" w:rsidRPr="00B0503D">
        <w:rPr>
          <w:rFonts w:ascii="Helvetica" w:hAnsi="Helvetica"/>
          <w:lang w:val="en-US"/>
        </w:rPr>
        <w:t xml:space="preserve">t intend to take a year </w:t>
      </w:r>
      <w:r w:rsidR="00E10FF6">
        <w:rPr>
          <w:rFonts w:ascii="Helvetica" w:hAnsi="Helvetica"/>
          <w:lang w:val="en-US"/>
        </w:rPr>
        <w:t>out. T</w:t>
      </w:r>
      <w:r w:rsidR="000D4CAE" w:rsidRPr="00B0503D">
        <w:rPr>
          <w:rFonts w:ascii="Helvetica" w:hAnsi="Helvetica"/>
          <w:lang w:val="en-US"/>
        </w:rPr>
        <w:t xml:space="preserve">hey </w:t>
      </w:r>
      <w:r w:rsidR="00E10FF6">
        <w:rPr>
          <w:rFonts w:ascii="Helvetica" w:hAnsi="Helvetica"/>
          <w:lang w:val="en-US"/>
        </w:rPr>
        <w:t xml:space="preserve">often </w:t>
      </w:r>
      <w:r w:rsidR="000D4CAE" w:rsidRPr="00B0503D">
        <w:rPr>
          <w:rFonts w:ascii="Helvetica" w:hAnsi="Helvetica"/>
          <w:lang w:val="en-US"/>
        </w:rPr>
        <w:t>have</w:t>
      </w:r>
      <w:r w:rsidR="00E10FF6">
        <w:rPr>
          <w:rFonts w:ascii="Helvetica" w:hAnsi="Helvetica"/>
          <w:lang w:val="en-US"/>
        </w:rPr>
        <w:t xml:space="preserve"> </w:t>
      </w:r>
      <w:r w:rsidR="00E45EB9">
        <w:rPr>
          <w:rFonts w:ascii="Helvetica" w:hAnsi="Helvetica"/>
          <w:lang w:val="en-US"/>
        </w:rPr>
        <w:t xml:space="preserve">either </w:t>
      </w:r>
      <w:r w:rsidR="000D4CAE" w:rsidRPr="00B0503D">
        <w:rPr>
          <w:rFonts w:ascii="Helvetica" w:hAnsi="Helvetica"/>
          <w:lang w:val="en-US"/>
        </w:rPr>
        <w:t>n</w:t>
      </w:r>
      <w:r w:rsidR="00E10FF6">
        <w:rPr>
          <w:rFonts w:ascii="Helvetica" w:hAnsi="Helvetica"/>
          <w:lang w:val="en-US"/>
        </w:rPr>
        <w:t>o</w:t>
      </w:r>
      <w:r w:rsidR="000D4CAE" w:rsidRPr="00B0503D">
        <w:rPr>
          <w:rFonts w:ascii="Helvetica" w:hAnsi="Helvetica"/>
          <w:lang w:val="en-US"/>
        </w:rPr>
        <w:t xml:space="preserve">t applied for or </w:t>
      </w:r>
      <w:r w:rsidR="00E45EB9">
        <w:rPr>
          <w:rFonts w:ascii="Helvetica" w:hAnsi="Helvetica"/>
          <w:lang w:val="en-US"/>
        </w:rPr>
        <w:t xml:space="preserve">not </w:t>
      </w:r>
      <w:r w:rsidR="00AB02EE">
        <w:rPr>
          <w:rFonts w:ascii="Helvetica" w:hAnsi="Helvetica"/>
          <w:lang w:val="en-US"/>
        </w:rPr>
        <w:t>achieved the grades to be offered</w:t>
      </w:r>
      <w:r w:rsidR="000D4CAE" w:rsidRPr="00B0503D">
        <w:rPr>
          <w:rFonts w:ascii="Helvetica" w:hAnsi="Helvetica"/>
          <w:lang w:val="en-US"/>
        </w:rPr>
        <w:t xml:space="preserve"> a place at uni</w:t>
      </w:r>
      <w:r w:rsidR="00AB02EE">
        <w:rPr>
          <w:rFonts w:ascii="Helvetica" w:hAnsi="Helvetica"/>
          <w:lang w:val="en-US"/>
        </w:rPr>
        <w:t>versity. T</w:t>
      </w:r>
      <w:r w:rsidR="00E45EB9">
        <w:rPr>
          <w:rFonts w:ascii="Helvetica" w:hAnsi="Helvetica"/>
          <w:lang w:val="en-US"/>
        </w:rPr>
        <w:t xml:space="preserve">heir gap year </w:t>
      </w:r>
      <w:r w:rsidR="000D4CAE" w:rsidRPr="00B0503D">
        <w:rPr>
          <w:rFonts w:ascii="Helvetica" w:hAnsi="Helvetica"/>
          <w:lang w:val="en-US"/>
        </w:rPr>
        <w:t xml:space="preserve">usually </w:t>
      </w:r>
      <w:r w:rsidR="00E45EB9">
        <w:rPr>
          <w:rFonts w:ascii="Helvetica" w:hAnsi="Helvetica"/>
          <w:lang w:val="en-US"/>
        </w:rPr>
        <w:t>compris</w:t>
      </w:r>
      <w:r w:rsidR="00273392">
        <w:rPr>
          <w:rFonts w:ascii="Helvetica" w:hAnsi="Helvetica"/>
          <w:lang w:val="en-US"/>
        </w:rPr>
        <w:t>es</w:t>
      </w:r>
      <w:r w:rsidR="000D4CAE" w:rsidRPr="00B0503D">
        <w:rPr>
          <w:rFonts w:ascii="Helvetica" w:hAnsi="Helvetica"/>
          <w:lang w:val="en-US"/>
        </w:rPr>
        <w:t xml:space="preserve"> low wage employment or </w:t>
      </w:r>
      <w:r w:rsidR="00E45EB9">
        <w:rPr>
          <w:rFonts w:ascii="Helvetica" w:hAnsi="Helvetica"/>
          <w:lang w:val="en-US"/>
        </w:rPr>
        <w:t>returning to fulltime education to retake examinations</w:t>
      </w:r>
      <w:r w:rsidR="000D4CAE" w:rsidRPr="00B0503D">
        <w:rPr>
          <w:rFonts w:ascii="Helvetica" w:hAnsi="Helvetica"/>
          <w:lang w:val="en-US"/>
        </w:rPr>
        <w:t>. The</w:t>
      </w:r>
      <w:r w:rsidR="00AB02EE">
        <w:rPr>
          <w:rFonts w:ascii="Helvetica" w:hAnsi="Helvetica"/>
          <w:lang w:val="en-US"/>
        </w:rPr>
        <w:t>se gap year takers</w:t>
      </w:r>
      <w:r w:rsidR="000D4CAE" w:rsidRPr="00B0503D">
        <w:rPr>
          <w:rFonts w:ascii="Helvetica" w:hAnsi="Helvetica"/>
          <w:lang w:val="en-US"/>
        </w:rPr>
        <w:t xml:space="preserve"> are usually from lower socio-economic backgrounds and are less likely to go to </w:t>
      </w:r>
      <w:r w:rsidR="00AB02EE">
        <w:rPr>
          <w:rFonts w:ascii="Helvetica" w:hAnsi="Helvetica"/>
          <w:lang w:val="en-US"/>
        </w:rPr>
        <w:t xml:space="preserve">straight onto </w:t>
      </w:r>
      <w:r w:rsidR="000D4CAE" w:rsidRPr="00B0503D">
        <w:rPr>
          <w:rFonts w:ascii="Helvetica" w:hAnsi="Helvetica"/>
          <w:lang w:val="en-US"/>
        </w:rPr>
        <w:t>university after their year</w:t>
      </w:r>
      <w:r w:rsidR="00AB02EE">
        <w:rPr>
          <w:rFonts w:ascii="Helvetica" w:hAnsi="Helvetica"/>
          <w:lang w:val="en-US"/>
        </w:rPr>
        <w:t xml:space="preserve"> out</w:t>
      </w:r>
      <w:r w:rsidR="000D4CAE" w:rsidRPr="00B0503D">
        <w:rPr>
          <w:rFonts w:ascii="Helvetica" w:hAnsi="Helvetica"/>
          <w:lang w:val="en-US"/>
        </w:rPr>
        <w:t>.</w:t>
      </w:r>
      <w:r w:rsidR="00AB02EE">
        <w:rPr>
          <w:rFonts w:ascii="Helvetica" w:hAnsi="Helvetica"/>
          <w:lang w:val="en-US"/>
        </w:rPr>
        <w:t xml:space="preserve"> </w:t>
      </w:r>
    </w:p>
    <w:p w14:paraId="609F13C4" w14:textId="77777777" w:rsidR="005D3EE5" w:rsidRPr="00B0503D" w:rsidRDefault="005D3EE5" w:rsidP="00B0503D">
      <w:pPr>
        <w:spacing w:line="276" w:lineRule="auto"/>
        <w:jc w:val="both"/>
        <w:rPr>
          <w:rFonts w:ascii="Helvetica" w:hAnsi="Helvetica"/>
        </w:rPr>
      </w:pPr>
    </w:p>
    <w:p w14:paraId="3BC167AF" w14:textId="33E91225" w:rsidR="00B0503D" w:rsidRPr="00B0503D" w:rsidRDefault="00A45924" w:rsidP="00B0503D">
      <w:pPr>
        <w:spacing w:line="276" w:lineRule="auto"/>
        <w:jc w:val="both"/>
        <w:rPr>
          <w:rFonts w:ascii="Helvetica" w:hAnsi="Helvetica"/>
        </w:rPr>
      </w:pPr>
      <w:r>
        <w:rPr>
          <w:rFonts w:ascii="Helvetica" w:hAnsi="Helvetica"/>
        </w:rPr>
        <w:t>Additionally</w:t>
      </w:r>
      <w:r w:rsidR="002F362C">
        <w:rPr>
          <w:rFonts w:ascii="Helvetica" w:hAnsi="Helvetica"/>
        </w:rPr>
        <w:t xml:space="preserve">, </w:t>
      </w:r>
      <w:r w:rsidR="00B0503D" w:rsidRPr="00B0503D">
        <w:rPr>
          <w:rFonts w:ascii="Helvetica" w:hAnsi="Helvetica"/>
          <w:lang w:val="en-US"/>
        </w:rPr>
        <w:t xml:space="preserve">Holmlund et al. (2008) identified four types of </w:t>
      </w:r>
      <w:r w:rsidR="002F362C">
        <w:rPr>
          <w:rFonts w:ascii="Helvetica" w:hAnsi="Helvetica"/>
          <w:lang w:val="en-US"/>
        </w:rPr>
        <w:t xml:space="preserve">pre-university </w:t>
      </w:r>
      <w:r w:rsidR="00B0503D" w:rsidRPr="00B0503D">
        <w:rPr>
          <w:rFonts w:ascii="Helvetica" w:hAnsi="Helvetica"/>
          <w:lang w:val="en-US"/>
        </w:rPr>
        <w:t>gap year</w:t>
      </w:r>
      <w:r w:rsidR="002F362C">
        <w:rPr>
          <w:rFonts w:ascii="Helvetica" w:hAnsi="Helvetica"/>
          <w:lang w:val="en-US"/>
        </w:rPr>
        <w:t>, which can be mapped to the two main types of gap year taker in Crawford and Cribb’s study</w:t>
      </w:r>
      <w:r w:rsidR="00B0503D" w:rsidRPr="00B0503D">
        <w:rPr>
          <w:rFonts w:ascii="Helvetica" w:hAnsi="Helvetica"/>
          <w:lang w:val="en-US"/>
        </w:rPr>
        <w:t>:</w:t>
      </w:r>
    </w:p>
    <w:p w14:paraId="05B37D85" w14:textId="77777777" w:rsidR="00B0503D" w:rsidRPr="00B0503D" w:rsidRDefault="00B0503D" w:rsidP="00B0503D">
      <w:pPr>
        <w:spacing w:line="276" w:lineRule="auto"/>
        <w:jc w:val="both"/>
        <w:rPr>
          <w:rFonts w:ascii="Helvetica" w:hAnsi="Helvetica"/>
        </w:rPr>
      </w:pPr>
      <w:r w:rsidRPr="00B0503D">
        <w:rPr>
          <w:rFonts w:ascii="Helvetica" w:hAnsi="Helvetica"/>
          <w:lang w:val="en-US"/>
        </w:rPr>
        <w:t>1. Those where individuals develop specific skills.</w:t>
      </w:r>
    </w:p>
    <w:p w14:paraId="51E2FBBB" w14:textId="77777777" w:rsidR="00B0503D" w:rsidRPr="00B0503D" w:rsidRDefault="00B0503D" w:rsidP="00B0503D">
      <w:pPr>
        <w:spacing w:line="276" w:lineRule="auto"/>
        <w:jc w:val="both"/>
        <w:rPr>
          <w:rFonts w:ascii="Helvetica" w:hAnsi="Helvetica"/>
        </w:rPr>
      </w:pPr>
      <w:r w:rsidRPr="00B0503D">
        <w:rPr>
          <w:rFonts w:ascii="Helvetica" w:hAnsi="Helvetica"/>
          <w:lang w:val="en-US"/>
        </w:rPr>
        <w:t>2. Those where individuals are waiting for better educational opportunities (such as needing to retake qualifications to achieve passes or get higher grades or avoiding going through the university clearing process)</w:t>
      </w:r>
    </w:p>
    <w:p w14:paraId="0BE0196A" w14:textId="77777777" w:rsidR="00B0503D" w:rsidRPr="00B0503D" w:rsidRDefault="00B0503D" w:rsidP="00B0503D">
      <w:pPr>
        <w:spacing w:line="276" w:lineRule="auto"/>
        <w:jc w:val="both"/>
        <w:rPr>
          <w:rFonts w:ascii="Helvetica" w:hAnsi="Helvetica"/>
        </w:rPr>
      </w:pPr>
      <w:r w:rsidRPr="00B0503D">
        <w:rPr>
          <w:rFonts w:ascii="Helvetica" w:hAnsi="Helvetica"/>
          <w:lang w:val="en-US"/>
        </w:rPr>
        <w:t>3. Those where individuals learn about their broader preferences and/or abilities</w:t>
      </w:r>
    </w:p>
    <w:p w14:paraId="2F3BC13D" w14:textId="77777777" w:rsidR="00B0503D" w:rsidRPr="00B0503D" w:rsidRDefault="00B0503D" w:rsidP="00B0503D">
      <w:pPr>
        <w:spacing w:line="276" w:lineRule="auto"/>
        <w:jc w:val="both"/>
        <w:rPr>
          <w:rFonts w:ascii="Helvetica" w:hAnsi="Helvetica"/>
        </w:rPr>
      </w:pPr>
      <w:r w:rsidRPr="00B0503D">
        <w:rPr>
          <w:rFonts w:ascii="Helvetica" w:hAnsi="Helvetica"/>
          <w:lang w:val="en-US"/>
        </w:rPr>
        <w:t>4. Those where individuals take an extended break or holiday</w:t>
      </w:r>
    </w:p>
    <w:p w14:paraId="4EA89417" w14:textId="77777777" w:rsidR="002F362C" w:rsidRDefault="002F362C" w:rsidP="00B0503D">
      <w:pPr>
        <w:spacing w:line="276" w:lineRule="auto"/>
        <w:jc w:val="both"/>
        <w:rPr>
          <w:rFonts w:ascii="Helvetica" w:hAnsi="Helvetica"/>
          <w:lang w:val="en-US"/>
        </w:rPr>
      </w:pPr>
    </w:p>
    <w:p w14:paraId="316E72DF" w14:textId="1C0280B6" w:rsidR="002057F0" w:rsidRDefault="002F362C" w:rsidP="00B0503D">
      <w:pPr>
        <w:spacing w:line="276" w:lineRule="auto"/>
        <w:jc w:val="both"/>
        <w:rPr>
          <w:rFonts w:ascii="Helvetica" w:hAnsi="Helvetica"/>
          <w:lang w:val="en-US"/>
        </w:rPr>
      </w:pPr>
      <w:r w:rsidRPr="00B0503D">
        <w:rPr>
          <w:rFonts w:ascii="Helvetica" w:hAnsi="Helvetica"/>
          <w:lang w:val="en-US"/>
        </w:rPr>
        <w:t>Th</w:t>
      </w:r>
      <w:r>
        <w:rPr>
          <w:rFonts w:ascii="Helvetica" w:hAnsi="Helvetica"/>
          <w:lang w:val="en-US"/>
        </w:rPr>
        <w:t xml:space="preserve">e findings in the literature </w:t>
      </w:r>
      <w:r w:rsidRPr="00B0503D">
        <w:rPr>
          <w:rFonts w:ascii="Helvetica" w:hAnsi="Helvetica"/>
          <w:lang w:val="en-US"/>
        </w:rPr>
        <w:t xml:space="preserve">suggest that the </w:t>
      </w:r>
      <w:r>
        <w:rPr>
          <w:rFonts w:ascii="Helvetica" w:hAnsi="Helvetica"/>
          <w:lang w:val="en-US"/>
        </w:rPr>
        <w:t xml:space="preserve">traditional pre-university </w:t>
      </w:r>
      <w:r w:rsidRPr="00B0503D">
        <w:rPr>
          <w:rFonts w:ascii="Helvetica" w:hAnsi="Helvetica"/>
          <w:lang w:val="en-US"/>
        </w:rPr>
        <w:t xml:space="preserve">gap year is not a homogeneous experience </w:t>
      </w:r>
      <w:r w:rsidR="004F5D4D">
        <w:rPr>
          <w:rFonts w:ascii="Helvetica" w:hAnsi="Helvetica"/>
          <w:lang w:val="en-US"/>
        </w:rPr>
        <w:t xml:space="preserve">for young people </w:t>
      </w:r>
      <w:r w:rsidRPr="00B0503D">
        <w:rPr>
          <w:rFonts w:ascii="Helvetica" w:hAnsi="Helvetica"/>
          <w:lang w:val="en-US"/>
        </w:rPr>
        <w:t>and is likely to be a classed experience</w:t>
      </w:r>
      <w:r>
        <w:rPr>
          <w:rFonts w:ascii="Helvetica" w:hAnsi="Helvetica"/>
          <w:lang w:val="en-US"/>
        </w:rPr>
        <w:t xml:space="preserve"> (</w:t>
      </w:r>
      <w:r w:rsidR="00EC458C">
        <w:rPr>
          <w:rFonts w:ascii="Helvetica" w:hAnsi="Helvetica"/>
          <w:lang w:val="en-US"/>
        </w:rPr>
        <w:t xml:space="preserve">Nieman, 2010; Stehlik, 2010; O’Shea, 2011; </w:t>
      </w:r>
      <w:r>
        <w:rPr>
          <w:rFonts w:ascii="Helvetica" w:hAnsi="Helvetica"/>
          <w:lang w:val="en-US"/>
        </w:rPr>
        <w:t>Crawford and Cribb, 2012)</w:t>
      </w:r>
      <w:r w:rsidRPr="00B0503D">
        <w:rPr>
          <w:rFonts w:ascii="Helvetica" w:hAnsi="Helvetica"/>
          <w:lang w:val="en-US"/>
        </w:rPr>
        <w:t>.</w:t>
      </w:r>
      <w:r>
        <w:rPr>
          <w:rFonts w:ascii="Helvetica" w:hAnsi="Helvetica"/>
          <w:lang w:val="en-US"/>
        </w:rPr>
        <w:t xml:space="preserve"> </w:t>
      </w:r>
      <w:r w:rsidR="00696A4F">
        <w:rPr>
          <w:rFonts w:ascii="Helvetica" w:hAnsi="Helvetica"/>
          <w:lang w:val="en-US"/>
        </w:rPr>
        <w:t>Before considering how this might this relate to</w:t>
      </w:r>
      <w:r w:rsidR="004F5D4D">
        <w:rPr>
          <w:rFonts w:ascii="Helvetica" w:hAnsi="Helvetica"/>
          <w:lang w:val="en-US"/>
        </w:rPr>
        <w:t xml:space="preserve"> the phenomenon of a </w:t>
      </w:r>
      <w:r w:rsidR="00A34975">
        <w:rPr>
          <w:rFonts w:ascii="Helvetica" w:hAnsi="Helvetica"/>
          <w:lang w:val="en-US"/>
        </w:rPr>
        <w:t>graduate</w:t>
      </w:r>
      <w:r w:rsidR="004F5D4D">
        <w:rPr>
          <w:rFonts w:ascii="Helvetica" w:hAnsi="Helvetica"/>
          <w:lang w:val="en-US"/>
        </w:rPr>
        <w:t xml:space="preserve"> gap year</w:t>
      </w:r>
      <w:r w:rsidR="00696A4F">
        <w:rPr>
          <w:rFonts w:ascii="Helvetica" w:hAnsi="Helvetica"/>
          <w:lang w:val="en-US"/>
        </w:rPr>
        <w:t xml:space="preserve">, the chapter </w:t>
      </w:r>
      <w:r w:rsidR="00990A22">
        <w:rPr>
          <w:rFonts w:ascii="Helvetica" w:hAnsi="Helvetica"/>
          <w:lang w:val="en-US"/>
        </w:rPr>
        <w:t>now</w:t>
      </w:r>
      <w:r w:rsidR="00696A4F">
        <w:rPr>
          <w:rFonts w:ascii="Helvetica" w:hAnsi="Helvetica"/>
          <w:lang w:val="en-US"/>
        </w:rPr>
        <w:t xml:space="preserve"> </w:t>
      </w:r>
      <w:r w:rsidR="004423BF">
        <w:rPr>
          <w:rFonts w:ascii="Helvetica" w:hAnsi="Helvetica"/>
          <w:lang w:val="en-US"/>
        </w:rPr>
        <w:t>reflect</w:t>
      </w:r>
      <w:r w:rsidR="00990A22">
        <w:rPr>
          <w:rFonts w:ascii="Helvetica" w:hAnsi="Helvetica"/>
          <w:lang w:val="en-US"/>
        </w:rPr>
        <w:t>s</w:t>
      </w:r>
      <w:r w:rsidR="004423BF">
        <w:rPr>
          <w:rFonts w:ascii="Helvetica" w:hAnsi="Helvetica"/>
          <w:lang w:val="en-US"/>
        </w:rPr>
        <w:t xml:space="preserve"> upon </w:t>
      </w:r>
      <w:r w:rsidR="00696A4F">
        <w:rPr>
          <w:rFonts w:ascii="Helvetica" w:hAnsi="Helvetica"/>
          <w:lang w:val="en-US"/>
        </w:rPr>
        <w:t xml:space="preserve">transitions to adulthood and </w:t>
      </w:r>
      <w:r w:rsidR="004423BF">
        <w:rPr>
          <w:rFonts w:ascii="Helvetica" w:hAnsi="Helvetica"/>
          <w:lang w:val="en-US"/>
        </w:rPr>
        <w:t>graduate transitions more generally.</w:t>
      </w:r>
    </w:p>
    <w:p w14:paraId="6E22C417" w14:textId="77777777" w:rsidR="004423BF" w:rsidRDefault="004423BF" w:rsidP="00B0503D">
      <w:pPr>
        <w:spacing w:line="276" w:lineRule="auto"/>
        <w:jc w:val="both"/>
        <w:rPr>
          <w:rFonts w:ascii="Helvetica" w:hAnsi="Helvetica"/>
          <w:lang w:val="en-US"/>
        </w:rPr>
      </w:pPr>
    </w:p>
    <w:p w14:paraId="68EE2D95" w14:textId="77777777" w:rsidR="008B0E9C" w:rsidRDefault="008B0E9C" w:rsidP="00B0503D">
      <w:pPr>
        <w:spacing w:line="276" w:lineRule="auto"/>
        <w:jc w:val="both"/>
        <w:rPr>
          <w:rFonts w:ascii="Helvetica" w:hAnsi="Helvetica"/>
          <w:lang w:val="en-US"/>
        </w:rPr>
      </w:pPr>
    </w:p>
    <w:p w14:paraId="3E10AFD7" w14:textId="438C53CB" w:rsidR="004423BF" w:rsidRPr="008B0E9C" w:rsidRDefault="008B0E9C" w:rsidP="00B0503D">
      <w:pPr>
        <w:spacing w:line="276" w:lineRule="auto"/>
        <w:jc w:val="both"/>
        <w:rPr>
          <w:rFonts w:ascii="Helvetica" w:hAnsi="Helvetica"/>
          <w:b/>
          <w:lang w:val="en-US"/>
        </w:rPr>
      </w:pPr>
      <w:r w:rsidRPr="00340550">
        <w:rPr>
          <w:rFonts w:ascii="Helvetica" w:hAnsi="Helvetica"/>
          <w:b/>
          <w:lang w:val="en-US"/>
        </w:rPr>
        <w:t>Troubling transitions</w:t>
      </w:r>
    </w:p>
    <w:p w14:paraId="4FF9C20F" w14:textId="77777777" w:rsidR="008B0E9C" w:rsidRDefault="008B0E9C" w:rsidP="00B0503D">
      <w:pPr>
        <w:spacing w:line="276" w:lineRule="auto"/>
        <w:jc w:val="both"/>
        <w:rPr>
          <w:rFonts w:ascii="Helvetica" w:hAnsi="Helvetica"/>
          <w:lang w:val="en-US"/>
        </w:rPr>
      </w:pPr>
    </w:p>
    <w:p w14:paraId="28F18F67" w14:textId="77777777" w:rsidR="00340550" w:rsidRDefault="00340550" w:rsidP="00340550">
      <w:pPr>
        <w:spacing w:line="276" w:lineRule="auto"/>
        <w:jc w:val="both"/>
        <w:rPr>
          <w:rFonts w:ascii="Helvetica" w:hAnsi="Helvetica"/>
          <w:lang w:val="en-US"/>
        </w:rPr>
      </w:pPr>
      <w:r>
        <w:rPr>
          <w:rFonts w:ascii="Helvetica" w:hAnsi="Helvetica"/>
          <w:lang w:val="en-US"/>
        </w:rPr>
        <w:t>As Arundel and Ronald (2015: 2-3) point out, transitions to adulthood in general represent:</w:t>
      </w:r>
    </w:p>
    <w:p w14:paraId="56172793" w14:textId="77777777" w:rsidR="00340550" w:rsidRDefault="00340550" w:rsidP="00340550">
      <w:pPr>
        <w:spacing w:line="276" w:lineRule="auto"/>
        <w:jc w:val="both"/>
        <w:rPr>
          <w:rFonts w:ascii="Helvetica" w:hAnsi="Helvetica"/>
          <w:lang w:val="en-US"/>
        </w:rPr>
      </w:pPr>
    </w:p>
    <w:p w14:paraId="51562557" w14:textId="77777777" w:rsidR="00340550" w:rsidRDefault="00340550" w:rsidP="00340550">
      <w:pPr>
        <w:spacing w:line="276" w:lineRule="auto"/>
        <w:ind w:left="851" w:right="851"/>
        <w:jc w:val="both"/>
        <w:rPr>
          <w:rFonts w:ascii="Helvetica" w:hAnsi="Helvetica"/>
          <w:lang w:val="en-US"/>
        </w:rPr>
      </w:pPr>
      <w:r>
        <w:rPr>
          <w:rFonts w:ascii="Helvetica" w:hAnsi="Helvetica"/>
          <w:lang w:val="en-US"/>
        </w:rPr>
        <w:t xml:space="preserve">‘… </w:t>
      </w:r>
      <w:r w:rsidRPr="008B0E9C">
        <w:rPr>
          <w:rFonts w:ascii="Helvetica" w:hAnsi="Helvetica"/>
          <w:lang w:val="en-US"/>
        </w:rPr>
        <w:t>a key period for individual development but also contribute to processes of social stratification. Growing evidence has pointed to increased complexity, postponement and individualisation in transition dynamics…</w:t>
      </w:r>
      <w:r w:rsidRPr="007E096E">
        <w:rPr>
          <w:rFonts w:hAnsi="Calibri"/>
          <w:color w:val="000000" w:themeColor="text1"/>
          <w:kern w:val="24"/>
          <w:sz w:val="22"/>
          <w:szCs w:val="22"/>
          <w:lang w:val="en-US"/>
        </w:rPr>
        <w:t xml:space="preserve"> </w:t>
      </w:r>
      <w:r w:rsidRPr="007E096E">
        <w:rPr>
          <w:rFonts w:ascii="Helvetica" w:hAnsi="Helvetica"/>
          <w:lang w:val="en-US"/>
        </w:rPr>
        <w:t>Transition into adulthood represents a key stage in the life-course where decisions and events can have long-lasting effects for individual development</w:t>
      </w:r>
      <w:r>
        <w:rPr>
          <w:rFonts w:ascii="Helvetica" w:hAnsi="Helvetica"/>
          <w:lang w:val="en-US"/>
        </w:rPr>
        <w:t>.</w:t>
      </w:r>
      <w:r w:rsidRPr="008B0E9C">
        <w:rPr>
          <w:rFonts w:ascii="Helvetica" w:hAnsi="Helvetica"/>
          <w:lang w:val="en-US"/>
        </w:rPr>
        <w:t xml:space="preserve">’ </w:t>
      </w:r>
    </w:p>
    <w:p w14:paraId="70E36CDE" w14:textId="77777777" w:rsidR="00340550" w:rsidRDefault="00340550" w:rsidP="00340550">
      <w:pPr>
        <w:spacing w:line="276" w:lineRule="auto"/>
        <w:jc w:val="both"/>
        <w:rPr>
          <w:rFonts w:ascii="Helvetica" w:hAnsi="Helvetica"/>
          <w:lang w:val="en-US"/>
        </w:rPr>
      </w:pPr>
    </w:p>
    <w:p w14:paraId="7F01F299" w14:textId="2710976B" w:rsidR="00BB793A" w:rsidRDefault="00340550" w:rsidP="00B0503D">
      <w:pPr>
        <w:spacing w:line="276" w:lineRule="auto"/>
        <w:jc w:val="both"/>
        <w:rPr>
          <w:rFonts w:ascii="Helvetica" w:hAnsi="Helvetica"/>
          <w:lang w:val="en-US"/>
        </w:rPr>
      </w:pPr>
      <w:r>
        <w:rPr>
          <w:rFonts w:ascii="Helvetica" w:hAnsi="Helvetica"/>
          <w:lang w:val="en-US"/>
        </w:rPr>
        <w:t xml:space="preserve">They explain that pathways to adulthood have diversified with increasingly non-linear pathways through education and employment, which is characterised by growing employment instability, often leading to ‘boomerang’ transitions for young adults (Arundel and Lennartz, 2015).  </w:t>
      </w:r>
      <w:r w:rsidR="00E075FB">
        <w:rPr>
          <w:rFonts w:ascii="Helvetica" w:hAnsi="Helvetica"/>
          <w:lang w:val="en-US"/>
        </w:rPr>
        <w:t>Holdsworth (2015</w:t>
      </w:r>
      <w:r w:rsidR="00AF6332">
        <w:rPr>
          <w:rFonts w:ascii="Helvetica" w:hAnsi="Helvetica"/>
          <w:lang w:val="en-US"/>
        </w:rPr>
        <w:t>: 1</w:t>
      </w:r>
      <w:r w:rsidR="00E075FB">
        <w:rPr>
          <w:rFonts w:ascii="Helvetica" w:hAnsi="Helvetica"/>
          <w:lang w:val="en-US"/>
        </w:rPr>
        <w:t xml:space="preserve">) </w:t>
      </w:r>
      <w:r w:rsidR="00BB793A">
        <w:rPr>
          <w:rFonts w:ascii="Helvetica" w:hAnsi="Helvetica"/>
          <w:lang w:val="en-US"/>
        </w:rPr>
        <w:t xml:space="preserve">notes that as a response to this context of </w:t>
      </w:r>
      <w:r w:rsidR="00E075FB" w:rsidRPr="00E075FB">
        <w:rPr>
          <w:rFonts w:ascii="Helvetica" w:hAnsi="Helvetica"/>
          <w:lang w:val="en-US"/>
        </w:rPr>
        <w:t xml:space="preserve">uncertain futures </w:t>
      </w:r>
      <w:r w:rsidR="00BB793A" w:rsidRPr="00E075FB">
        <w:rPr>
          <w:rFonts w:ascii="Helvetica" w:hAnsi="Helvetica"/>
          <w:lang w:val="en-US"/>
        </w:rPr>
        <w:t>related</w:t>
      </w:r>
      <w:r w:rsidR="00E075FB" w:rsidRPr="00E075FB">
        <w:rPr>
          <w:rFonts w:ascii="Helvetica" w:hAnsi="Helvetica"/>
          <w:lang w:val="en-US"/>
        </w:rPr>
        <w:t xml:space="preserve"> </w:t>
      </w:r>
      <w:r w:rsidR="00BB793A">
        <w:rPr>
          <w:rFonts w:ascii="Helvetica" w:hAnsi="Helvetica"/>
          <w:lang w:val="en-US"/>
        </w:rPr>
        <w:t>to</w:t>
      </w:r>
      <w:r w:rsidR="00E075FB" w:rsidRPr="00E075FB">
        <w:rPr>
          <w:rFonts w:ascii="Helvetica" w:hAnsi="Helvetica"/>
          <w:lang w:val="en-US"/>
        </w:rPr>
        <w:t xml:space="preserve"> precarious</w:t>
      </w:r>
      <w:r w:rsidR="00E075FB">
        <w:rPr>
          <w:rFonts w:ascii="Helvetica" w:hAnsi="Helvetica"/>
          <w:lang w:val="en-US"/>
        </w:rPr>
        <w:t xml:space="preserve"> and </w:t>
      </w:r>
      <w:r w:rsidR="00E075FB" w:rsidRPr="00E075FB">
        <w:rPr>
          <w:rFonts w:ascii="Helvetica" w:hAnsi="Helvetica"/>
          <w:lang w:val="en-US"/>
        </w:rPr>
        <w:t>casuali</w:t>
      </w:r>
      <w:r w:rsidR="00BB793A">
        <w:rPr>
          <w:rFonts w:ascii="Helvetica" w:hAnsi="Helvetica"/>
          <w:lang w:val="en-US"/>
        </w:rPr>
        <w:t xml:space="preserve">sed employment or unemployment: </w:t>
      </w:r>
    </w:p>
    <w:p w14:paraId="03E1A85D" w14:textId="77777777" w:rsidR="00BB793A" w:rsidRDefault="00BB793A" w:rsidP="00B0503D">
      <w:pPr>
        <w:spacing w:line="276" w:lineRule="auto"/>
        <w:jc w:val="both"/>
        <w:rPr>
          <w:rFonts w:ascii="Helvetica" w:hAnsi="Helvetica"/>
          <w:lang w:val="en-US"/>
        </w:rPr>
      </w:pPr>
    </w:p>
    <w:p w14:paraId="7FB96ABA" w14:textId="0D3D220A" w:rsidR="00E075FB" w:rsidRDefault="00BB793A" w:rsidP="00BB793A">
      <w:pPr>
        <w:spacing w:line="276" w:lineRule="auto"/>
        <w:ind w:left="851" w:right="851"/>
        <w:jc w:val="both"/>
        <w:rPr>
          <w:rFonts w:ascii="Helvetica" w:hAnsi="Helvetica"/>
          <w:lang w:val="en-US"/>
        </w:rPr>
      </w:pPr>
      <w:r>
        <w:rPr>
          <w:rFonts w:ascii="Helvetica" w:hAnsi="Helvetica"/>
          <w:lang w:val="en-US"/>
        </w:rPr>
        <w:t xml:space="preserve">‘… </w:t>
      </w:r>
      <w:r w:rsidR="00E075FB" w:rsidRPr="00E075FB">
        <w:rPr>
          <w:rFonts w:ascii="Helvetica" w:hAnsi="Helvetica"/>
          <w:lang w:val="en-US"/>
        </w:rPr>
        <w:t>young people are increasingly encouraged to invest in practices of distinction that enable them to stand out from the crowd in the pursuit of employability. These practices include the acquisition of experiences, such as work experience, internships, volunteering, travel and membership of organisations, which are assumed to give young people an edge over their peers in a crowded and increasingly globa</w:t>
      </w:r>
      <w:r w:rsidR="00AF6332">
        <w:rPr>
          <w:rFonts w:ascii="Helvetica" w:hAnsi="Helvetica"/>
          <w:lang w:val="en-US"/>
        </w:rPr>
        <w:t>lised youth labour market.’</w:t>
      </w:r>
    </w:p>
    <w:p w14:paraId="1D6417AC" w14:textId="77777777" w:rsidR="00E075FB" w:rsidRDefault="00E075FB" w:rsidP="00B0503D">
      <w:pPr>
        <w:spacing w:line="276" w:lineRule="auto"/>
        <w:jc w:val="both"/>
        <w:rPr>
          <w:rFonts w:ascii="Helvetica" w:hAnsi="Helvetica"/>
          <w:lang w:val="en-US"/>
        </w:rPr>
      </w:pPr>
    </w:p>
    <w:p w14:paraId="3AFDE4D2" w14:textId="3C134957" w:rsidR="00E31E07" w:rsidRDefault="00AF6332" w:rsidP="00AF6332">
      <w:pPr>
        <w:spacing w:line="276" w:lineRule="auto"/>
        <w:jc w:val="both"/>
        <w:rPr>
          <w:rFonts w:ascii="Helvetica" w:hAnsi="Helvetica"/>
          <w:lang w:val="en-US"/>
        </w:rPr>
      </w:pPr>
      <w:r>
        <w:rPr>
          <w:rFonts w:ascii="Helvetica" w:hAnsi="Helvetica"/>
          <w:lang w:val="en-US"/>
        </w:rPr>
        <w:t>She is concerned that the practice of gaining experience is an attempt by young people to protect themselves against a changeable graduate labour market but that ultimately the</w:t>
      </w:r>
      <w:r w:rsidR="00E31E07" w:rsidRPr="00E31E07">
        <w:rPr>
          <w:rFonts w:ascii="Helvetica" w:hAnsi="Helvetica"/>
          <w:lang w:val="en-US"/>
        </w:rPr>
        <w:t xml:space="preserve"> ‘distinctions that matter and where new cleavag</w:t>
      </w:r>
      <w:r>
        <w:rPr>
          <w:rFonts w:ascii="Helvetica" w:hAnsi="Helvetica"/>
          <w:lang w:val="en-US"/>
        </w:rPr>
        <w:t xml:space="preserve">es of domination will be formed… </w:t>
      </w:r>
      <w:r w:rsidR="00E31E07" w:rsidRPr="00E31E07">
        <w:rPr>
          <w:rFonts w:ascii="Helvetica" w:hAnsi="Helvetica"/>
          <w:lang w:val="en-US"/>
        </w:rPr>
        <w:t xml:space="preserve">in an era of austerity is between those who can master unpredictability and be creative and those who cannot’ (p4). </w:t>
      </w:r>
    </w:p>
    <w:p w14:paraId="22D0DE4E" w14:textId="77777777" w:rsidR="00FF26C6" w:rsidRDefault="00FF26C6" w:rsidP="00B0503D">
      <w:pPr>
        <w:spacing w:line="276" w:lineRule="auto"/>
        <w:jc w:val="both"/>
        <w:rPr>
          <w:rFonts w:ascii="Helvetica" w:hAnsi="Helvetica"/>
          <w:lang w:val="en-US"/>
        </w:rPr>
      </w:pPr>
    </w:p>
    <w:p w14:paraId="4FC3FCAC" w14:textId="04236000" w:rsidR="00B742D5" w:rsidRDefault="00FF26C6" w:rsidP="00B0503D">
      <w:pPr>
        <w:spacing w:line="276" w:lineRule="auto"/>
        <w:jc w:val="both"/>
        <w:rPr>
          <w:rFonts w:ascii="Helvetica" w:hAnsi="Helvetica"/>
          <w:lang w:val="en-US"/>
        </w:rPr>
      </w:pPr>
      <w:r>
        <w:rPr>
          <w:rFonts w:ascii="Helvetica" w:hAnsi="Helvetica"/>
          <w:lang w:val="en-US"/>
        </w:rPr>
        <w:t>Howie and Campbell (2016</w:t>
      </w:r>
      <w:r w:rsidR="00CE5E4B">
        <w:rPr>
          <w:rFonts w:ascii="Helvetica" w:hAnsi="Helvetica"/>
          <w:lang w:val="en-US"/>
        </w:rPr>
        <w:t>: 906</w:t>
      </w:r>
      <w:r>
        <w:rPr>
          <w:rFonts w:ascii="Helvetica" w:hAnsi="Helvetica"/>
          <w:lang w:val="en-US"/>
        </w:rPr>
        <w:t xml:space="preserve">) </w:t>
      </w:r>
      <w:r w:rsidR="00F02691">
        <w:rPr>
          <w:rFonts w:ascii="Helvetica" w:hAnsi="Helvetica"/>
          <w:lang w:val="en-US"/>
        </w:rPr>
        <w:t xml:space="preserve">suggest that nowadays </w:t>
      </w:r>
      <w:r w:rsidRPr="00FF26C6">
        <w:rPr>
          <w:rFonts w:ascii="Helvetica" w:hAnsi="Helvetica"/>
          <w:lang w:val="en-US"/>
        </w:rPr>
        <w:t xml:space="preserve">young people </w:t>
      </w:r>
      <w:r w:rsidR="00F02691">
        <w:rPr>
          <w:rFonts w:ascii="Helvetica" w:hAnsi="Helvetica"/>
          <w:lang w:val="en-US"/>
        </w:rPr>
        <w:t xml:space="preserve">in general </w:t>
      </w:r>
      <w:r w:rsidRPr="00FF26C6">
        <w:rPr>
          <w:rFonts w:ascii="Helvetica" w:hAnsi="Helvetica"/>
          <w:lang w:val="en-US"/>
        </w:rPr>
        <w:t xml:space="preserve">are expected to ‘become rational, autonomous, choice making, risk aware, prudential, responsible and enterprising’ </w:t>
      </w:r>
      <w:r w:rsidR="00F02691">
        <w:rPr>
          <w:rFonts w:ascii="Helvetica" w:hAnsi="Helvetica"/>
          <w:lang w:val="en-US"/>
        </w:rPr>
        <w:t>i</w:t>
      </w:r>
      <w:r w:rsidRPr="00FF26C6">
        <w:rPr>
          <w:rFonts w:ascii="Helvetica" w:hAnsi="Helvetica"/>
          <w:lang w:val="en-US"/>
        </w:rPr>
        <w:t>n re</w:t>
      </w:r>
      <w:r w:rsidR="00F02691">
        <w:rPr>
          <w:rFonts w:ascii="Helvetica" w:hAnsi="Helvetica"/>
          <w:lang w:val="en-US"/>
        </w:rPr>
        <w:t xml:space="preserve">sponse to neoliberal hardships. </w:t>
      </w:r>
      <w:r w:rsidR="004A5870">
        <w:rPr>
          <w:rFonts w:ascii="Helvetica" w:hAnsi="Helvetica"/>
          <w:lang w:val="en-US"/>
        </w:rPr>
        <w:t xml:space="preserve">However, as </w:t>
      </w:r>
      <w:r w:rsidR="00B742D5">
        <w:rPr>
          <w:rFonts w:ascii="Helvetica" w:hAnsi="Helvetica"/>
          <w:lang w:val="en-US"/>
        </w:rPr>
        <w:t xml:space="preserve">Abrahams (2016) </w:t>
      </w:r>
      <w:r w:rsidR="004A5870">
        <w:rPr>
          <w:rFonts w:ascii="Helvetica" w:hAnsi="Helvetica"/>
          <w:lang w:val="en-US"/>
        </w:rPr>
        <w:t>reminds us, w</w:t>
      </w:r>
      <w:r w:rsidR="00F02691">
        <w:rPr>
          <w:rFonts w:ascii="Helvetica" w:hAnsi="Helvetica"/>
          <w:lang w:val="en-US"/>
        </w:rPr>
        <w:t>rit</w:t>
      </w:r>
      <w:r w:rsidR="004A5870">
        <w:rPr>
          <w:rFonts w:ascii="Helvetica" w:hAnsi="Helvetica"/>
          <w:lang w:val="en-US"/>
        </w:rPr>
        <w:t>ing</w:t>
      </w:r>
      <w:r w:rsidR="00F02691">
        <w:rPr>
          <w:rFonts w:ascii="Helvetica" w:hAnsi="Helvetica"/>
          <w:lang w:val="en-US"/>
        </w:rPr>
        <w:t xml:space="preserve"> specifically </w:t>
      </w:r>
      <w:r w:rsidR="004A5870">
        <w:rPr>
          <w:rFonts w:ascii="Helvetica" w:hAnsi="Helvetica"/>
          <w:lang w:val="en-US"/>
        </w:rPr>
        <w:t>about</w:t>
      </w:r>
      <w:r w:rsidR="00F02691">
        <w:rPr>
          <w:rFonts w:ascii="Helvetica" w:hAnsi="Helvetica"/>
          <w:lang w:val="en-US"/>
        </w:rPr>
        <w:t xml:space="preserve"> i</w:t>
      </w:r>
      <w:r w:rsidR="00B742D5">
        <w:rPr>
          <w:rFonts w:ascii="Helvetica" w:hAnsi="Helvetica"/>
          <w:lang w:val="en-US"/>
        </w:rPr>
        <w:t>n</w:t>
      </w:r>
      <w:r w:rsidR="00F02691">
        <w:rPr>
          <w:rFonts w:ascii="Helvetica" w:hAnsi="Helvetica"/>
          <w:lang w:val="en-US"/>
        </w:rPr>
        <w:t>equality in graduate employment</w:t>
      </w:r>
      <w:r w:rsidR="004A5870">
        <w:rPr>
          <w:rFonts w:ascii="Helvetica" w:hAnsi="Helvetica"/>
          <w:lang w:val="en-US"/>
        </w:rPr>
        <w:t>,</w:t>
      </w:r>
      <w:r w:rsidR="00F02691">
        <w:rPr>
          <w:rFonts w:ascii="Helvetica" w:hAnsi="Helvetica"/>
          <w:lang w:val="en-US"/>
        </w:rPr>
        <w:t xml:space="preserve"> there is not an equal chance of securing graduate employment. Graduates from non-traditional higher education backgrounds are less likely to study at the more elite universities and this may impact on these individuals’ future employability. Indeed she points out that m</w:t>
      </w:r>
      <w:r w:rsidR="00716722">
        <w:rPr>
          <w:rFonts w:ascii="Helvetica" w:hAnsi="Helvetica"/>
          <w:lang w:val="en-US"/>
        </w:rPr>
        <w:t xml:space="preserve">ass expansion in the UK higher education sector </w:t>
      </w:r>
      <w:r w:rsidR="004A5870">
        <w:rPr>
          <w:rFonts w:ascii="Helvetica" w:hAnsi="Helvetica"/>
          <w:lang w:val="en-US"/>
        </w:rPr>
        <w:t>may have</w:t>
      </w:r>
      <w:r w:rsidR="00716722">
        <w:rPr>
          <w:rFonts w:ascii="Helvetica" w:hAnsi="Helvetica"/>
          <w:lang w:val="en-US"/>
        </w:rPr>
        <w:t xml:space="preserve"> led to an increa</w:t>
      </w:r>
      <w:r w:rsidR="00F02691">
        <w:rPr>
          <w:rFonts w:ascii="Helvetica" w:hAnsi="Helvetica"/>
          <w:lang w:val="en-US"/>
        </w:rPr>
        <w:t>singly diversified student body, but g</w:t>
      </w:r>
      <w:r w:rsidR="00716722">
        <w:rPr>
          <w:rFonts w:ascii="Helvetica" w:hAnsi="Helvetica"/>
          <w:lang w:val="en-US"/>
        </w:rPr>
        <w:t xml:space="preserve">oing to </w:t>
      </w:r>
      <w:r w:rsidR="00F02691">
        <w:rPr>
          <w:rFonts w:ascii="Helvetica" w:hAnsi="Helvetica"/>
          <w:lang w:val="en-US"/>
        </w:rPr>
        <w:t>university alone</w:t>
      </w:r>
      <w:r w:rsidR="00716722">
        <w:rPr>
          <w:rFonts w:ascii="Helvetica" w:hAnsi="Helvetica"/>
          <w:lang w:val="en-US"/>
        </w:rPr>
        <w:t xml:space="preserve"> is not the key to equality. </w:t>
      </w:r>
    </w:p>
    <w:p w14:paraId="5A9C3073" w14:textId="77777777" w:rsidR="00F8543C" w:rsidRDefault="00F8543C" w:rsidP="00B0503D">
      <w:pPr>
        <w:spacing w:line="276" w:lineRule="auto"/>
        <w:jc w:val="both"/>
        <w:rPr>
          <w:rFonts w:ascii="Helvetica" w:hAnsi="Helvetica"/>
          <w:lang w:val="en-US"/>
        </w:rPr>
      </w:pPr>
    </w:p>
    <w:p w14:paraId="55FCBCD0" w14:textId="32C290A7" w:rsidR="004F5D4D" w:rsidRDefault="004F5D4D" w:rsidP="00B0503D">
      <w:pPr>
        <w:spacing w:line="276" w:lineRule="auto"/>
        <w:jc w:val="both"/>
        <w:rPr>
          <w:rFonts w:ascii="Helvetica" w:hAnsi="Helvetica"/>
          <w:lang w:val="en-US"/>
        </w:rPr>
      </w:pPr>
      <w:r>
        <w:rPr>
          <w:rFonts w:ascii="Helvetica" w:hAnsi="Helvetica"/>
          <w:lang w:val="en-US"/>
        </w:rPr>
        <w:t xml:space="preserve">Bradley and Waller (2018) </w:t>
      </w:r>
      <w:r w:rsidR="000E4AE7">
        <w:rPr>
          <w:rFonts w:ascii="Helvetica" w:hAnsi="Helvetica"/>
          <w:lang w:val="en-US"/>
        </w:rPr>
        <w:t xml:space="preserve">found that initial transition phases for graduates into adulthood, the labour market and a career, revealed classed and gendered differences in the pace and direction of </w:t>
      </w:r>
      <w:r w:rsidR="00F21DC6">
        <w:rPr>
          <w:rFonts w:ascii="Helvetica" w:hAnsi="Helvetica"/>
          <w:lang w:val="en-US"/>
        </w:rPr>
        <w:t xml:space="preserve">graduate </w:t>
      </w:r>
      <w:r w:rsidR="000E4AE7">
        <w:rPr>
          <w:rFonts w:ascii="Helvetica" w:hAnsi="Helvetica"/>
          <w:lang w:val="en-US"/>
        </w:rPr>
        <w:t xml:space="preserve">trajectories. </w:t>
      </w:r>
      <w:r w:rsidR="00F21DC6">
        <w:rPr>
          <w:rFonts w:ascii="Helvetica" w:hAnsi="Helvetica"/>
          <w:lang w:val="en-US"/>
        </w:rPr>
        <w:t xml:space="preserve">Some of their participants deferred starting graduate employment by travelling. This was seen as a way to recover from the pressures of academic achievement. The authors observed some graduates wanting to spend time as a ‘free spirit’ before adulthood ties them down. </w:t>
      </w:r>
      <w:r w:rsidR="000E4AE7">
        <w:rPr>
          <w:rFonts w:ascii="Helvetica" w:hAnsi="Helvetica"/>
          <w:lang w:val="en-US"/>
        </w:rPr>
        <w:t>They c</w:t>
      </w:r>
      <w:r w:rsidR="00A23219">
        <w:rPr>
          <w:rFonts w:ascii="Helvetica" w:hAnsi="Helvetica"/>
          <w:lang w:val="en-US"/>
        </w:rPr>
        <w:t>onclude by c</w:t>
      </w:r>
      <w:r w:rsidR="000E4AE7">
        <w:rPr>
          <w:rFonts w:ascii="Helvetica" w:hAnsi="Helvetica"/>
          <w:lang w:val="en-US"/>
        </w:rPr>
        <w:t>omment</w:t>
      </w:r>
      <w:r w:rsidR="00A23219">
        <w:rPr>
          <w:rFonts w:ascii="Helvetica" w:hAnsi="Helvetica"/>
          <w:lang w:val="en-US"/>
        </w:rPr>
        <w:t>ing</w:t>
      </w:r>
      <w:r w:rsidR="000E4AE7">
        <w:rPr>
          <w:rFonts w:ascii="Helvetica" w:hAnsi="Helvetica"/>
          <w:lang w:val="en-US"/>
        </w:rPr>
        <w:t xml:space="preserve"> that their graduate participants did not seem too daunted as they moved towards adult independence, although </w:t>
      </w:r>
      <w:r w:rsidR="000F4B26">
        <w:rPr>
          <w:rFonts w:ascii="Helvetica" w:hAnsi="Helvetica"/>
          <w:lang w:val="en-US"/>
        </w:rPr>
        <w:t xml:space="preserve">it may be significant that </w:t>
      </w:r>
      <w:r w:rsidR="000E4AE7">
        <w:rPr>
          <w:rFonts w:ascii="Helvetica" w:hAnsi="Helvetica"/>
          <w:lang w:val="en-US"/>
        </w:rPr>
        <w:t xml:space="preserve">their participants started university in 2010 under the lower university fees regime </w:t>
      </w:r>
      <w:r w:rsidR="00990A22">
        <w:rPr>
          <w:rFonts w:ascii="Helvetica" w:hAnsi="Helvetica"/>
          <w:lang w:val="en-US"/>
        </w:rPr>
        <w:t xml:space="preserve">in England </w:t>
      </w:r>
      <w:r w:rsidR="000E4AE7">
        <w:rPr>
          <w:rFonts w:ascii="Helvetica" w:hAnsi="Helvetica"/>
          <w:lang w:val="en-US"/>
        </w:rPr>
        <w:t>and therefore would have graduated with less student debt.</w:t>
      </w:r>
      <w:r w:rsidR="00A23219">
        <w:rPr>
          <w:rFonts w:ascii="Helvetica" w:hAnsi="Helvetica"/>
          <w:lang w:val="en-US"/>
        </w:rPr>
        <w:t xml:space="preserve"> This chapter </w:t>
      </w:r>
      <w:r w:rsidR="00870426">
        <w:rPr>
          <w:rFonts w:ascii="Helvetica" w:hAnsi="Helvetica"/>
          <w:lang w:val="en-US"/>
        </w:rPr>
        <w:t xml:space="preserve">seeks to extend their findings by </w:t>
      </w:r>
      <w:r w:rsidR="00A23219">
        <w:rPr>
          <w:rFonts w:ascii="Helvetica" w:hAnsi="Helvetica"/>
          <w:lang w:val="en-US"/>
        </w:rPr>
        <w:t>present</w:t>
      </w:r>
      <w:r w:rsidR="00870426">
        <w:rPr>
          <w:rFonts w:ascii="Helvetica" w:hAnsi="Helvetica"/>
          <w:lang w:val="en-US"/>
        </w:rPr>
        <w:t>ing</w:t>
      </w:r>
      <w:r w:rsidR="00A23219">
        <w:rPr>
          <w:rFonts w:ascii="Helvetica" w:hAnsi="Helvetica"/>
          <w:lang w:val="en-US"/>
        </w:rPr>
        <w:t xml:space="preserve"> the views of students</w:t>
      </w:r>
      <w:r w:rsidR="00A23219" w:rsidRPr="00A23219">
        <w:rPr>
          <w:rFonts w:ascii="Helvetica" w:hAnsi="Helvetica"/>
          <w:lang w:val="en-US"/>
        </w:rPr>
        <w:t xml:space="preserve"> </w:t>
      </w:r>
      <w:r w:rsidR="00A23219">
        <w:rPr>
          <w:rFonts w:ascii="Helvetica" w:hAnsi="Helvetica"/>
          <w:lang w:val="en-US"/>
        </w:rPr>
        <w:t xml:space="preserve">graduating in </w:t>
      </w:r>
      <w:r w:rsidR="00F51575">
        <w:rPr>
          <w:rFonts w:ascii="Helvetica" w:hAnsi="Helvetica"/>
          <w:lang w:val="en-US"/>
        </w:rPr>
        <w:t xml:space="preserve">2014 </w:t>
      </w:r>
      <w:r w:rsidR="00F51575">
        <w:rPr>
          <w:rFonts w:ascii="Helvetica" w:hAnsi="Helvetica"/>
          <w:i/>
          <w:lang w:val="en-US"/>
        </w:rPr>
        <w:t xml:space="preserve">and </w:t>
      </w:r>
      <w:r w:rsidR="00A23219">
        <w:rPr>
          <w:rFonts w:ascii="Helvetica" w:hAnsi="Helvetica"/>
          <w:lang w:val="en-US"/>
        </w:rPr>
        <w:t xml:space="preserve">2015, </w:t>
      </w:r>
      <w:r w:rsidR="00F51575">
        <w:rPr>
          <w:rFonts w:ascii="Helvetica" w:hAnsi="Helvetica"/>
          <w:lang w:val="en-US"/>
        </w:rPr>
        <w:t xml:space="preserve">with the latter </w:t>
      </w:r>
      <w:r w:rsidR="00A23219">
        <w:rPr>
          <w:rFonts w:ascii="Helvetica" w:hAnsi="Helvetica"/>
          <w:lang w:val="en-US"/>
        </w:rPr>
        <w:t xml:space="preserve">leaving university </w:t>
      </w:r>
      <w:r w:rsidR="00870426">
        <w:rPr>
          <w:rFonts w:ascii="Helvetica" w:hAnsi="Helvetica"/>
          <w:lang w:val="en-US"/>
        </w:rPr>
        <w:t xml:space="preserve">with higher levels of student debt and </w:t>
      </w:r>
      <w:r w:rsidR="00A23219">
        <w:rPr>
          <w:rFonts w:ascii="Helvetica" w:hAnsi="Helvetica"/>
          <w:lang w:val="en-US"/>
        </w:rPr>
        <w:t>with a noticeably more apprehensive and less hopeful outlook.</w:t>
      </w:r>
    </w:p>
    <w:p w14:paraId="415029F0" w14:textId="77777777" w:rsidR="00BB793A" w:rsidRDefault="00BB793A" w:rsidP="00B0503D">
      <w:pPr>
        <w:spacing w:line="276" w:lineRule="auto"/>
        <w:jc w:val="both"/>
        <w:rPr>
          <w:rFonts w:ascii="Helvetica" w:hAnsi="Helvetica"/>
        </w:rPr>
      </w:pPr>
    </w:p>
    <w:p w14:paraId="6CA1FD96" w14:textId="77777777" w:rsidR="00FC03B4" w:rsidRDefault="00FC03B4" w:rsidP="00B0503D">
      <w:pPr>
        <w:spacing w:line="276" w:lineRule="auto"/>
        <w:jc w:val="both"/>
        <w:rPr>
          <w:rFonts w:ascii="Helvetica" w:hAnsi="Helvetica"/>
        </w:rPr>
      </w:pPr>
    </w:p>
    <w:p w14:paraId="20A49E15" w14:textId="0735A22E" w:rsidR="00FC03B4" w:rsidRPr="00FC03B4" w:rsidRDefault="0073190C" w:rsidP="00B0503D">
      <w:pPr>
        <w:spacing w:line="276" w:lineRule="auto"/>
        <w:jc w:val="both"/>
        <w:rPr>
          <w:rFonts w:ascii="Helvetica" w:hAnsi="Helvetica"/>
          <w:b/>
        </w:rPr>
      </w:pPr>
      <w:r>
        <w:rPr>
          <w:rFonts w:ascii="Helvetica" w:hAnsi="Helvetica"/>
          <w:b/>
        </w:rPr>
        <w:t>Research m</w:t>
      </w:r>
      <w:r w:rsidR="00FC03B4" w:rsidRPr="00FC03B4">
        <w:rPr>
          <w:rFonts w:ascii="Helvetica" w:hAnsi="Helvetica"/>
          <w:b/>
        </w:rPr>
        <w:t>ethods</w:t>
      </w:r>
    </w:p>
    <w:p w14:paraId="75F15B6F" w14:textId="77777777" w:rsidR="004D769E" w:rsidRDefault="004D769E" w:rsidP="004F5D4D">
      <w:pPr>
        <w:spacing w:line="276" w:lineRule="auto"/>
        <w:jc w:val="both"/>
        <w:rPr>
          <w:rFonts w:ascii="Helvetica" w:hAnsi="Helvetica"/>
          <w:lang w:val="en-US"/>
        </w:rPr>
      </w:pPr>
    </w:p>
    <w:p w14:paraId="33A35A8C" w14:textId="3D4ACE1F" w:rsidR="00284903" w:rsidRDefault="004F5D4D" w:rsidP="004D769E">
      <w:pPr>
        <w:spacing w:line="276" w:lineRule="auto"/>
        <w:jc w:val="both"/>
        <w:rPr>
          <w:rFonts w:ascii="Helvetica" w:hAnsi="Helvetica"/>
        </w:rPr>
      </w:pPr>
      <w:r>
        <w:rPr>
          <w:rFonts w:ascii="Helvetica" w:hAnsi="Helvetica"/>
          <w:lang w:val="en-US"/>
        </w:rPr>
        <w:t xml:space="preserve">There is currently little in the literature that explores the emergence of the concept of a </w:t>
      </w:r>
      <w:r w:rsidR="006774EB">
        <w:rPr>
          <w:rFonts w:ascii="Helvetica" w:hAnsi="Helvetica"/>
          <w:lang w:val="en-US"/>
        </w:rPr>
        <w:t>graduate</w:t>
      </w:r>
      <w:r w:rsidRPr="00B0503D">
        <w:rPr>
          <w:rFonts w:ascii="Helvetica" w:hAnsi="Helvetica"/>
          <w:lang w:val="en-US"/>
        </w:rPr>
        <w:t xml:space="preserve"> gap year</w:t>
      </w:r>
      <w:r>
        <w:rPr>
          <w:rFonts w:ascii="Helvetica" w:hAnsi="Helvetica"/>
          <w:lang w:val="en-US"/>
        </w:rPr>
        <w:t xml:space="preserve"> in England and the role that the phenomenon plays in constructing graduate transitions</w:t>
      </w:r>
      <w:r w:rsidR="005D14E6">
        <w:rPr>
          <w:rFonts w:ascii="Helvetica" w:hAnsi="Helvetica"/>
          <w:lang w:val="en-US"/>
        </w:rPr>
        <w:t>, particularly in a climate of higher university fees and higher levels of student debt</w:t>
      </w:r>
      <w:r>
        <w:rPr>
          <w:rFonts w:ascii="Helvetica" w:hAnsi="Helvetica"/>
          <w:lang w:val="en-US"/>
        </w:rPr>
        <w:t xml:space="preserve">. This chapter starts to address this under-researched area by drawing on </w:t>
      </w:r>
      <w:r w:rsidRPr="00B0503D">
        <w:rPr>
          <w:rFonts w:ascii="Helvetica" w:hAnsi="Helvetica"/>
        </w:rPr>
        <w:t xml:space="preserve">a qualitative study (Vigurs et al., 2016) that </w:t>
      </w:r>
      <w:r>
        <w:rPr>
          <w:rFonts w:ascii="Helvetica" w:hAnsi="Helvetica"/>
        </w:rPr>
        <w:t>comprised inter</w:t>
      </w:r>
      <w:r w:rsidRPr="00D660EC">
        <w:rPr>
          <w:rFonts w:ascii="Helvetica" w:hAnsi="Helvetica"/>
        </w:rPr>
        <w:t>view</w:t>
      </w:r>
      <w:r>
        <w:rPr>
          <w:rFonts w:ascii="Helvetica" w:hAnsi="Helvetica"/>
        </w:rPr>
        <w:t>s</w:t>
      </w:r>
      <w:r w:rsidRPr="00D660EC">
        <w:rPr>
          <w:rFonts w:ascii="Helvetica" w:hAnsi="Helvetica"/>
        </w:rPr>
        <w:t xml:space="preserve"> </w:t>
      </w:r>
      <w:r>
        <w:rPr>
          <w:rFonts w:ascii="Helvetica" w:hAnsi="Helvetica"/>
        </w:rPr>
        <w:t xml:space="preserve">about </w:t>
      </w:r>
      <w:r w:rsidRPr="00D660EC">
        <w:rPr>
          <w:rFonts w:ascii="Helvetica" w:hAnsi="Helvetica"/>
        </w:rPr>
        <w:t xml:space="preserve">graduate </w:t>
      </w:r>
      <w:r w:rsidR="00D05A75">
        <w:rPr>
          <w:rFonts w:ascii="Helvetica" w:hAnsi="Helvetica"/>
        </w:rPr>
        <w:t>transitions</w:t>
      </w:r>
      <w:r>
        <w:rPr>
          <w:rFonts w:ascii="Helvetica" w:hAnsi="Helvetica"/>
        </w:rPr>
        <w:t xml:space="preserve"> with final year undergraduate </w:t>
      </w:r>
      <w:r w:rsidRPr="00D660EC">
        <w:rPr>
          <w:rFonts w:ascii="Helvetica" w:hAnsi="Helvetica"/>
        </w:rPr>
        <w:t xml:space="preserve">students </w:t>
      </w:r>
      <w:r>
        <w:rPr>
          <w:rFonts w:ascii="Helvetica" w:hAnsi="Helvetica"/>
        </w:rPr>
        <w:t>(</w:t>
      </w:r>
      <w:r>
        <w:rPr>
          <w:rFonts w:ascii="Helvetica" w:hAnsi="Helvetica"/>
          <w:i/>
        </w:rPr>
        <w:t>n</w:t>
      </w:r>
      <w:r>
        <w:rPr>
          <w:rFonts w:ascii="Helvetica" w:hAnsi="Helvetica"/>
        </w:rPr>
        <w:t>74)</w:t>
      </w:r>
      <w:r w:rsidRPr="00945062">
        <w:rPr>
          <w:rFonts w:ascii="Helvetica" w:hAnsi="Helvetica"/>
        </w:rPr>
        <w:t xml:space="preserve"> </w:t>
      </w:r>
      <w:r>
        <w:rPr>
          <w:rFonts w:ascii="Helvetica" w:hAnsi="Helvetica"/>
        </w:rPr>
        <w:t>in</w:t>
      </w:r>
      <w:r w:rsidRPr="00D660EC">
        <w:rPr>
          <w:rFonts w:ascii="Helvetica" w:hAnsi="Helvetica"/>
        </w:rPr>
        <w:t xml:space="preserve"> two universities in central England </w:t>
      </w:r>
      <w:r>
        <w:rPr>
          <w:rFonts w:ascii="Helvetica" w:hAnsi="Helvetica"/>
        </w:rPr>
        <w:t>(46</w:t>
      </w:r>
      <w:r w:rsidRPr="00D660EC">
        <w:rPr>
          <w:rFonts w:ascii="Helvetica" w:hAnsi="Helvetica"/>
        </w:rPr>
        <w:t xml:space="preserve"> studied at a Russell Group </w:t>
      </w:r>
      <w:r>
        <w:rPr>
          <w:rFonts w:ascii="Helvetica" w:hAnsi="Helvetica"/>
        </w:rPr>
        <w:t>university</w:t>
      </w:r>
      <w:r w:rsidRPr="00D660EC">
        <w:rPr>
          <w:rFonts w:ascii="Helvetica" w:hAnsi="Helvetica"/>
        </w:rPr>
        <w:t xml:space="preserve"> and </w:t>
      </w:r>
      <w:r>
        <w:rPr>
          <w:rFonts w:ascii="Helvetica" w:hAnsi="Helvetica"/>
        </w:rPr>
        <w:t>28</w:t>
      </w:r>
      <w:r w:rsidRPr="00D660EC">
        <w:rPr>
          <w:rFonts w:ascii="Helvetica" w:hAnsi="Helvetica"/>
        </w:rPr>
        <w:t xml:space="preserve"> studied at a Post-1992 </w:t>
      </w:r>
      <w:r>
        <w:rPr>
          <w:rFonts w:ascii="Helvetica" w:hAnsi="Helvetica"/>
        </w:rPr>
        <w:t>university).</w:t>
      </w:r>
      <w:r w:rsidRPr="00D660EC">
        <w:rPr>
          <w:rFonts w:ascii="Helvetica" w:hAnsi="Helvetica"/>
        </w:rPr>
        <w:t xml:space="preserve"> </w:t>
      </w:r>
      <w:r>
        <w:rPr>
          <w:rFonts w:ascii="Helvetica" w:hAnsi="Helvetica"/>
        </w:rPr>
        <w:t>Half of the students</w:t>
      </w:r>
      <w:r w:rsidRPr="00D660EC">
        <w:rPr>
          <w:rFonts w:ascii="Helvetica" w:hAnsi="Helvetica"/>
        </w:rPr>
        <w:t xml:space="preserve"> graduated in 2014 (lower fees</w:t>
      </w:r>
      <w:r w:rsidR="004D769E">
        <w:rPr>
          <w:rFonts w:ascii="Helvetica" w:hAnsi="Helvetica"/>
        </w:rPr>
        <w:t>, approx. £3000 per year</w:t>
      </w:r>
      <w:r w:rsidRPr="00D660EC">
        <w:rPr>
          <w:rFonts w:ascii="Helvetica" w:hAnsi="Helvetica"/>
        </w:rPr>
        <w:t>) and the other half graduated in 2015 (</w:t>
      </w:r>
      <w:r>
        <w:rPr>
          <w:rFonts w:ascii="Helvetica" w:hAnsi="Helvetica"/>
        </w:rPr>
        <w:t>higher fees</w:t>
      </w:r>
      <w:r w:rsidR="004D769E">
        <w:rPr>
          <w:rFonts w:ascii="Helvetica" w:hAnsi="Helvetica"/>
        </w:rPr>
        <w:t>, approx. £9000 per year</w:t>
      </w:r>
      <w:r w:rsidRPr="00D660EC">
        <w:rPr>
          <w:rFonts w:ascii="Helvetica" w:hAnsi="Helvetica"/>
        </w:rPr>
        <w:t xml:space="preserve">). </w:t>
      </w:r>
      <w:r>
        <w:rPr>
          <w:rFonts w:ascii="Helvetica" w:hAnsi="Helvetica"/>
        </w:rPr>
        <w:t>The students interviewed in 2014 (</w:t>
      </w:r>
      <w:r w:rsidRPr="00EC541F">
        <w:rPr>
          <w:rFonts w:ascii="Helvetica" w:hAnsi="Helvetica"/>
          <w:i/>
        </w:rPr>
        <w:t>n</w:t>
      </w:r>
      <w:r w:rsidRPr="00EC541F">
        <w:rPr>
          <w:rFonts w:ascii="Helvetica" w:hAnsi="Helvetica"/>
        </w:rPr>
        <w:t>37</w:t>
      </w:r>
      <w:r>
        <w:rPr>
          <w:rFonts w:ascii="Helvetica" w:hAnsi="Helvetica"/>
          <w:i/>
        </w:rPr>
        <w:t xml:space="preserve">) </w:t>
      </w:r>
      <w:r w:rsidRPr="00EC541F">
        <w:rPr>
          <w:rFonts w:ascii="Helvetica" w:hAnsi="Helvetica"/>
        </w:rPr>
        <w:t>w</w:t>
      </w:r>
      <w:r>
        <w:rPr>
          <w:rFonts w:ascii="Helvetica" w:hAnsi="Helvetica"/>
        </w:rPr>
        <w:t>ere selected by socio-economic background, gender, degree subject/discipline and secondary school type. The 2014 sample was matched</w:t>
      </w:r>
      <w:r w:rsidRPr="00D660EC">
        <w:rPr>
          <w:rFonts w:ascii="Helvetica" w:hAnsi="Helvetica"/>
        </w:rPr>
        <w:t xml:space="preserve"> </w:t>
      </w:r>
      <w:r>
        <w:rPr>
          <w:rFonts w:ascii="Helvetica" w:hAnsi="Helvetica"/>
        </w:rPr>
        <w:t xml:space="preserve">in 2015 to ensure that another 37 final year students were selected from </w:t>
      </w:r>
      <w:r w:rsidRPr="00D660EC">
        <w:rPr>
          <w:rFonts w:ascii="Helvetica" w:hAnsi="Helvetica"/>
        </w:rPr>
        <w:t xml:space="preserve">the same </w:t>
      </w:r>
      <w:r>
        <w:rPr>
          <w:rFonts w:ascii="Helvetica" w:hAnsi="Helvetica"/>
        </w:rPr>
        <w:t xml:space="preserve">university, </w:t>
      </w:r>
      <w:r w:rsidRPr="00D660EC">
        <w:rPr>
          <w:rFonts w:ascii="Helvetica" w:hAnsi="Helvetica"/>
        </w:rPr>
        <w:t>soci</w:t>
      </w:r>
      <w:r>
        <w:rPr>
          <w:rFonts w:ascii="Helvetica" w:hAnsi="Helvetica"/>
        </w:rPr>
        <w:t>o-economic</w:t>
      </w:r>
      <w:r w:rsidRPr="00D660EC">
        <w:rPr>
          <w:rFonts w:ascii="Helvetica" w:hAnsi="Helvetica"/>
        </w:rPr>
        <w:t xml:space="preserve"> background, gender</w:t>
      </w:r>
      <w:r>
        <w:rPr>
          <w:rFonts w:ascii="Helvetica" w:hAnsi="Helvetica"/>
        </w:rPr>
        <w:t>,</w:t>
      </w:r>
      <w:r w:rsidRPr="00D660EC">
        <w:rPr>
          <w:rFonts w:ascii="Helvetica" w:hAnsi="Helvetica"/>
        </w:rPr>
        <w:t xml:space="preserve"> degree subject/discipline </w:t>
      </w:r>
      <w:r>
        <w:rPr>
          <w:rFonts w:ascii="Helvetica" w:hAnsi="Helvetica"/>
        </w:rPr>
        <w:t>and secondary school type</w:t>
      </w:r>
      <w:r w:rsidRPr="00D660EC">
        <w:rPr>
          <w:rFonts w:ascii="Helvetica" w:hAnsi="Helvetica"/>
        </w:rPr>
        <w:t>.</w:t>
      </w:r>
      <w:r w:rsidR="0090133C">
        <w:rPr>
          <w:rFonts w:ascii="Helvetica" w:hAnsi="Helvetica"/>
        </w:rPr>
        <w:t xml:space="preserve"> </w:t>
      </w:r>
      <w:r w:rsidR="004D769E">
        <w:rPr>
          <w:rFonts w:ascii="Helvetica" w:hAnsi="Helvetica"/>
        </w:rPr>
        <w:t>In order to ensure anonymity pseudonyms have been allocated.</w:t>
      </w:r>
    </w:p>
    <w:p w14:paraId="7040071E" w14:textId="77777777" w:rsidR="005545BF" w:rsidRDefault="005545BF" w:rsidP="004D769E">
      <w:pPr>
        <w:spacing w:line="276" w:lineRule="auto"/>
        <w:jc w:val="both"/>
        <w:rPr>
          <w:rFonts w:ascii="Helvetica" w:hAnsi="Helvetica"/>
        </w:rPr>
      </w:pPr>
    </w:p>
    <w:p w14:paraId="635E08FA" w14:textId="40E953E2" w:rsidR="005545BF" w:rsidRDefault="006774EB" w:rsidP="004D769E">
      <w:pPr>
        <w:spacing w:line="276" w:lineRule="auto"/>
        <w:jc w:val="both"/>
        <w:rPr>
          <w:rFonts w:ascii="Helvetica" w:hAnsi="Helvetica"/>
        </w:rPr>
      </w:pPr>
      <w:r>
        <w:rPr>
          <w:rFonts w:ascii="Helvetica" w:hAnsi="Helvetica"/>
        </w:rPr>
        <w:t xml:space="preserve">Table 1 </w:t>
      </w:r>
      <w:r w:rsidR="0090133C">
        <w:rPr>
          <w:rFonts w:ascii="Helvetica" w:hAnsi="Helvetica"/>
        </w:rPr>
        <w:t xml:space="preserve">shows </w:t>
      </w:r>
      <w:r>
        <w:rPr>
          <w:rFonts w:ascii="Helvetica" w:hAnsi="Helvetica"/>
        </w:rPr>
        <w:t>that the sample of students was additionally classified using widening participation categories</w:t>
      </w:r>
      <w:r w:rsidR="005545BF" w:rsidRPr="006774EB">
        <w:rPr>
          <w:rFonts w:ascii="Helvetica" w:hAnsi="Helvetica"/>
        </w:rPr>
        <w:t xml:space="preserve"> </w:t>
      </w:r>
      <w:r>
        <w:rPr>
          <w:rFonts w:ascii="Helvetica" w:hAnsi="Helvetica"/>
        </w:rPr>
        <w:t>(</w:t>
      </w:r>
      <w:r w:rsidR="005545BF" w:rsidRPr="006774EB">
        <w:rPr>
          <w:rFonts w:ascii="Helvetica" w:hAnsi="Helvetica"/>
        </w:rPr>
        <w:t>WP</w:t>
      </w:r>
      <w:r w:rsidR="00EF4A57">
        <w:rPr>
          <w:rFonts w:ascii="Helvetica" w:hAnsi="Helvetica"/>
        </w:rPr>
        <w:t xml:space="preserve"> status</w:t>
      </w:r>
      <w:r w:rsidR="005545BF" w:rsidRPr="006774EB">
        <w:rPr>
          <w:rFonts w:ascii="Helvetica" w:hAnsi="Helvetica"/>
        </w:rPr>
        <w:t>/Non-WP</w:t>
      </w:r>
      <w:r w:rsidR="00EF4A57">
        <w:rPr>
          <w:rFonts w:ascii="Helvetica" w:hAnsi="Helvetica"/>
        </w:rPr>
        <w:t xml:space="preserve"> status</w:t>
      </w:r>
      <w:r>
        <w:rPr>
          <w:rFonts w:ascii="Helvetica" w:hAnsi="Helvetica"/>
        </w:rPr>
        <w:t xml:space="preserve">). It is important to note that </w:t>
      </w:r>
      <w:r w:rsidR="005545BF" w:rsidRPr="006774EB">
        <w:rPr>
          <w:rFonts w:ascii="Helvetica" w:hAnsi="Helvetica"/>
        </w:rPr>
        <w:t xml:space="preserve">students did not necessarily self-identify as </w:t>
      </w:r>
      <w:r w:rsidR="00EF4A57">
        <w:rPr>
          <w:rFonts w:ascii="Helvetica" w:hAnsi="Helvetica"/>
        </w:rPr>
        <w:t xml:space="preserve">having </w:t>
      </w:r>
      <w:r w:rsidR="005545BF" w:rsidRPr="006774EB">
        <w:rPr>
          <w:rFonts w:ascii="Helvetica" w:hAnsi="Helvetica"/>
        </w:rPr>
        <w:t>WP</w:t>
      </w:r>
      <w:r w:rsidR="00EF4A57">
        <w:rPr>
          <w:rFonts w:ascii="Helvetica" w:hAnsi="Helvetica"/>
        </w:rPr>
        <w:t xml:space="preserve"> status (this was not directly asked)</w:t>
      </w:r>
      <w:r w:rsidR="005545BF" w:rsidRPr="006774EB">
        <w:rPr>
          <w:rFonts w:ascii="Helvetica" w:hAnsi="Helvetica"/>
        </w:rPr>
        <w:t xml:space="preserve">, but </w:t>
      </w:r>
      <w:r w:rsidR="00EF4A57">
        <w:rPr>
          <w:rFonts w:ascii="Helvetica" w:hAnsi="Helvetica"/>
        </w:rPr>
        <w:t xml:space="preserve">rather they </w:t>
      </w:r>
      <w:r w:rsidR="005545BF" w:rsidRPr="006774EB">
        <w:rPr>
          <w:rFonts w:ascii="Helvetica" w:hAnsi="Helvetica"/>
        </w:rPr>
        <w:t>met certain indicators</w:t>
      </w:r>
      <w:r w:rsidR="00EF4A57">
        <w:rPr>
          <w:rFonts w:ascii="Helvetica" w:hAnsi="Helvetica"/>
        </w:rPr>
        <w:t xml:space="preserve"> -</w:t>
      </w:r>
      <w:r w:rsidR="005545BF" w:rsidRPr="006774EB">
        <w:rPr>
          <w:rFonts w:ascii="Helvetica" w:hAnsi="Helvetica"/>
        </w:rPr>
        <w:t xml:space="preserve"> such as low parental income, being first in their family to attend HE, coming from a low HE participation area, etc. </w:t>
      </w:r>
      <w:r w:rsidR="00EF4A57">
        <w:rPr>
          <w:rFonts w:ascii="Helvetica" w:hAnsi="Helvetica"/>
        </w:rPr>
        <w:t xml:space="preserve">– which </w:t>
      </w:r>
      <w:r w:rsidR="005545BF" w:rsidRPr="006774EB">
        <w:rPr>
          <w:rFonts w:ascii="Helvetica" w:hAnsi="Helvetica"/>
        </w:rPr>
        <w:t xml:space="preserve">meant that they had access to university bursaries and </w:t>
      </w:r>
      <w:r w:rsidR="00933F11" w:rsidRPr="006774EB">
        <w:rPr>
          <w:rFonts w:ascii="Helvetica" w:hAnsi="Helvetica"/>
        </w:rPr>
        <w:t xml:space="preserve">larger </w:t>
      </w:r>
      <w:r w:rsidR="005545BF" w:rsidRPr="006774EB">
        <w:rPr>
          <w:rFonts w:ascii="Helvetica" w:hAnsi="Helvetica"/>
        </w:rPr>
        <w:t>maintenance grants.</w:t>
      </w:r>
      <w:r w:rsidR="00EF4A57">
        <w:rPr>
          <w:rFonts w:ascii="Helvetica" w:hAnsi="Helvetica"/>
        </w:rPr>
        <w:t xml:space="preserve"> This information is significant as access to different levels of capital (financial, cultural, social) is likely to influence graduate decision-making (Vigurs et al., </w:t>
      </w:r>
      <w:r w:rsidR="00AA491E">
        <w:rPr>
          <w:rFonts w:ascii="Helvetica" w:hAnsi="Helvetica"/>
        </w:rPr>
        <w:t>2018</w:t>
      </w:r>
      <w:r w:rsidR="00EF4A57">
        <w:rPr>
          <w:rFonts w:ascii="Helvetica" w:hAnsi="Helvetica"/>
        </w:rPr>
        <w:t>).</w:t>
      </w:r>
    </w:p>
    <w:p w14:paraId="29C116DA" w14:textId="77777777" w:rsidR="00284903" w:rsidRDefault="00284903" w:rsidP="00284903">
      <w:pPr>
        <w:spacing w:after="160" w:line="276" w:lineRule="auto"/>
        <w:jc w:val="both"/>
        <w:rPr>
          <w:rFonts w:ascii="Helvetica" w:eastAsia="Calibri" w:hAnsi="Helvetica"/>
          <w:lang w:eastAsia="en-GB"/>
        </w:rPr>
      </w:pPr>
    </w:p>
    <w:tbl>
      <w:tblPr>
        <w:tblStyle w:val="TableGrid"/>
        <w:tblW w:w="0" w:type="auto"/>
        <w:tblLook w:val="04A0" w:firstRow="1" w:lastRow="0" w:firstColumn="1" w:lastColumn="0" w:noHBand="0" w:noVBand="1"/>
      </w:tblPr>
      <w:tblGrid>
        <w:gridCol w:w="4786"/>
        <w:gridCol w:w="1843"/>
        <w:gridCol w:w="1887"/>
      </w:tblGrid>
      <w:tr w:rsidR="002F2EBE" w14:paraId="55300C79" w14:textId="77777777" w:rsidTr="009C27D6">
        <w:tc>
          <w:tcPr>
            <w:tcW w:w="8516" w:type="dxa"/>
            <w:gridSpan w:val="3"/>
          </w:tcPr>
          <w:p w14:paraId="5F4E2D63" w14:textId="7DCBB58D" w:rsidR="002F2EBE" w:rsidRDefault="002F2EBE" w:rsidP="00EF4A57">
            <w:pPr>
              <w:spacing w:after="160" w:line="276" w:lineRule="auto"/>
              <w:rPr>
                <w:rFonts w:ascii="Helvetica" w:eastAsia="Calibri" w:hAnsi="Helvetica"/>
                <w:b/>
                <w:sz w:val="20"/>
                <w:szCs w:val="20"/>
                <w:lang w:eastAsia="en-GB"/>
              </w:rPr>
            </w:pPr>
            <w:r>
              <w:rPr>
                <w:rFonts w:ascii="Helvetica" w:eastAsia="Calibri" w:hAnsi="Helvetica"/>
                <w:b/>
                <w:sz w:val="20"/>
                <w:szCs w:val="20"/>
                <w:lang w:eastAsia="en-GB"/>
              </w:rPr>
              <w:t>Table 1: Number of students in the sample (</w:t>
            </w:r>
            <w:r w:rsidRPr="002F2EBE">
              <w:rPr>
                <w:rFonts w:ascii="Helvetica" w:eastAsia="Calibri" w:hAnsi="Helvetica"/>
                <w:b/>
                <w:i/>
                <w:sz w:val="20"/>
                <w:szCs w:val="20"/>
                <w:lang w:eastAsia="en-GB"/>
              </w:rPr>
              <w:t>n</w:t>
            </w:r>
            <w:r>
              <w:rPr>
                <w:rFonts w:ascii="Helvetica" w:eastAsia="Calibri" w:hAnsi="Helvetica"/>
                <w:b/>
                <w:sz w:val="20"/>
                <w:szCs w:val="20"/>
                <w:lang w:eastAsia="en-GB"/>
              </w:rPr>
              <w:t xml:space="preserve">74) </w:t>
            </w:r>
            <w:r w:rsidRPr="002F2EBE">
              <w:rPr>
                <w:rFonts w:ascii="Helvetica" w:eastAsia="Calibri" w:hAnsi="Helvetica"/>
                <w:b/>
                <w:i/>
                <w:sz w:val="20"/>
                <w:szCs w:val="20"/>
                <w:lang w:eastAsia="en-GB"/>
              </w:rPr>
              <w:t>planning</w:t>
            </w:r>
            <w:r>
              <w:rPr>
                <w:rFonts w:ascii="Helvetica" w:eastAsia="Calibri" w:hAnsi="Helvetica"/>
                <w:b/>
                <w:sz w:val="20"/>
                <w:szCs w:val="20"/>
                <w:lang w:eastAsia="en-GB"/>
              </w:rPr>
              <w:t xml:space="preserve"> a </w:t>
            </w:r>
            <w:r w:rsidR="00EF4A57">
              <w:rPr>
                <w:rFonts w:ascii="Helvetica" w:eastAsia="Calibri" w:hAnsi="Helvetica"/>
                <w:b/>
                <w:sz w:val="20"/>
                <w:szCs w:val="20"/>
                <w:lang w:eastAsia="en-GB"/>
              </w:rPr>
              <w:t>graduate</w:t>
            </w:r>
            <w:r>
              <w:rPr>
                <w:rFonts w:ascii="Helvetica" w:eastAsia="Calibri" w:hAnsi="Helvetica"/>
                <w:b/>
                <w:sz w:val="20"/>
                <w:szCs w:val="20"/>
                <w:lang w:eastAsia="en-GB"/>
              </w:rPr>
              <w:t xml:space="preserve"> gap year</w:t>
            </w:r>
          </w:p>
        </w:tc>
      </w:tr>
      <w:tr w:rsidR="006A796C" w14:paraId="317E1EE8" w14:textId="77777777" w:rsidTr="006A796C">
        <w:tc>
          <w:tcPr>
            <w:tcW w:w="4786" w:type="dxa"/>
          </w:tcPr>
          <w:p w14:paraId="6F966403" w14:textId="393DE0E7" w:rsidR="00284903" w:rsidRPr="006A796C" w:rsidRDefault="006A796C" w:rsidP="00EF4A57">
            <w:pPr>
              <w:spacing w:after="160" w:line="276" w:lineRule="auto"/>
              <w:rPr>
                <w:rFonts w:ascii="Helvetica" w:eastAsia="Calibri" w:hAnsi="Helvetica"/>
                <w:b/>
                <w:sz w:val="20"/>
                <w:szCs w:val="20"/>
                <w:lang w:eastAsia="en-GB"/>
              </w:rPr>
            </w:pPr>
            <w:r w:rsidRPr="006A796C">
              <w:rPr>
                <w:rFonts w:ascii="Helvetica" w:eastAsia="Calibri" w:hAnsi="Helvetica"/>
                <w:b/>
                <w:sz w:val="20"/>
                <w:szCs w:val="20"/>
                <w:lang w:eastAsia="en-GB"/>
              </w:rPr>
              <w:t>Students</w:t>
            </w:r>
            <w:r w:rsidR="00284903" w:rsidRPr="006A796C">
              <w:rPr>
                <w:rFonts w:ascii="Helvetica" w:eastAsia="Calibri" w:hAnsi="Helvetica"/>
                <w:b/>
                <w:sz w:val="20"/>
                <w:szCs w:val="20"/>
                <w:lang w:eastAsia="en-GB"/>
              </w:rPr>
              <w:t xml:space="preserve"> planning a </w:t>
            </w:r>
            <w:r w:rsidR="00EF4A57">
              <w:rPr>
                <w:rFonts w:ascii="Helvetica" w:eastAsia="Calibri" w:hAnsi="Helvetica"/>
                <w:b/>
                <w:sz w:val="20"/>
                <w:szCs w:val="20"/>
                <w:lang w:eastAsia="en-GB"/>
              </w:rPr>
              <w:t>graduate</w:t>
            </w:r>
            <w:r w:rsidR="00284903" w:rsidRPr="006A796C">
              <w:rPr>
                <w:rFonts w:ascii="Helvetica" w:eastAsia="Calibri" w:hAnsi="Helvetica"/>
                <w:b/>
                <w:sz w:val="20"/>
                <w:szCs w:val="20"/>
                <w:lang w:eastAsia="en-GB"/>
              </w:rPr>
              <w:t xml:space="preserve"> gap year</w:t>
            </w:r>
            <w:r w:rsidRPr="006A796C">
              <w:rPr>
                <w:rFonts w:ascii="Helvetica" w:eastAsia="Calibri" w:hAnsi="Helvetica"/>
                <w:b/>
                <w:sz w:val="20"/>
                <w:szCs w:val="20"/>
                <w:lang w:eastAsia="en-GB"/>
              </w:rPr>
              <w:t xml:space="preserve"> by institution &amp; widening participation (WP) status</w:t>
            </w:r>
            <w:r w:rsidR="00284903" w:rsidRPr="006A796C">
              <w:rPr>
                <w:rFonts w:ascii="Helvetica" w:eastAsia="Calibri" w:hAnsi="Helvetica"/>
                <w:b/>
                <w:sz w:val="20"/>
                <w:szCs w:val="20"/>
                <w:lang w:eastAsia="en-GB"/>
              </w:rPr>
              <w:t>?</w:t>
            </w:r>
          </w:p>
        </w:tc>
        <w:tc>
          <w:tcPr>
            <w:tcW w:w="1843" w:type="dxa"/>
          </w:tcPr>
          <w:p w14:paraId="7787B77B" w14:textId="4C0AB0DC" w:rsidR="00284903" w:rsidRPr="006A796C" w:rsidRDefault="006A796C" w:rsidP="006A796C">
            <w:pPr>
              <w:spacing w:after="160" w:line="276" w:lineRule="auto"/>
              <w:jc w:val="center"/>
              <w:rPr>
                <w:rFonts w:ascii="Helvetica" w:eastAsia="Calibri" w:hAnsi="Helvetica"/>
                <w:b/>
                <w:sz w:val="20"/>
                <w:szCs w:val="20"/>
                <w:lang w:eastAsia="en-GB"/>
              </w:rPr>
            </w:pPr>
            <w:r>
              <w:rPr>
                <w:rFonts w:ascii="Helvetica" w:eastAsia="Calibri" w:hAnsi="Helvetica"/>
                <w:b/>
                <w:sz w:val="20"/>
                <w:szCs w:val="20"/>
                <w:lang w:eastAsia="en-GB"/>
              </w:rPr>
              <w:t xml:space="preserve">Students         graduating in </w:t>
            </w:r>
            <w:r w:rsidR="00284903" w:rsidRPr="006A796C">
              <w:rPr>
                <w:rFonts w:ascii="Helvetica" w:eastAsia="Calibri" w:hAnsi="Helvetica"/>
                <w:b/>
                <w:sz w:val="20"/>
                <w:szCs w:val="20"/>
                <w:lang w:eastAsia="en-GB"/>
              </w:rPr>
              <w:t>2014</w:t>
            </w:r>
          </w:p>
        </w:tc>
        <w:tc>
          <w:tcPr>
            <w:tcW w:w="1887" w:type="dxa"/>
          </w:tcPr>
          <w:p w14:paraId="2C96D535" w14:textId="6410A4B3" w:rsidR="00284903" w:rsidRPr="006A796C" w:rsidRDefault="006A796C" w:rsidP="006A796C">
            <w:pPr>
              <w:spacing w:after="160" w:line="276" w:lineRule="auto"/>
              <w:jc w:val="center"/>
              <w:rPr>
                <w:rFonts w:ascii="Helvetica" w:eastAsia="Calibri" w:hAnsi="Helvetica"/>
                <w:b/>
                <w:sz w:val="20"/>
                <w:szCs w:val="20"/>
                <w:lang w:eastAsia="en-GB"/>
              </w:rPr>
            </w:pPr>
            <w:r>
              <w:rPr>
                <w:rFonts w:ascii="Helvetica" w:eastAsia="Calibri" w:hAnsi="Helvetica"/>
                <w:b/>
                <w:sz w:val="20"/>
                <w:szCs w:val="20"/>
                <w:lang w:eastAsia="en-GB"/>
              </w:rPr>
              <w:t xml:space="preserve">Students graduating in </w:t>
            </w:r>
            <w:r w:rsidR="00284903" w:rsidRPr="006A796C">
              <w:rPr>
                <w:rFonts w:ascii="Helvetica" w:eastAsia="Calibri" w:hAnsi="Helvetica"/>
                <w:b/>
                <w:sz w:val="20"/>
                <w:szCs w:val="20"/>
                <w:lang w:eastAsia="en-GB"/>
              </w:rPr>
              <w:t>2015</w:t>
            </w:r>
          </w:p>
        </w:tc>
      </w:tr>
      <w:tr w:rsidR="006A796C" w14:paraId="0C7FE55A" w14:textId="77777777" w:rsidTr="006A796C">
        <w:tc>
          <w:tcPr>
            <w:tcW w:w="4786" w:type="dxa"/>
          </w:tcPr>
          <w:p w14:paraId="4E747D27" w14:textId="0123B8DD" w:rsidR="00284903" w:rsidRPr="006A796C" w:rsidRDefault="00284903" w:rsidP="006A796C">
            <w:pPr>
              <w:spacing w:after="160" w:line="276" w:lineRule="auto"/>
              <w:rPr>
                <w:rFonts w:ascii="Helvetica" w:eastAsia="Calibri" w:hAnsi="Helvetica"/>
                <w:sz w:val="20"/>
                <w:szCs w:val="20"/>
                <w:lang w:eastAsia="en-GB"/>
              </w:rPr>
            </w:pPr>
            <w:r w:rsidRPr="006A796C">
              <w:rPr>
                <w:rFonts w:ascii="Helvetica" w:eastAsia="Calibri" w:hAnsi="Helvetica"/>
                <w:sz w:val="20"/>
                <w:szCs w:val="20"/>
                <w:lang w:eastAsia="en-GB"/>
              </w:rPr>
              <w:t xml:space="preserve">Post-1992 </w:t>
            </w:r>
            <w:r w:rsidR="006A796C" w:rsidRPr="006A796C">
              <w:rPr>
                <w:rFonts w:ascii="Helvetica" w:eastAsia="Calibri" w:hAnsi="Helvetica"/>
                <w:sz w:val="20"/>
                <w:szCs w:val="20"/>
                <w:lang w:eastAsia="en-GB"/>
              </w:rPr>
              <w:t>University</w:t>
            </w:r>
            <w:r w:rsidR="006A796C">
              <w:rPr>
                <w:rFonts w:ascii="Helvetica" w:eastAsia="Calibri" w:hAnsi="Helvetica"/>
                <w:sz w:val="20"/>
                <w:szCs w:val="20"/>
                <w:lang w:eastAsia="en-GB"/>
              </w:rPr>
              <w:t xml:space="preserve">, </w:t>
            </w:r>
            <w:r w:rsidRPr="006A796C">
              <w:rPr>
                <w:rFonts w:ascii="Helvetica" w:eastAsia="Calibri" w:hAnsi="Helvetica"/>
                <w:sz w:val="20"/>
                <w:szCs w:val="20"/>
                <w:lang w:eastAsia="en-GB"/>
              </w:rPr>
              <w:t>WP</w:t>
            </w:r>
            <w:r w:rsidR="006A796C" w:rsidRPr="006A796C">
              <w:rPr>
                <w:rFonts w:ascii="Helvetica" w:eastAsia="Calibri" w:hAnsi="Helvetica"/>
                <w:sz w:val="20"/>
                <w:szCs w:val="20"/>
                <w:lang w:eastAsia="en-GB"/>
              </w:rPr>
              <w:t xml:space="preserve"> status</w:t>
            </w:r>
          </w:p>
        </w:tc>
        <w:tc>
          <w:tcPr>
            <w:tcW w:w="1843" w:type="dxa"/>
          </w:tcPr>
          <w:p w14:paraId="65F216F5" w14:textId="51FF3AE2" w:rsidR="00284903" w:rsidRPr="006A796C" w:rsidRDefault="00284903" w:rsidP="006A796C">
            <w:pPr>
              <w:spacing w:after="160" w:line="276" w:lineRule="auto"/>
              <w:jc w:val="center"/>
              <w:rPr>
                <w:rFonts w:ascii="Helvetica" w:eastAsia="Calibri" w:hAnsi="Helvetica"/>
                <w:sz w:val="20"/>
                <w:szCs w:val="20"/>
                <w:lang w:eastAsia="en-GB"/>
              </w:rPr>
            </w:pPr>
            <w:r w:rsidRPr="006A796C">
              <w:rPr>
                <w:rFonts w:ascii="Helvetica" w:eastAsia="Calibri" w:hAnsi="Helvetica"/>
                <w:sz w:val="20"/>
                <w:szCs w:val="20"/>
                <w:lang w:eastAsia="en-GB"/>
              </w:rPr>
              <w:t>1</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4</w:t>
            </w:r>
          </w:p>
        </w:tc>
        <w:tc>
          <w:tcPr>
            <w:tcW w:w="1887" w:type="dxa"/>
          </w:tcPr>
          <w:p w14:paraId="1367B463" w14:textId="6C5053AF" w:rsidR="00284903" w:rsidRPr="006A796C" w:rsidRDefault="007227A3" w:rsidP="006A796C">
            <w:pPr>
              <w:spacing w:after="160" w:line="276" w:lineRule="auto"/>
              <w:jc w:val="center"/>
              <w:rPr>
                <w:rFonts w:ascii="Helvetica" w:eastAsia="Calibri" w:hAnsi="Helvetica"/>
                <w:sz w:val="20"/>
                <w:szCs w:val="20"/>
                <w:lang w:eastAsia="en-GB"/>
              </w:rPr>
            </w:pPr>
            <w:r>
              <w:rPr>
                <w:rFonts w:ascii="Helvetica" w:eastAsia="Calibri" w:hAnsi="Helvetica"/>
                <w:sz w:val="20"/>
                <w:szCs w:val="20"/>
                <w:lang w:eastAsia="en-GB"/>
              </w:rPr>
              <w:t>5</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Pr>
                <w:rFonts w:ascii="Helvetica" w:eastAsia="Calibri" w:hAnsi="Helvetica"/>
                <w:sz w:val="20"/>
                <w:szCs w:val="20"/>
                <w:lang w:eastAsia="en-GB"/>
              </w:rPr>
              <w:t>5</w:t>
            </w:r>
          </w:p>
        </w:tc>
      </w:tr>
      <w:tr w:rsidR="006A796C" w14:paraId="0012C31B" w14:textId="77777777" w:rsidTr="006A796C">
        <w:tc>
          <w:tcPr>
            <w:tcW w:w="4786" w:type="dxa"/>
          </w:tcPr>
          <w:p w14:paraId="218E67B1" w14:textId="53C6CEDE" w:rsidR="00284903" w:rsidRPr="006A796C" w:rsidRDefault="006A796C" w:rsidP="006A796C">
            <w:pPr>
              <w:spacing w:after="160" w:line="276" w:lineRule="auto"/>
              <w:rPr>
                <w:rFonts w:ascii="Helvetica" w:eastAsia="Calibri" w:hAnsi="Helvetica"/>
                <w:sz w:val="20"/>
                <w:szCs w:val="20"/>
                <w:lang w:eastAsia="en-GB"/>
              </w:rPr>
            </w:pPr>
            <w:r w:rsidRPr="006A796C">
              <w:rPr>
                <w:rFonts w:ascii="Helvetica" w:eastAsia="Calibri" w:hAnsi="Helvetica"/>
                <w:sz w:val="20"/>
                <w:szCs w:val="20"/>
                <w:lang w:eastAsia="en-GB"/>
              </w:rPr>
              <w:t>Post-1992 University</w:t>
            </w:r>
            <w:r>
              <w:rPr>
                <w:rFonts w:ascii="Helvetica" w:eastAsia="Calibri" w:hAnsi="Helvetica"/>
                <w:sz w:val="20"/>
                <w:szCs w:val="20"/>
                <w:lang w:eastAsia="en-GB"/>
              </w:rPr>
              <w:t xml:space="preserve">, </w:t>
            </w:r>
            <w:r w:rsidR="00284903" w:rsidRPr="006A796C">
              <w:rPr>
                <w:rFonts w:ascii="Helvetica" w:eastAsia="Calibri" w:hAnsi="Helvetica"/>
                <w:sz w:val="20"/>
                <w:szCs w:val="20"/>
                <w:lang w:eastAsia="en-GB"/>
              </w:rPr>
              <w:t>Non-WP</w:t>
            </w:r>
          </w:p>
        </w:tc>
        <w:tc>
          <w:tcPr>
            <w:tcW w:w="1843" w:type="dxa"/>
          </w:tcPr>
          <w:p w14:paraId="6F2CBB67" w14:textId="3DFFAF4F" w:rsidR="00284903" w:rsidRPr="006A796C" w:rsidRDefault="00284903" w:rsidP="006A796C">
            <w:pPr>
              <w:spacing w:after="160" w:line="276" w:lineRule="auto"/>
              <w:jc w:val="center"/>
              <w:rPr>
                <w:rFonts w:ascii="Helvetica" w:eastAsia="Calibri" w:hAnsi="Helvetica"/>
                <w:sz w:val="20"/>
                <w:szCs w:val="20"/>
                <w:lang w:eastAsia="en-GB"/>
              </w:rPr>
            </w:pPr>
            <w:r w:rsidRPr="006A796C">
              <w:rPr>
                <w:rFonts w:ascii="Helvetica" w:eastAsia="Calibri" w:hAnsi="Helvetica"/>
                <w:sz w:val="20"/>
                <w:szCs w:val="20"/>
                <w:lang w:eastAsia="en-GB"/>
              </w:rPr>
              <w:t>3</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10</w:t>
            </w:r>
          </w:p>
        </w:tc>
        <w:tc>
          <w:tcPr>
            <w:tcW w:w="1887" w:type="dxa"/>
          </w:tcPr>
          <w:p w14:paraId="221E50E9" w14:textId="38F7AC61" w:rsidR="00284903" w:rsidRPr="006A796C" w:rsidRDefault="006B1922" w:rsidP="006A796C">
            <w:pPr>
              <w:spacing w:after="160" w:line="276" w:lineRule="auto"/>
              <w:jc w:val="center"/>
              <w:rPr>
                <w:rFonts w:ascii="Helvetica" w:eastAsia="Calibri" w:hAnsi="Helvetica"/>
                <w:sz w:val="20"/>
                <w:szCs w:val="20"/>
                <w:lang w:eastAsia="en-GB"/>
              </w:rPr>
            </w:pPr>
            <w:r>
              <w:rPr>
                <w:rFonts w:ascii="Helvetica" w:eastAsia="Calibri" w:hAnsi="Helvetica"/>
                <w:sz w:val="20"/>
                <w:szCs w:val="20"/>
                <w:lang w:eastAsia="en-GB"/>
              </w:rPr>
              <w:t>4</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9</w:t>
            </w:r>
          </w:p>
        </w:tc>
      </w:tr>
      <w:tr w:rsidR="006A796C" w14:paraId="30FC86A9" w14:textId="77777777" w:rsidTr="006A796C">
        <w:tc>
          <w:tcPr>
            <w:tcW w:w="4786" w:type="dxa"/>
          </w:tcPr>
          <w:p w14:paraId="6AD388B8" w14:textId="111241A4" w:rsidR="00284903" w:rsidRPr="006A796C" w:rsidRDefault="006A796C" w:rsidP="006A796C">
            <w:pPr>
              <w:spacing w:after="160" w:line="276" w:lineRule="auto"/>
              <w:rPr>
                <w:rFonts w:ascii="Helvetica" w:eastAsia="Calibri" w:hAnsi="Helvetica"/>
                <w:sz w:val="20"/>
                <w:szCs w:val="20"/>
                <w:lang w:eastAsia="en-GB"/>
              </w:rPr>
            </w:pPr>
            <w:r w:rsidRPr="006A796C">
              <w:rPr>
                <w:rFonts w:ascii="Helvetica" w:eastAsia="Calibri" w:hAnsi="Helvetica"/>
                <w:sz w:val="20"/>
                <w:szCs w:val="20"/>
                <w:lang w:eastAsia="en-GB"/>
              </w:rPr>
              <w:t>Russell Group University</w:t>
            </w:r>
            <w:r>
              <w:rPr>
                <w:rFonts w:ascii="Helvetica" w:eastAsia="Calibri" w:hAnsi="Helvetica"/>
                <w:sz w:val="20"/>
                <w:szCs w:val="20"/>
                <w:lang w:eastAsia="en-GB"/>
              </w:rPr>
              <w:t xml:space="preserve">, </w:t>
            </w:r>
            <w:r w:rsidR="00284903" w:rsidRPr="006A796C">
              <w:rPr>
                <w:rFonts w:ascii="Helvetica" w:eastAsia="Calibri" w:hAnsi="Helvetica"/>
                <w:sz w:val="20"/>
                <w:szCs w:val="20"/>
                <w:lang w:eastAsia="en-GB"/>
              </w:rPr>
              <w:t>WP</w:t>
            </w:r>
            <w:r w:rsidRPr="006A796C">
              <w:rPr>
                <w:rFonts w:ascii="Helvetica" w:eastAsia="Calibri" w:hAnsi="Helvetica"/>
                <w:sz w:val="20"/>
                <w:szCs w:val="20"/>
                <w:lang w:eastAsia="en-GB"/>
              </w:rPr>
              <w:t xml:space="preserve"> status</w:t>
            </w:r>
          </w:p>
        </w:tc>
        <w:tc>
          <w:tcPr>
            <w:tcW w:w="1843" w:type="dxa"/>
          </w:tcPr>
          <w:p w14:paraId="5030F79A" w14:textId="3AA27184" w:rsidR="00284903" w:rsidRPr="006A796C" w:rsidRDefault="00284903" w:rsidP="006A796C">
            <w:pPr>
              <w:spacing w:after="160" w:line="276" w:lineRule="auto"/>
              <w:jc w:val="center"/>
              <w:rPr>
                <w:rFonts w:ascii="Helvetica" w:eastAsia="Calibri" w:hAnsi="Helvetica"/>
                <w:sz w:val="20"/>
                <w:szCs w:val="20"/>
                <w:lang w:eastAsia="en-GB"/>
              </w:rPr>
            </w:pPr>
            <w:r w:rsidRPr="006A796C">
              <w:rPr>
                <w:rFonts w:ascii="Helvetica" w:eastAsia="Calibri" w:hAnsi="Helvetica"/>
                <w:sz w:val="20"/>
                <w:szCs w:val="20"/>
                <w:lang w:eastAsia="en-GB"/>
              </w:rPr>
              <w:t>3</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14</w:t>
            </w:r>
          </w:p>
        </w:tc>
        <w:tc>
          <w:tcPr>
            <w:tcW w:w="1887" w:type="dxa"/>
          </w:tcPr>
          <w:p w14:paraId="0197A0B2" w14:textId="109CE6B9" w:rsidR="00284903" w:rsidRPr="006A796C" w:rsidRDefault="006B1922" w:rsidP="006A796C">
            <w:pPr>
              <w:spacing w:after="160" w:line="276" w:lineRule="auto"/>
              <w:jc w:val="center"/>
              <w:rPr>
                <w:rFonts w:ascii="Helvetica" w:eastAsia="Calibri" w:hAnsi="Helvetica"/>
                <w:sz w:val="20"/>
                <w:szCs w:val="20"/>
                <w:lang w:eastAsia="en-GB"/>
              </w:rPr>
            </w:pPr>
            <w:r>
              <w:rPr>
                <w:rFonts w:ascii="Helvetica" w:eastAsia="Calibri" w:hAnsi="Helvetica"/>
                <w:sz w:val="20"/>
                <w:szCs w:val="20"/>
                <w:lang w:eastAsia="en-GB"/>
              </w:rPr>
              <w:t>5</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14</w:t>
            </w:r>
          </w:p>
        </w:tc>
      </w:tr>
      <w:tr w:rsidR="006A796C" w14:paraId="0C67A7A0" w14:textId="77777777" w:rsidTr="006A796C">
        <w:tc>
          <w:tcPr>
            <w:tcW w:w="4786" w:type="dxa"/>
          </w:tcPr>
          <w:p w14:paraId="62C6CB7F" w14:textId="5EF49016" w:rsidR="00284903" w:rsidRPr="006A796C" w:rsidRDefault="006A796C" w:rsidP="006A796C">
            <w:pPr>
              <w:spacing w:after="160" w:line="276" w:lineRule="auto"/>
              <w:rPr>
                <w:rFonts w:ascii="Helvetica" w:eastAsia="Calibri" w:hAnsi="Helvetica"/>
                <w:sz w:val="20"/>
                <w:szCs w:val="20"/>
                <w:lang w:eastAsia="en-GB"/>
              </w:rPr>
            </w:pPr>
            <w:r w:rsidRPr="006A796C">
              <w:rPr>
                <w:rFonts w:ascii="Helvetica" w:eastAsia="Calibri" w:hAnsi="Helvetica"/>
                <w:sz w:val="20"/>
                <w:szCs w:val="20"/>
                <w:lang w:eastAsia="en-GB"/>
              </w:rPr>
              <w:t>Russell Group University</w:t>
            </w:r>
            <w:r>
              <w:rPr>
                <w:rFonts w:ascii="Helvetica" w:eastAsia="Calibri" w:hAnsi="Helvetica"/>
                <w:sz w:val="20"/>
                <w:szCs w:val="20"/>
                <w:lang w:eastAsia="en-GB"/>
              </w:rPr>
              <w:t xml:space="preserve">, </w:t>
            </w:r>
            <w:r w:rsidR="00284903" w:rsidRPr="006A796C">
              <w:rPr>
                <w:rFonts w:ascii="Helvetica" w:eastAsia="Calibri" w:hAnsi="Helvetica"/>
                <w:sz w:val="20"/>
                <w:szCs w:val="20"/>
                <w:lang w:eastAsia="en-GB"/>
              </w:rPr>
              <w:t>Non-WP</w:t>
            </w:r>
            <w:r w:rsidRPr="006A796C">
              <w:rPr>
                <w:rFonts w:ascii="Helvetica" w:eastAsia="Calibri" w:hAnsi="Helvetica"/>
                <w:sz w:val="20"/>
                <w:szCs w:val="20"/>
                <w:lang w:eastAsia="en-GB"/>
              </w:rPr>
              <w:t xml:space="preserve"> status</w:t>
            </w:r>
          </w:p>
        </w:tc>
        <w:tc>
          <w:tcPr>
            <w:tcW w:w="1843" w:type="dxa"/>
          </w:tcPr>
          <w:p w14:paraId="7F79C520" w14:textId="78CF1376" w:rsidR="00284903" w:rsidRPr="006A796C" w:rsidRDefault="00284903" w:rsidP="006A796C">
            <w:pPr>
              <w:spacing w:after="160" w:line="276" w:lineRule="auto"/>
              <w:jc w:val="center"/>
              <w:rPr>
                <w:rFonts w:ascii="Helvetica" w:eastAsia="Calibri" w:hAnsi="Helvetica"/>
                <w:sz w:val="20"/>
                <w:szCs w:val="20"/>
                <w:lang w:eastAsia="en-GB"/>
              </w:rPr>
            </w:pPr>
            <w:r w:rsidRPr="006A796C">
              <w:rPr>
                <w:rFonts w:ascii="Helvetica" w:eastAsia="Calibri" w:hAnsi="Helvetica"/>
                <w:sz w:val="20"/>
                <w:szCs w:val="20"/>
                <w:lang w:eastAsia="en-GB"/>
              </w:rPr>
              <w:t>2</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9</w:t>
            </w:r>
          </w:p>
        </w:tc>
        <w:tc>
          <w:tcPr>
            <w:tcW w:w="1887" w:type="dxa"/>
          </w:tcPr>
          <w:p w14:paraId="7D8C5A0D" w14:textId="6A2E14E8" w:rsidR="00284903" w:rsidRPr="006A796C" w:rsidRDefault="00284903" w:rsidP="006A796C">
            <w:pPr>
              <w:spacing w:after="160" w:line="276" w:lineRule="auto"/>
              <w:jc w:val="center"/>
              <w:rPr>
                <w:rFonts w:ascii="Helvetica" w:eastAsia="Calibri" w:hAnsi="Helvetica"/>
                <w:sz w:val="20"/>
                <w:szCs w:val="20"/>
                <w:lang w:eastAsia="en-GB"/>
              </w:rPr>
            </w:pPr>
            <w:r w:rsidRPr="006A796C">
              <w:rPr>
                <w:rFonts w:ascii="Helvetica" w:eastAsia="Calibri" w:hAnsi="Helvetica"/>
                <w:sz w:val="20"/>
                <w:szCs w:val="20"/>
                <w:lang w:eastAsia="en-GB"/>
              </w:rPr>
              <w:t>2</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w:t>
            </w:r>
            <w:r w:rsidR="009A6265">
              <w:rPr>
                <w:rFonts w:ascii="Helvetica" w:eastAsia="Calibri" w:hAnsi="Helvetica"/>
                <w:sz w:val="20"/>
                <w:szCs w:val="20"/>
                <w:lang w:eastAsia="en-GB"/>
              </w:rPr>
              <w:t xml:space="preserve"> </w:t>
            </w:r>
            <w:r w:rsidR="002F2EBE">
              <w:rPr>
                <w:rFonts w:ascii="Helvetica" w:eastAsia="Calibri" w:hAnsi="Helvetica"/>
                <w:sz w:val="20"/>
                <w:szCs w:val="20"/>
                <w:lang w:eastAsia="en-GB"/>
              </w:rPr>
              <w:t>9</w:t>
            </w:r>
          </w:p>
        </w:tc>
      </w:tr>
      <w:tr w:rsidR="002F2EBE" w14:paraId="5C12E883" w14:textId="77777777" w:rsidTr="006A796C">
        <w:tc>
          <w:tcPr>
            <w:tcW w:w="4786" w:type="dxa"/>
          </w:tcPr>
          <w:p w14:paraId="10B89F63" w14:textId="5C6EDBB4" w:rsidR="002F2EBE" w:rsidRPr="002F2EBE" w:rsidRDefault="002F2EBE" w:rsidP="00EF4A57">
            <w:pPr>
              <w:spacing w:after="160"/>
              <w:jc w:val="right"/>
              <w:rPr>
                <w:rFonts w:ascii="Helvetica" w:eastAsia="Calibri" w:hAnsi="Helvetica"/>
                <w:b/>
                <w:sz w:val="20"/>
                <w:szCs w:val="20"/>
                <w:lang w:eastAsia="en-GB"/>
              </w:rPr>
            </w:pPr>
            <w:r w:rsidRPr="002F2EBE">
              <w:rPr>
                <w:rFonts w:ascii="Helvetica" w:eastAsia="Calibri" w:hAnsi="Helvetica"/>
                <w:b/>
                <w:sz w:val="20"/>
                <w:szCs w:val="20"/>
                <w:lang w:eastAsia="en-GB"/>
              </w:rPr>
              <w:t>Total</w:t>
            </w:r>
          </w:p>
        </w:tc>
        <w:tc>
          <w:tcPr>
            <w:tcW w:w="1843" w:type="dxa"/>
          </w:tcPr>
          <w:p w14:paraId="784E9095" w14:textId="77777777" w:rsidR="002F2EBE" w:rsidRDefault="002F2EBE" w:rsidP="00EF4A57">
            <w:pPr>
              <w:spacing w:after="160"/>
              <w:jc w:val="center"/>
              <w:rPr>
                <w:rFonts w:ascii="Helvetica" w:eastAsia="Calibri" w:hAnsi="Helvetica"/>
                <w:b/>
                <w:sz w:val="20"/>
                <w:szCs w:val="20"/>
                <w:lang w:eastAsia="en-GB"/>
              </w:rPr>
            </w:pPr>
            <w:r w:rsidRPr="009A6265">
              <w:rPr>
                <w:rFonts w:ascii="Helvetica" w:eastAsia="Calibri" w:hAnsi="Helvetica"/>
                <w:b/>
                <w:sz w:val="20"/>
                <w:szCs w:val="20"/>
                <w:lang w:eastAsia="en-GB"/>
              </w:rPr>
              <w:t>9</w:t>
            </w:r>
            <w:r w:rsidR="009A6265">
              <w:rPr>
                <w:rFonts w:ascii="Helvetica" w:eastAsia="Calibri" w:hAnsi="Helvetica"/>
                <w:b/>
                <w:sz w:val="20"/>
                <w:szCs w:val="20"/>
                <w:lang w:eastAsia="en-GB"/>
              </w:rPr>
              <w:t xml:space="preserve"> </w:t>
            </w:r>
            <w:r w:rsidRPr="009A6265">
              <w:rPr>
                <w:rFonts w:ascii="Helvetica" w:eastAsia="Calibri" w:hAnsi="Helvetica"/>
                <w:b/>
                <w:sz w:val="20"/>
                <w:szCs w:val="20"/>
                <w:lang w:eastAsia="en-GB"/>
              </w:rPr>
              <w:t>/</w:t>
            </w:r>
            <w:r w:rsidR="009A6265">
              <w:rPr>
                <w:rFonts w:ascii="Helvetica" w:eastAsia="Calibri" w:hAnsi="Helvetica"/>
                <w:b/>
                <w:sz w:val="20"/>
                <w:szCs w:val="20"/>
                <w:lang w:eastAsia="en-GB"/>
              </w:rPr>
              <w:t xml:space="preserve"> </w:t>
            </w:r>
            <w:r w:rsidRPr="009A6265">
              <w:rPr>
                <w:rFonts w:ascii="Helvetica" w:eastAsia="Calibri" w:hAnsi="Helvetica"/>
                <w:b/>
                <w:sz w:val="20"/>
                <w:szCs w:val="20"/>
                <w:lang w:eastAsia="en-GB"/>
              </w:rPr>
              <w:t>37</w:t>
            </w:r>
          </w:p>
          <w:p w14:paraId="15C74447" w14:textId="790D998A" w:rsidR="00DA36C9" w:rsidRPr="009A6265" w:rsidRDefault="00DA36C9" w:rsidP="00EF4A57">
            <w:pPr>
              <w:spacing w:after="160"/>
              <w:jc w:val="center"/>
              <w:rPr>
                <w:rFonts w:ascii="Helvetica" w:eastAsia="Calibri" w:hAnsi="Helvetica"/>
                <w:b/>
                <w:sz w:val="20"/>
                <w:szCs w:val="20"/>
                <w:lang w:eastAsia="en-GB"/>
              </w:rPr>
            </w:pPr>
            <w:r>
              <w:rPr>
                <w:rFonts w:ascii="Helvetica" w:eastAsia="Calibri" w:hAnsi="Helvetica"/>
                <w:b/>
                <w:sz w:val="20"/>
                <w:szCs w:val="20"/>
                <w:lang w:eastAsia="en-GB"/>
              </w:rPr>
              <w:t>(24%)</w:t>
            </w:r>
          </w:p>
        </w:tc>
        <w:tc>
          <w:tcPr>
            <w:tcW w:w="1887" w:type="dxa"/>
          </w:tcPr>
          <w:p w14:paraId="19C83540" w14:textId="6E4C06BE" w:rsidR="002F2EBE" w:rsidRDefault="002F2EBE" w:rsidP="00EF4A57">
            <w:pPr>
              <w:spacing w:after="160"/>
              <w:jc w:val="center"/>
              <w:rPr>
                <w:rFonts w:ascii="Helvetica" w:eastAsia="Calibri" w:hAnsi="Helvetica"/>
                <w:b/>
                <w:sz w:val="20"/>
                <w:szCs w:val="20"/>
                <w:lang w:eastAsia="en-GB"/>
              </w:rPr>
            </w:pPr>
            <w:r w:rsidRPr="009A6265">
              <w:rPr>
                <w:rFonts w:ascii="Helvetica" w:eastAsia="Calibri" w:hAnsi="Helvetica"/>
                <w:b/>
                <w:sz w:val="20"/>
                <w:szCs w:val="20"/>
                <w:lang w:eastAsia="en-GB"/>
              </w:rPr>
              <w:t>1</w:t>
            </w:r>
            <w:r w:rsidR="006B1922">
              <w:rPr>
                <w:rFonts w:ascii="Helvetica" w:eastAsia="Calibri" w:hAnsi="Helvetica"/>
                <w:b/>
                <w:sz w:val="20"/>
                <w:szCs w:val="20"/>
                <w:lang w:eastAsia="en-GB"/>
              </w:rPr>
              <w:t>6</w:t>
            </w:r>
            <w:r w:rsidR="009A6265">
              <w:rPr>
                <w:rFonts w:ascii="Helvetica" w:eastAsia="Calibri" w:hAnsi="Helvetica"/>
                <w:b/>
                <w:sz w:val="20"/>
                <w:szCs w:val="20"/>
                <w:lang w:eastAsia="en-GB"/>
              </w:rPr>
              <w:t xml:space="preserve"> </w:t>
            </w:r>
            <w:r w:rsidRPr="009A6265">
              <w:rPr>
                <w:rFonts w:ascii="Helvetica" w:eastAsia="Calibri" w:hAnsi="Helvetica"/>
                <w:b/>
                <w:sz w:val="20"/>
                <w:szCs w:val="20"/>
                <w:lang w:eastAsia="en-GB"/>
              </w:rPr>
              <w:t>/</w:t>
            </w:r>
            <w:r w:rsidR="009A6265">
              <w:rPr>
                <w:rFonts w:ascii="Helvetica" w:eastAsia="Calibri" w:hAnsi="Helvetica"/>
                <w:b/>
                <w:sz w:val="20"/>
                <w:szCs w:val="20"/>
                <w:lang w:eastAsia="en-GB"/>
              </w:rPr>
              <w:t xml:space="preserve"> </w:t>
            </w:r>
            <w:r w:rsidRPr="009A6265">
              <w:rPr>
                <w:rFonts w:ascii="Helvetica" w:eastAsia="Calibri" w:hAnsi="Helvetica"/>
                <w:b/>
                <w:sz w:val="20"/>
                <w:szCs w:val="20"/>
                <w:lang w:eastAsia="en-GB"/>
              </w:rPr>
              <w:t>37</w:t>
            </w:r>
          </w:p>
          <w:p w14:paraId="18930AD2" w14:textId="75ABA86C" w:rsidR="00DA36C9" w:rsidRPr="009A6265" w:rsidRDefault="00DA36C9" w:rsidP="006B1922">
            <w:pPr>
              <w:spacing w:after="160"/>
              <w:jc w:val="center"/>
              <w:rPr>
                <w:rFonts w:ascii="Helvetica" w:eastAsia="Calibri" w:hAnsi="Helvetica"/>
                <w:b/>
                <w:sz w:val="20"/>
                <w:szCs w:val="20"/>
                <w:lang w:eastAsia="en-GB"/>
              </w:rPr>
            </w:pPr>
            <w:r>
              <w:rPr>
                <w:rFonts w:ascii="Helvetica" w:eastAsia="Calibri" w:hAnsi="Helvetica"/>
                <w:b/>
                <w:sz w:val="20"/>
                <w:szCs w:val="20"/>
                <w:lang w:eastAsia="en-GB"/>
              </w:rPr>
              <w:t>(4</w:t>
            </w:r>
            <w:r w:rsidR="006B1922">
              <w:rPr>
                <w:rFonts w:ascii="Helvetica" w:eastAsia="Calibri" w:hAnsi="Helvetica"/>
                <w:b/>
                <w:sz w:val="20"/>
                <w:szCs w:val="20"/>
                <w:lang w:eastAsia="en-GB"/>
              </w:rPr>
              <w:t>3</w:t>
            </w:r>
            <w:r>
              <w:rPr>
                <w:rFonts w:ascii="Helvetica" w:eastAsia="Calibri" w:hAnsi="Helvetica"/>
                <w:b/>
                <w:sz w:val="20"/>
                <w:szCs w:val="20"/>
                <w:lang w:eastAsia="en-GB"/>
              </w:rPr>
              <w:t>%)</w:t>
            </w:r>
          </w:p>
        </w:tc>
      </w:tr>
    </w:tbl>
    <w:p w14:paraId="7F96652F" w14:textId="77777777" w:rsidR="00284903" w:rsidRDefault="00284903" w:rsidP="00284903">
      <w:pPr>
        <w:spacing w:after="160" w:line="276" w:lineRule="auto"/>
        <w:jc w:val="both"/>
        <w:rPr>
          <w:rFonts w:ascii="Helvetica" w:eastAsia="Calibri" w:hAnsi="Helvetica"/>
          <w:lang w:eastAsia="en-GB"/>
        </w:rPr>
      </w:pPr>
    </w:p>
    <w:p w14:paraId="79D2460D" w14:textId="10343C15" w:rsidR="004F5D4D" w:rsidRDefault="0090133C" w:rsidP="004D769E">
      <w:pPr>
        <w:spacing w:line="276" w:lineRule="auto"/>
        <w:jc w:val="both"/>
        <w:rPr>
          <w:rFonts w:ascii="Helvetica" w:hAnsi="Helvetica"/>
        </w:rPr>
      </w:pPr>
      <w:r>
        <w:rPr>
          <w:rFonts w:ascii="Helvetica" w:hAnsi="Helvetica"/>
        </w:rPr>
        <w:t>A</w:t>
      </w:r>
      <w:r w:rsidR="00B62EB4">
        <w:rPr>
          <w:rFonts w:ascii="Helvetica" w:hAnsi="Helvetica"/>
        </w:rPr>
        <w:t xml:space="preserve"> </w:t>
      </w:r>
      <w:r w:rsidR="000F4B26">
        <w:rPr>
          <w:rFonts w:ascii="Helvetica" w:hAnsi="Helvetica"/>
        </w:rPr>
        <w:t xml:space="preserve">significant </w:t>
      </w:r>
      <w:r w:rsidR="00B62EB4">
        <w:rPr>
          <w:rFonts w:ascii="Helvetica" w:hAnsi="Helvetica"/>
        </w:rPr>
        <w:t xml:space="preserve">themes that emerged was the phenomenon of taking a </w:t>
      </w:r>
      <w:r w:rsidR="006774EB">
        <w:rPr>
          <w:rFonts w:ascii="Helvetica" w:hAnsi="Helvetica"/>
        </w:rPr>
        <w:t>graduate</w:t>
      </w:r>
      <w:r w:rsidR="00B62EB4">
        <w:rPr>
          <w:rFonts w:ascii="Helvetica" w:hAnsi="Helvetica"/>
        </w:rPr>
        <w:t xml:space="preserve"> ‘year out’ or ‘gap year’</w:t>
      </w:r>
      <w:r w:rsidR="002F2EBE">
        <w:rPr>
          <w:rFonts w:ascii="Helvetica" w:hAnsi="Helvetica"/>
        </w:rPr>
        <w:t xml:space="preserve"> (see Table 1). In 2014, 9 out of a sample of 37 (24%) </w:t>
      </w:r>
      <w:r w:rsidR="006774EB">
        <w:rPr>
          <w:rFonts w:ascii="Helvetica" w:hAnsi="Helvetica"/>
        </w:rPr>
        <w:t>reported</w:t>
      </w:r>
      <w:r w:rsidR="002F2EBE">
        <w:rPr>
          <w:rFonts w:ascii="Helvetica" w:hAnsi="Helvetica"/>
        </w:rPr>
        <w:t xml:space="preserve"> an intention to take a </w:t>
      </w:r>
      <w:r w:rsidR="006774EB">
        <w:rPr>
          <w:rFonts w:ascii="Helvetica" w:hAnsi="Helvetica"/>
        </w:rPr>
        <w:t>graduate</w:t>
      </w:r>
      <w:r w:rsidR="002F2EBE">
        <w:rPr>
          <w:rFonts w:ascii="Helvetica" w:hAnsi="Helvetica"/>
        </w:rPr>
        <w:t xml:space="preserve"> gap year</w:t>
      </w:r>
      <w:r w:rsidR="00BF256A">
        <w:rPr>
          <w:rFonts w:ascii="Helvetica" w:hAnsi="Helvetica"/>
        </w:rPr>
        <w:t xml:space="preserve">, </w:t>
      </w:r>
      <w:r w:rsidR="009C27D6">
        <w:rPr>
          <w:rFonts w:ascii="Helvetica" w:hAnsi="Helvetica"/>
        </w:rPr>
        <w:t>whereas in 2015, 1</w:t>
      </w:r>
      <w:r w:rsidR="003A2709">
        <w:rPr>
          <w:rFonts w:ascii="Helvetica" w:hAnsi="Helvetica"/>
        </w:rPr>
        <w:t>6</w:t>
      </w:r>
      <w:r w:rsidR="009C27D6">
        <w:rPr>
          <w:rFonts w:ascii="Helvetica" w:hAnsi="Helvetica"/>
        </w:rPr>
        <w:t xml:space="preserve"> </w:t>
      </w:r>
      <w:r w:rsidR="00FE7DA3">
        <w:rPr>
          <w:rFonts w:ascii="Helvetica" w:hAnsi="Helvetica"/>
        </w:rPr>
        <w:t>(4</w:t>
      </w:r>
      <w:r w:rsidR="003A2709">
        <w:rPr>
          <w:rFonts w:ascii="Helvetica" w:hAnsi="Helvetica"/>
        </w:rPr>
        <w:t>3</w:t>
      </w:r>
      <w:r w:rsidR="00FE7DA3">
        <w:rPr>
          <w:rFonts w:ascii="Helvetica" w:hAnsi="Helvetica"/>
        </w:rPr>
        <w:t xml:space="preserve">%) </w:t>
      </w:r>
      <w:r w:rsidR="009C27D6">
        <w:rPr>
          <w:rFonts w:ascii="Helvetica" w:hAnsi="Helvetica"/>
        </w:rPr>
        <w:t xml:space="preserve">out of </w:t>
      </w:r>
      <w:r w:rsidR="001C6035">
        <w:rPr>
          <w:rFonts w:ascii="Helvetica" w:hAnsi="Helvetica"/>
        </w:rPr>
        <w:t xml:space="preserve">a matched sample </w:t>
      </w:r>
      <w:r w:rsidR="009C27D6">
        <w:rPr>
          <w:rFonts w:ascii="Helvetica" w:hAnsi="Helvetica"/>
        </w:rPr>
        <w:t xml:space="preserve">were planning to take </w:t>
      </w:r>
      <w:r w:rsidR="00850D64">
        <w:rPr>
          <w:rFonts w:ascii="Helvetica" w:hAnsi="Helvetica"/>
        </w:rPr>
        <w:t xml:space="preserve">a graduate </w:t>
      </w:r>
      <w:r w:rsidR="009C27D6">
        <w:rPr>
          <w:rFonts w:ascii="Helvetica" w:hAnsi="Helvetica"/>
        </w:rPr>
        <w:t>gap year.</w:t>
      </w:r>
      <w:r w:rsidR="00BF256A">
        <w:rPr>
          <w:rFonts w:ascii="Helvetica" w:hAnsi="Helvetica"/>
        </w:rPr>
        <w:t xml:space="preserve"> </w:t>
      </w:r>
      <w:r w:rsidR="009C27D6">
        <w:rPr>
          <w:rFonts w:ascii="Helvetica" w:hAnsi="Helvetica"/>
        </w:rPr>
        <w:t xml:space="preserve">The chapter will now explore </w:t>
      </w:r>
      <w:r w:rsidR="00BF256A">
        <w:rPr>
          <w:rFonts w:ascii="Helvetica" w:hAnsi="Helvetica"/>
        </w:rPr>
        <w:t xml:space="preserve">reasons </w:t>
      </w:r>
      <w:r w:rsidR="006774EB">
        <w:rPr>
          <w:rFonts w:ascii="Helvetica" w:hAnsi="Helvetica"/>
        </w:rPr>
        <w:t xml:space="preserve">identified </w:t>
      </w:r>
      <w:r w:rsidR="00BF256A">
        <w:rPr>
          <w:rFonts w:ascii="Helvetica" w:hAnsi="Helvetica"/>
        </w:rPr>
        <w:t xml:space="preserve">for </w:t>
      </w:r>
      <w:r w:rsidR="00754EB9">
        <w:rPr>
          <w:rFonts w:ascii="Helvetica" w:hAnsi="Helvetica"/>
        </w:rPr>
        <w:t xml:space="preserve">taking a </w:t>
      </w:r>
      <w:r w:rsidR="006774EB">
        <w:rPr>
          <w:rFonts w:ascii="Helvetica" w:hAnsi="Helvetica"/>
        </w:rPr>
        <w:t>graduate</w:t>
      </w:r>
      <w:r w:rsidR="00754EB9">
        <w:rPr>
          <w:rFonts w:ascii="Helvetica" w:hAnsi="Helvetica"/>
        </w:rPr>
        <w:t xml:space="preserve"> gap year and how these</w:t>
      </w:r>
      <w:r w:rsidR="00BF256A">
        <w:rPr>
          <w:rFonts w:ascii="Helvetica" w:hAnsi="Helvetica"/>
        </w:rPr>
        <w:t xml:space="preserve"> differed between the graduates of 2014 </w:t>
      </w:r>
      <w:r w:rsidR="00FE7DA3">
        <w:rPr>
          <w:rFonts w:ascii="Helvetica" w:hAnsi="Helvetica"/>
        </w:rPr>
        <w:t xml:space="preserve">(lower fees) </w:t>
      </w:r>
      <w:r w:rsidR="00BF256A">
        <w:rPr>
          <w:rFonts w:ascii="Helvetica" w:hAnsi="Helvetica"/>
        </w:rPr>
        <w:t>and the graduates of 2015</w:t>
      </w:r>
      <w:r w:rsidR="00FE7DA3">
        <w:rPr>
          <w:rFonts w:ascii="Helvetica" w:hAnsi="Helvetica"/>
        </w:rPr>
        <w:t xml:space="preserve"> (higher fees)</w:t>
      </w:r>
      <w:r w:rsidR="00B62EB4">
        <w:rPr>
          <w:rFonts w:ascii="Helvetica" w:hAnsi="Helvetica"/>
        </w:rPr>
        <w:t>.</w:t>
      </w:r>
    </w:p>
    <w:p w14:paraId="343886DD" w14:textId="77777777" w:rsidR="00B0503D" w:rsidRPr="00B0503D" w:rsidRDefault="00B0503D" w:rsidP="00B0503D">
      <w:pPr>
        <w:spacing w:line="276" w:lineRule="auto"/>
        <w:jc w:val="both"/>
        <w:rPr>
          <w:rFonts w:ascii="Helvetica" w:hAnsi="Helvetica"/>
        </w:rPr>
      </w:pPr>
    </w:p>
    <w:p w14:paraId="3A62B1AC" w14:textId="77777777" w:rsidR="00A81EA8" w:rsidRDefault="00A81EA8" w:rsidP="00B0503D">
      <w:pPr>
        <w:spacing w:line="276" w:lineRule="auto"/>
        <w:jc w:val="both"/>
        <w:rPr>
          <w:rFonts w:ascii="Helvetica" w:hAnsi="Helvetica"/>
          <w:lang w:val="en-US"/>
        </w:rPr>
      </w:pPr>
    </w:p>
    <w:p w14:paraId="7746E17B" w14:textId="3C7651E8" w:rsidR="00A81EA8" w:rsidRPr="00A81EA8" w:rsidRDefault="00A81EA8" w:rsidP="00B0503D">
      <w:pPr>
        <w:spacing w:line="276" w:lineRule="auto"/>
        <w:jc w:val="both"/>
        <w:rPr>
          <w:rFonts w:ascii="Helvetica" w:hAnsi="Helvetica"/>
          <w:b/>
          <w:lang w:val="en-US"/>
        </w:rPr>
      </w:pPr>
      <w:r w:rsidRPr="00A81EA8">
        <w:rPr>
          <w:rFonts w:ascii="Helvetica" w:hAnsi="Helvetica"/>
          <w:b/>
          <w:lang w:val="en-US"/>
        </w:rPr>
        <w:t xml:space="preserve">Typology of </w:t>
      </w:r>
      <w:r w:rsidR="002F48AA">
        <w:rPr>
          <w:rFonts w:ascii="Helvetica" w:hAnsi="Helvetica"/>
          <w:b/>
          <w:lang w:val="en-US"/>
        </w:rPr>
        <w:t>graduate</w:t>
      </w:r>
      <w:r w:rsidRPr="00A81EA8">
        <w:rPr>
          <w:rFonts w:ascii="Helvetica" w:hAnsi="Helvetica"/>
          <w:b/>
          <w:lang w:val="en-US"/>
        </w:rPr>
        <w:t xml:space="preserve"> gap years</w:t>
      </w:r>
    </w:p>
    <w:p w14:paraId="73184812" w14:textId="77777777" w:rsidR="0025109A" w:rsidRDefault="0025109A" w:rsidP="00B0503D">
      <w:pPr>
        <w:spacing w:line="276" w:lineRule="auto"/>
        <w:jc w:val="both"/>
        <w:rPr>
          <w:rFonts w:ascii="Helvetica" w:hAnsi="Helvetica"/>
          <w:b/>
          <w:i/>
          <w:lang w:val="en-US"/>
        </w:rPr>
      </w:pPr>
    </w:p>
    <w:p w14:paraId="02546278" w14:textId="68A0EAB4" w:rsidR="00CE5E4B" w:rsidRDefault="009D6F79" w:rsidP="00B0503D">
      <w:pPr>
        <w:spacing w:line="276" w:lineRule="auto"/>
        <w:jc w:val="both"/>
        <w:rPr>
          <w:rFonts w:ascii="Helvetica" w:hAnsi="Helvetica"/>
          <w:lang w:val="en-US"/>
        </w:rPr>
      </w:pPr>
      <w:r>
        <w:rPr>
          <w:rFonts w:ascii="Helvetica" w:hAnsi="Helvetica"/>
          <w:lang w:val="en-US"/>
        </w:rPr>
        <w:t>Four types of graduate gap year emerged from the data analysis of the 2</w:t>
      </w:r>
      <w:r w:rsidR="00CE5E4B">
        <w:rPr>
          <w:rFonts w:ascii="Helvetica" w:hAnsi="Helvetica"/>
          <w:lang w:val="en-US"/>
        </w:rPr>
        <w:t>5</w:t>
      </w:r>
      <w:r>
        <w:rPr>
          <w:rFonts w:ascii="Helvetica" w:hAnsi="Helvetica"/>
          <w:lang w:val="en-US"/>
        </w:rPr>
        <w:t xml:space="preserve"> interview transcripts where students communicated their intention to take a year out immediately after graduating</w:t>
      </w:r>
      <w:r w:rsidR="00CE5E4B">
        <w:rPr>
          <w:rFonts w:ascii="Helvetica" w:hAnsi="Helvetica"/>
          <w:lang w:val="en-US"/>
        </w:rPr>
        <w:t>:</w:t>
      </w:r>
    </w:p>
    <w:p w14:paraId="09012B0C" w14:textId="29958CF8" w:rsidR="00CE5E4B" w:rsidRDefault="00CE5E4B" w:rsidP="004909C7">
      <w:pPr>
        <w:pStyle w:val="ListParagraph"/>
        <w:numPr>
          <w:ilvl w:val="0"/>
          <w:numId w:val="11"/>
        </w:numPr>
        <w:spacing w:line="276" w:lineRule="auto"/>
        <w:jc w:val="both"/>
        <w:rPr>
          <w:rFonts w:ascii="Helvetica" w:hAnsi="Helvetica"/>
          <w:lang w:val="en-US"/>
        </w:rPr>
      </w:pPr>
      <w:r>
        <w:rPr>
          <w:rFonts w:ascii="Helvetica" w:hAnsi="Helvetica"/>
          <w:lang w:val="en-US"/>
        </w:rPr>
        <w:t>A year out to build up work experience</w:t>
      </w:r>
    </w:p>
    <w:p w14:paraId="6B162B2F" w14:textId="77777777" w:rsidR="00CE5E4B" w:rsidRDefault="00CE5E4B" w:rsidP="004909C7">
      <w:pPr>
        <w:pStyle w:val="ListParagraph"/>
        <w:numPr>
          <w:ilvl w:val="0"/>
          <w:numId w:val="11"/>
        </w:numPr>
        <w:spacing w:line="276" w:lineRule="auto"/>
        <w:jc w:val="both"/>
        <w:rPr>
          <w:rFonts w:ascii="Helvetica" w:hAnsi="Helvetica"/>
          <w:lang w:val="en-US"/>
        </w:rPr>
      </w:pPr>
      <w:r>
        <w:rPr>
          <w:rFonts w:ascii="Helvetica" w:hAnsi="Helvetica"/>
          <w:lang w:val="en-US"/>
        </w:rPr>
        <w:t>A year out to work out next steps</w:t>
      </w:r>
    </w:p>
    <w:p w14:paraId="27BF2575" w14:textId="77777777" w:rsidR="00CE5E4B" w:rsidRDefault="00CE5E4B" w:rsidP="004909C7">
      <w:pPr>
        <w:pStyle w:val="ListParagraph"/>
        <w:numPr>
          <w:ilvl w:val="0"/>
          <w:numId w:val="11"/>
        </w:numPr>
        <w:spacing w:line="276" w:lineRule="auto"/>
        <w:jc w:val="both"/>
        <w:rPr>
          <w:rFonts w:ascii="Helvetica" w:hAnsi="Helvetica"/>
          <w:lang w:val="en-US"/>
        </w:rPr>
      </w:pPr>
      <w:r>
        <w:rPr>
          <w:rFonts w:ascii="Helvetica" w:hAnsi="Helvetica"/>
          <w:lang w:val="en-US"/>
        </w:rPr>
        <w:t>A year out to take a break</w:t>
      </w:r>
    </w:p>
    <w:p w14:paraId="26D7BD19" w14:textId="0058F1B5" w:rsidR="00CE5E4B" w:rsidRPr="004909C7" w:rsidRDefault="00CE5E4B" w:rsidP="004909C7">
      <w:pPr>
        <w:pStyle w:val="ListParagraph"/>
        <w:numPr>
          <w:ilvl w:val="0"/>
          <w:numId w:val="11"/>
        </w:numPr>
        <w:spacing w:line="276" w:lineRule="auto"/>
        <w:jc w:val="both"/>
        <w:rPr>
          <w:rFonts w:ascii="Helvetica" w:hAnsi="Helvetica"/>
          <w:lang w:val="en-US"/>
        </w:rPr>
      </w:pPr>
      <w:r>
        <w:rPr>
          <w:rFonts w:ascii="Helvetica" w:hAnsi="Helvetica"/>
          <w:lang w:val="en-US"/>
        </w:rPr>
        <w:t>A year out to get ‘ordinary work’ to earn money</w:t>
      </w:r>
    </w:p>
    <w:p w14:paraId="2EBF7766" w14:textId="77777777" w:rsidR="00CE5E4B" w:rsidRDefault="00CE5E4B" w:rsidP="00B0503D">
      <w:pPr>
        <w:spacing w:line="276" w:lineRule="auto"/>
        <w:jc w:val="both"/>
        <w:rPr>
          <w:rFonts w:ascii="Helvetica" w:hAnsi="Helvetica"/>
          <w:lang w:val="en-US"/>
        </w:rPr>
      </w:pPr>
    </w:p>
    <w:p w14:paraId="03269D2C" w14:textId="229511A8" w:rsidR="009D5C46" w:rsidRDefault="009D6F79" w:rsidP="00B0503D">
      <w:pPr>
        <w:spacing w:line="276" w:lineRule="auto"/>
        <w:jc w:val="both"/>
        <w:rPr>
          <w:rFonts w:ascii="Helvetica" w:hAnsi="Helvetica"/>
          <w:lang w:val="en-US"/>
        </w:rPr>
      </w:pPr>
      <w:r>
        <w:rPr>
          <w:rFonts w:ascii="Helvetica" w:hAnsi="Helvetica"/>
          <w:lang w:val="en-US"/>
        </w:rPr>
        <w:t xml:space="preserve">Interestingly, only one of these categories was experienced by graduates of both 2014 and 2015 (taking a year out to build up work experience). Taking a graduate gap year to work out next steps was only experienced by those graduating in 2014, and the final two categories were only experienced by those graduating in 2015 (to take a break, and to get an ordinary job to save money). </w:t>
      </w:r>
      <w:r w:rsidR="00CE5E4B">
        <w:rPr>
          <w:rFonts w:ascii="Helvetica" w:hAnsi="Helvetica"/>
          <w:lang w:val="en-US"/>
        </w:rPr>
        <w:t xml:space="preserve">Table 2 below demonstrates </w:t>
      </w:r>
      <w:r w:rsidR="00DE2F53">
        <w:rPr>
          <w:rFonts w:ascii="Helvetica" w:hAnsi="Helvetica"/>
          <w:lang w:val="en-US"/>
        </w:rPr>
        <w:t>the types of graduate gap year taken by different students.</w:t>
      </w:r>
    </w:p>
    <w:p w14:paraId="0E9F4508" w14:textId="17C2EDC6" w:rsidR="009D5C46" w:rsidRDefault="009D5C46" w:rsidP="009D5C46">
      <w:pPr>
        <w:spacing w:line="276" w:lineRule="auto"/>
        <w:jc w:val="both"/>
        <w:rPr>
          <w:rFonts w:ascii="Helvetica" w:hAnsi="Helvetica"/>
          <w:lang w:val="en-US"/>
        </w:rPr>
      </w:pPr>
    </w:p>
    <w:tbl>
      <w:tblPr>
        <w:tblStyle w:val="TableGrid"/>
        <w:tblW w:w="0" w:type="auto"/>
        <w:tblLook w:val="04A0" w:firstRow="1" w:lastRow="0" w:firstColumn="1" w:lastColumn="0" w:noHBand="0" w:noVBand="1"/>
      </w:tblPr>
      <w:tblGrid>
        <w:gridCol w:w="1628"/>
        <w:gridCol w:w="1457"/>
        <w:gridCol w:w="1814"/>
        <w:gridCol w:w="2091"/>
        <w:gridCol w:w="1526"/>
      </w:tblGrid>
      <w:tr w:rsidR="00F15582" w14:paraId="4B54981A" w14:textId="77777777" w:rsidTr="00F15582">
        <w:tc>
          <w:tcPr>
            <w:tcW w:w="8516" w:type="dxa"/>
            <w:gridSpan w:val="5"/>
          </w:tcPr>
          <w:p w14:paraId="15B49213" w14:textId="2C287AE1" w:rsidR="00F15582" w:rsidRPr="00F15582" w:rsidRDefault="00F15582" w:rsidP="009D5C46">
            <w:pPr>
              <w:spacing w:line="276" w:lineRule="auto"/>
              <w:rPr>
                <w:rFonts w:ascii="Helvetica" w:hAnsi="Helvetica"/>
                <w:b/>
                <w:lang w:val="en-US"/>
              </w:rPr>
            </w:pPr>
            <w:r w:rsidRPr="00F15582">
              <w:rPr>
                <w:rFonts w:ascii="Helvetica" w:hAnsi="Helvetica"/>
                <w:b/>
                <w:lang w:val="en-US"/>
              </w:rPr>
              <w:t>Table 2: Type of graduate gap year by participant</w:t>
            </w:r>
          </w:p>
        </w:tc>
      </w:tr>
      <w:tr w:rsidR="009D5C46" w14:paraId="3D9BA11E" w14:textId="77777777" w:rsidTr="007227A3">
        <w:tc>
          <w:tcPr>
            <w:tcW w:w="1628" w:type="dxa"/>
          </w:tcPr>
          <w:p w14:paraId="0F27FBE2"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Type of graduate gap year</w:t>
            </w:r>
          </w:p>
        </w:tc>
        <w:tc>
          <w:tcPr>
            <w:tcW w:w="1457" w:type="dxa"/>
          </w:tcPr>
          <w:p w14:paraId="0BF6B484"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Year of graduation</w:t>
            </w:r>
          </w:p>
        </w:tc>
        <w:tc>
          <w:tcPr>
            <w:tcW w:w="1814" w:type="dxa"/>
          </w:tcPr>
          <w:p w14:paraId="1277F443"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Type of HEI</w:t>
            </w:r>
          </w:p>
        </w:tc>
        <w:tc>
          <w:tcPr>
            <w:tcW w:w="2091" w:type="dxa"/>
          </w:tcPr>
          <w:p w14:paraId="1EE26CAF"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Socio-economic background</w:t>
            </w:r>
          </w:p>
        </w:tc>
        <w:tc>
          <w:tcPr>
            <w:tcW w:w="1526" w:type="dxa"/>
          </w:tcPr>
          <w:p w14:paraId="6F702DD8"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Graduate gap year takers</w:t>
            </w:r>
          </w:p>
        </w:tc>
      </w:tr>
      <w:tr w:rsidR="009D5C46" w14:paraId="0B064F5E" w14:textId="77777777" w:rsidTr="007227A3">
        <w:tc>
          <w:tcPr>
            <w:tcW w:w="1628" w:type="dxa"/>
            <w:vMerge w:val="restart"/>
          </w:tcPr>
          <w:p w14:paraId="1680DA3C"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A year out to build up experiences</w:t>
            </w:r>
          </w:p>
        </w:tc>
        <w:tc>
          <w:tcPr>
            <w:tcW w:w="1457" w:type="dxa"/>
            <w:vMerge w:val="restart"/>
          </w:tcPr>
          <w:p w14:paraId="6840FD92" w14:textId="77777777" w:rsidR="009D5C46" w:rsidRDefault="009D5C46" w:rsidP="009D5C46">
            <w:pPr>
              <w:spacing w:line="276" w:lineRule="auto"/>
              <w:rPr>
                <w:rFonts w:ascii="Helvetica" w:hAnsi="Helvetica"/>
                <w:lang w:val="en-US"/>
              </w:rPr>
            </w:pPr>
            <w:r>
              <w:rPr>
                <w:rFonts w:ascii="Helvetica" w:hAnsi="Helvetica"/>
                <w:lang w:val="en-US"/>
              </w:rPr>
              <w:t>2014</w:t>
            </w:r>
          </w:p>
        </w:tc>
        <w:tc>
          <w:tcPr>
            <w:tcW w:w="1814" w:type="dxa"/>
          </w:tcPr>
          <w:p w14:paraId="204CB8B6" w14:textId="77777777" w:rsidR="009D5C46" w:rsidRDefault="009D5C46" w:rsidP="009D5C46">
            <w:pPr>
              <w:spacing w:line="276" w:lineRule="auto"/>
              <w:rPr>
                <w:rFonts w:ascii="Helvetica" w:hAnsi="Helvetica"/>
                <w:lang w:val="en-US"/>
              </w:rPr>
            </w:pPr>
            <w:r>
              <w:rPr>
                <w:rFonts w:ascii="Helvetica" w:hAnsi="Helvetica"/>
                <w:lang w:val="en-US"/>
              </w:rPr>
              <w:t>Russell Group</w:t>
            </w:r>
          </w:p>
        </w:tc>
        <w:tc>
          <w:tcPr>
            <w:tcW w:w="2091" w:type="dxa"/>
          </w:tcPr>
          <w:p w14:paraId="3A56DC75"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31545324" w14:textId="77777777" w:rsidR="009D5C46" w:rsidRDefault="009D5C46" w:rsidP="009D5C46">
            <w:pPr>
              <w:spacing w:line="276" w:lineRule="auto"/>
              <w:rPr>
                <w:rFonts w:ascii="Helvetica" w:hAnsi="Helvetica"/>
                <w:lang w:val="en-US"/>
              </w:rPr>
            </w:pPr>
            <w:r>
              <w:rPr>
                <w:rFonts w:ascii="Helvetica" w:hAnsi="Helvetica"/>
                <w:lang w:val="en-US"/>
              </w:rPr>
              <w:t>Peter</w:t>
            </w:r>
          </w:p>
        </w:tc>
      </w:tr>
      <w:tr w:rsidR="009D5C46" w14:paraId="71F2FDB3" w14:textId="77777777" w:rsidTr="007227A3">
        <w:tc>
          <w:tcPr>
            <w:tcW w:w="1628" w:type="dxa"/>
            <w:vMerge/>
          </w:tcPr>
          <w:p w14:paraId="0C1F80F9" w14:textId="77777777" w:rsidR="009D5C46" w:rsidRPr="003A20E5" w:rsidRDefault="009D5C46" w:rsidP="009D5C46">
            <w:pPr>
              <w:spacing w:line="276" w:lineRule="auto"/>
              <w:rPr>
                <w:rFonts w:ascii="Helvetica" w:hAnsi="Helvetica"/>
                <w:b/>
                <w:lang w:val="en-US"/>
              </w:rPr>
            </w:pPr>
          </w:p>
        </w:tc>
        <w:tc>
          <w:tcPr>
            <w:tcW w:w="1457" w:type="dxa"/>
            <w:vMerge/>
          </w:tcPr>
          <w:p w14:paraId="2FA3904C" w14:textId="77777777" w:rsidR="009D5C46" w:rsidRDefault="009D5C46" w:rsidP="009D5C46">
            <w:pPr>
              <w:spacing w:line="276" w:lineRule="auto"/>
              <w:rPr>
                <w:rFonts w:ascii="Helvetica" w:hAnsi="Helvetica"/>
                <w:lang w:val="en-US"/>
              </w:rPr>
            </w:pPr>
          </w:p>
        </w:tc>
        <w:tc>
          <w:tcPr>
            <w:tcW w:w="1814" w:type="dxa"/>
            <w:vMerge w:val="restart"/>
          </w:tcPr>
          <w:p w14:paraId="30E38429" w14:textId="77777777" w:rsidR="009D5C46" w:rsidRDefault="009D5C46" w:rsidP="009D5C46">
            <w:pPr>
              <w:spacing w:line="276" w:lineRule="auto"/>
              <w:rPr>
                <w:rFonts w:ascii="Helvetica" w:hAnsi="Helvetica"/>
                <w:lang w:val="en-US"/>
              </w:rPr>
            </w:pPr>
            <w:r>
              <w:rPr>
                <w:rFonts w:ascii="Helvetica" w:hAnsi="Helvetica"/>
                <w:lang w:val="en-US"/>
              </w:rPr>
              <w:t>Post-1992</w:t>
            </w:r>
          </w:p>
        </w:tc>
        <w:tc>
          <w:tcPr>
            <w:tcW w:w="2091" w:type="dxa"/>
            <w:vMerge w:val="restart"/>
          </w:tcPr>
          <w:p w14:paraId="2351D67D"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159E38BA" w14:textId="77777777" w:rsidR="009D5C46" w:rsidRDefault="009D5C46" w:rsidP="009D5C46">
            <w:pPr>
              <w:spacing w:line="276" w:lineRule="auto"/>
              <w:rPr>
                <w:rFonts w:ascii="Helvetica" w:hAnsi="Helvetica"/>
                <w:lang w:val="en-US"/>
              </w:rPr>
            </w:pPr>
            <w:r>
              <w:rPr>
                <w:rFonts w:ascii="Helvetica" w:hAnsi="Helvetica"/>
                <w:lang w:val="en-US"/>
              </w:rPr>
              <w:t>David</w:t>
            </w:r>
          </w:p>
        </w:tc>
      </w:tr>
      <w:tr w:rsidR="009D5C46" w14:paraId="18494676" w14:textId="77777777" w:rsidTr="007227A3">
        <w:tc>
          <w:tcPr>
            <w:tcW w:w="1628" w:type="dxa"/>
            <w:vMerge/>
          </w:tcPr>
          <w:p w14:paraId="11FBBCD5" w14:textId="77777777" w:rsidR="009D5C46" w:rsidRPr="003A20E5" w:rsidRDefault="009D5C46" w:rsidP="009D5C46">
            <w:pPr>
              <w:spacing w:line="276" w:lineRule="auto"/>
              <w:rPr>
                <w:rFonts w:ascii="Helvetica" w:hAnsi="Helvetica"/>
                <w:b/>
                <w:lang w:val="en-US"/>
              </w:rPr>
            </w:pPr>
          </w:p>
        </w:tc>
        <w:tc>
          <w:tcPr>
            <w:tcW w:w="1457" w:type="dxa"/>
            <w:vMerge/>
          </w:tcPr>
          <w:p w14:paraId="0187F426" w14:textId="77777777" w:rsidR="009D5C46" w:rsidRDefault="009D5C46" w:rsidP="009D5C46">
            <w:pPr>
              <w:spacing w:line="276" w:lineRule="auto"/>
              <w:rPr>
                <w:rFonts w:ascii="Helvetica" w:hAnsi="Helvetica"/>
                <w:lang w:val="en-US"/>
              </w:rPr>
            </w:pPr>
          </w:p>
        </w:tc>
        <w:tc>
          <w:tcPr>
            <w:tcW w:w="1814" w:type="dxa"/>
            <w:vMerge/>
          </w:tcPr>
          <w:p w14:paraId="57AE1531" w14:textId="77777777" w:rsidR="009D5C46" w:rsidRDefault="009D5C46" w:rsidP="009D5C46">
            <w:pPr>
              <w:spacing w:line="276" w:lineRule="auto"/>
              <w:rPr>
                <w:rFonts w:ascii="Helvetica" w:hAnsi="Helvetica"/>
                <w:lang w:val="en-US"/>
              </w:rPr>
            </w:pPr>
          </w:p>
        </w:tc>
        <w:tc>
          <w:tcPr>
            <w:tcW w:w="2091" w:type="dxa"/>
            <w:vMerge/>
          </w:tcPr>
          <w:p w14:paraId="4C6FEC44" w14:textId="77777777" w:rsidR="009D5C46" w:rsidRDefault="009D5C46" w:rsidP="009D5C46">
            <w:pPr>
              <w:spacing w:line="276" w:lineRule="auto"/>
              <w:rPr>
                <w:rFonts w:ascii="Helvetica" w:hAnsi="Helvetica"/>
                <w:lang w:val="en-US"/>
              </w:rPr>
            </w:pPr>
          </w:p>
        </w:tc>
        <w:tc>
          <w:tcPr>
            <w:tcW w:w="1526" w:type="dxa"/>
          </w:tcPr>
          <w:p w14:paraId="7CC7CE7B" w14:textId="77777777" w:rsidR="009D5C46" w:rsidRDefault="009D5C46" w:rsidP="009D5C46">
            <w:pPr>
              <w:spacing w:line="276" w:lineRule="auto"/>
              <w:rPr>
                <w:rFonts w:ascii="Helvetica" w:hAnsi="Helvetica"/>
                <w:lang w:val="en-US"/>
              </w:rPr>
            </w:pPr>
            <w:r>
              <w:rPr>
                <w:rFonts w:ascii="Helvetica" w:hAnsi="Helvetica"/>
                <w:lang w:val="en-US"/>
              </w:rPr>
              <w:t>Olly</w:t>
            </w:r>
          </w:p>
        </w:tc>
      </w:tr>
      <w:tr w:rsidR="009D5C46" w14:paraId="5995F5A8" w14:textId="77777777" w:rsidTr="007227A3">
        <w:tc>
          <w:tcPr>
            <w:tcW w:w="1628" w:type="dxa"/>
            <w:vMerge/>
          </w:tcPr>
          <w:p w14:paraId="4E20E76C" w14:textId="77777777" w:rsidR="009D5C46" w:rsidRPr="003A20E5" w:rsidRDefault="009D5C46" w:rsidP="009D5C46">
            <w:pPr>
              <w:spacing w:line="276" w:lineRule="auto"/>
              <w:rPr>
                <w:rFonts w:ascii="Helvetica" w:hAnsi="Helvetica"/>
                <w:b/>
                <w:lang w:val="en-US"/>
              </w:rPr>
            </w:pPr>
          </w:p>
        </w:tc>
        <w:tc>
          <w:tcPr>
            <w:tcW w:w="1457" w:type="dxa"/>
            <w:vMerge w:val="restart"/>
          </w:tcPr>
          <w:p w14:paraId="5F5AE9CE" w14:textId="77777777" w:rsidR="009D5C46" w:rsidRDefault="009D5C46" w:rsidP="009D5C46">
            <w:pPr>
              <w:spacing w:line="276" w:lineRule="auto"/>
              <w:rPr>
                <w:rFonts w:ascii="Helvetica" w:hAnsi="Helvetica"/>
                <w:lang w:val="en-US"/>
              </w:rPr>
            </w:pPr>
            <w:r>
              <w:rPr>
                <w:rFonts w:ascii="Helvetica" w:hAnsi="Helvetica"/>
                <w:lang w:val="en-US"/>
              </w:rPr>
              <w:t>2015</w:t>
            </w:r>
          </w:p>
        </w:tc>
        <w:tc>
          <w:tcPr>
            <w:tcW w:w="1814" w:type="dxa"/>
            <w:vMerge w:val="restart"/>
          </w:tcPr>
          <w:p w14:paraId="3DC8804B" w14:textId="77777777" w:rsidR="009D5C46" w:rsidRDefault="009D5C46" w:rsidP="009D5C46">
            <w:pPr>
              <w:spacing w:line="276" w:lineRule="auto"/>
              <w:rPr>
                <w:rFonts w:ascii="Helvetica" w:hAnsi="Helvetica"/>
                <w:lang w:val="en-US"/>
              </w:rPr>
            </w:pPr>
            <w:r>
              <w:rPr>
                <w:rFonts w:ascii="Helvetica" w:hAnsi="Helvetica"/>
                <w:lang w:val="en-US"/>
              </w:rPr>
              <w:t>Russell Group</w:t>
            </w:r>
          </w:p>
        </w:tc>
        <w:tc>
          <w:tcPr>
            <w:tcW w:w="2091" w:type="dxa"/>
          </w:tcPr>
          <w:p w14:paraId="4FEE8BC5"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0D74EC32" w14:textId="77777777" w:rsidR="009D5C46" w:rsidRDefault="009D5C46" w:rsidP="009D5C46">
            <w:pPr>
              <w:spacing w:line="276" w:lineRule="auto"/>
              <w:rPr>
                <w:rFonts w:ascii="Helvetica" w:hAnsi="Helvetica"/>
                <w:lang w:val="en-US"/>
              </w:rPr>
            </w:pPr>
            <w:r>
              <w:rPr>
                <w:rFonts w:ascii="Helvetica" w:hAnsi="Helvetica"/>
                <w:lang w:val="en-US"/>
              </w:rPr>
              <w:t>Annabel</w:t>
            </w:r>
          </w:p>
        </w:tc>
      </w:tr>
      <w:tr w:rsidR="009D5C46" w14:paraId="42B337AE" w14:textId="77777777" w:rsidTr="007227A3">
        <w:tc>
          <w:tcPr>
            <w:tcW w:w="1628" w:type="dxa"/>
            <w:vMerge/>
          </w:tcPr>
          <w:p w14:paraId="68FE1069" w14:textId="77777777" w:rsidR="009D5C46" w:rsidRPr="003A20E5" w:rsidRDefault="009D5C46" w:rsidP="009D5C46">
            <w:pPr>
              <w:spacing w:line="276" w:lineRule="auto"/>
              <w:rPr>
                <w:rFonts w:ascii="Helvetica" w:hAnsi="Helvetica"/>
                <w:b/>
                <w:lang w:val="en-US"/>
              </w:rPr>
            </w:pPr>
          </w:p>
        </w:tc>
        <w:tc>
          <w:tcPr>
            <w:tcW w:w="1457" w:type="dxa"/>
            <w:vMerge/>
          </w:tcPr>
          <w:p w14:paraId="75C878F0" w14:textId="77777777" w:rsidR="009D5C46" w:rsidRDefault="009D5C46" w:rsidP="009D5C46">
            <w:pPr>
              <w:spacing w:line="276" w:lineRule="auto"/>
              <w:rPr>
                <w:rFonts w:ascii="Helvetica" w:hAnsi="Helvetica"/>
                <w:lang w:val="en-US"/>
              </w:rPr>
            </w:pPr>
          </w:p>
        </w:tc>
        <w:tc>
          <w:tcPr>
            <w:tcW w:w="1814" w:type="dxa"/>
            <w:vMerge/>
          </w:tcPr>
          <w:p w14:paraId="26D48580" w14:textId="77777777" w:rsidR="009D5C46" w:rsidRDefault="009D5C46" w:rsidP="009D5C46">
            <w:pPr>
              <w:spacing w:line="276" w:lineRule="auto"/>
              <w:rPr>
                <w:rFonts w:ascii="Helvetica" w:hAnsi="Helvetica"/>
                <w:lang w:val="en-US"/>
              </w:rPr>
            </w:pPr>
          </w:p>
        </w:tc>
        <w:tc>
          <w:tcPr>
            <w:tcW w:w="2091" w:type="dxa"/>
            <w:vMerge w:val="restart"/>
          </w:tcPr>
          <w:p w14:paraId="42125225"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53E63CB1" w14:textId="77777777" w:rsidR="009D5C46" w:rsidRDefault="009D5C46" w:rsidP="009D5C46">
            <w:pPr>
              <w:spacing w:line="276" w:lineRule="auto"/>
              <w:rPr>
                <w:rFonts w:ascii="Helvetica" w:hAnsi="Helvetica"/>
                <w:lang w:val="en-US"/>
              </w:rPr>
            </w:pPr>
            <w:r>
              <w:rPr>
                <w:rFonts w:ascii="Helvetica" w:hAnsi="Helvetica"/>
                <w:lang w:val="en-US"/>
              </w:rPr>
              <w:t>Francesca</w:t>
            </w:r>
          </w:p>
        </w:tc>
      </w:tr>
      <w:tr w:rsidR="009D5C46" w14:paraId="5DF1E9A4" w14:textId="77777777" w:rsidTr="007227A3">
        <w:tc>
          <w:tcPr>
            <w:tcW w:w="1628" w:type="dxa"/>
            <w:vMerge/>
          </w:tcPr>
          <w:p w14:paraId="706BDED5" w14:textId="77777777" w:rsidR="009D5C46" w:rsidRPr="003A20E5" w:rsidRDefault="009D5C46" w:rsidP="009D5C46">
            <w:pPr>
              <w:spacing w:line="276" w:lineRule="auto"/>
              <w:rPr>
                <w:rFonts w:ascii="Helvetica" w:hAnsi="Helvetica"/>
                <w:b/>
                <w:lang w:val="en-US"/>
              </w:rPr>
            </w:pPr>
          </w:p>
        </w:tc>
        <w:tc>
          <w:tcPr>
            <w:tcW w:w="1457" w:type="dxa"/>
            <w:vMerge/>
          </w:tcPr>
          <w:p w14:paraId="75507C4C" w14:textId="77777777" w:rsidR="009D5C46" w:rsidRDefault="009D5C46" w:rsidP="009D5C46">
            <w:pPr>
              <w:spacing w:line="276" w:lineRule="auto"/>
              <w:rPr>
                <w:rFonts w:ascii="Helvetica" w:hAnsi="Helvetica"/>
                <w:lang w:val="en-US"/>
              </w:rPr>
            </w:pPr>
          </w:p>
        </w:tc>
        <w:tc>
          <w:tcPr>
            <w:tcW w:w="1814" w:type="dxa"/>
            <w:vMerge/>
          </w:tcPr>
          <w:p w14:paraId="2BBD779B" w14:textId="77777777" w:rsidR="009D5C46" w:rsidRDefault="009D5C46" w:rsidP="009D5C46">
            <w:pPr>
              <w:spacing w:line="276" w:lineRule="auto"/>
              <w:rPr>
                <w:rFonts w:ascii="Helvetica" w:hAnsi="Helvetica"/>
                <w:lang w:val="en-US"/>
              </w:rPr>
            </w:pPr>
          </w:p>
        </w:tc>
        <w:tc>
          <w:tcPr>
            <w:tcW w:w="2091" w:type="dxa"/>
            <w:vMerge/>
          </w:tcPr>
          <w:p w14:paraId="1EA242DD" w14:textId="77777777" w:rsidR="009D5C46" w:rsidRDefault="009D5C46" w:rsidP="009D5C46">
            <w:pPr>
              <w:spacing w:line="276" w:lineRule="auto"/>
              <w:rPr>
                <w:rFonts w:ascii="Helvetica" w:hAnsi="Helvetica"/>
                <w:lang w:val="en-US"/>
              </w:rPr>
            </w:pPr>
          </w:p>
        </w:tc>
        <w:tc>
          <w:tcPr>
            <w:tcW w:w="1526" w:type="dxa"/>
          </w:tcPr>
          <w:p w14:paraId="51EBCBAF" w14:textId="77777777" w:rsidR="009D5C46" w:rsidRDefault="009D5C46" w:rsidP="009D5C46">
            <w:pPr>
              <w:spacing w:line="276" w:lineRule="auto"/>
              <w:rPr>
                <w:rFonts w:ascii="Helvetica" w:hAnsi="Helvetica"/>
                <w:lang w:val="en-US"/>
              </w:rPr>
            </w:pPr>
            <w:r>
              <w:rPr>
                <w:rFonts w:ascii="Helvetica" w:hAnsi="Helvetica"/>
                <w:lang w:val="en-US"/>
              </w:rPr>
              <w:t>Vazir</w:t>
            </w:r>
          </w:p>
        </w:tc>
      </w:tr>
      <w:tr w:rsidR="009D5C46" w14:paraId="279C445A" w14:textId="77777777" w:rsidTr="007227A3">
        <w:tc>
          <w:tcPr>
            <w:tcW w:w="1628" w:type="dxa"/>
            <w:vMerge/>
          </w:tcPr>
          <w:p w14:paraId="249D1617" w14:textId="77777777" w:rsidR="009D5C46" w:rsidRPr="003A20E5" w:rsidRDefault="009D5C46" w:rsidP="009D5C46">
            <w:pPr>
              <w:spacing w:line="276" w:lineRule="auto"/>
              <w:rPr>
                <w:rFonts w:ascii="Helvetica" w:hAnsi="Helvetica"/>
                <w:b/>
                <w:lang w:val="en-US"/>
              </w:rPr>
            </w:pPr>
          </w:p>
        </w:tc>
        <w:tc>
          <w:tcPr>
            <w:tcW w:w="1457" w:type="dxa"/>
            <w:vMerge/>
          </w:tcPr>
          <w:p w14:paraId="39653E35" w14:textId="77777777" w:rsidR="009D5C46" w:rsidRDefault="009D5C46" w:rsidP="009D5C46">
            <w:pPr>
              <w:spacing w:line="276" w:lineRule="auto"/>
              <w:rPr>
                <w:rFonts w:ascii="Helvetica" w:hAnsi="Helvetica"/>
                <w:lang w:val="en-US"/>
              </w:rPr>
            </w:pPr>
          </w:p>
        </w:tc>
        <w:tc>
          <w:tcPr>
            <w:tcW w:w="1814" w:type="dxa"/>
          </w:tcPr>
          <w:p w14:paraId="7C104686" w14:textId="77777777" w:rsidR="009D5C46" w:rsidRDefault="009D5C46" w:rsidP="009D5C46">
            <w:pPr>
              <w:spacing w:line="276" w:lineRule="auto"/>
              <w:rPr>
                <w:rFonts w:ascii="Helvetica" w:hAnsi="Helvetica"/>
                <w:lang w:val="en-US"/>
              </w:rPr>
            </w:pPr>
            <w:r>
              <w:rPr>
                <w:rFonts w:ascii="Helvetica" w:hAnsi="Helvetica"/>
                <w:lang w:val="en-US"/>
              </w:rPr>
              <w:t>Post-1992</w:t>
            </w:r>
          </w:p>
        </w:tc>
        <w:tc>
          <w:tcPr>
            <w:tcW w:w="2091" w:type="dxa"/>
          </w:tcPr>
          <w:p w14:paraId="176E89A1"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06A29E36" w14:textId="77777777" w:rsidR="009D5C46" w:rsidRDefault="009D5C46" w:rsidP="009D5C46">
            <w:pPr>
              <w:spacing w:line="276" w:lineRule="auto"/>
              <w:rPr>
                <w:rFonts w:ascii="Helvetica" w:hAnsi="Helvetica"/>
                <w:lang w:val="en-US"/>
              </w:rPr>
            </w:pPr>
            <w:r>
              <w:rPr>
                <w:rFonts w:ascii="Helvetica" w:hAnsi="Helvetica"/>
                <w:lang w:val="en-US"/>
              </w:rPr>
              <w:t>Annie</w:t>
            </w:r>
          </w:p>
        </w:tc>
      </w:tr>
      <w:tr w:rsidR="009D5C46" w14:paraId="36268DDB" w14:textId="77777777" w:rsidTr="007227A3">
        <w:tc>
          <w:tcPr>
            <w:tcW w:w="1628" w:type="dxa"/>
            <w:vMerge w:val="restart"/>
          </w:tcPr>
          <w:p w14:paraId="0BA3359E"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A year out to work out next steps</w:t>
            </w:r>
          </w:p>
        </w:tc>
        <w:tc>
          <w:tcPr>
            <w:tcW w:w="1457" w:type="dxa"/>
            <w:vMerge w:val="restart"/>
          </w:tcPr>
          <w:p w14:paraId="0F4C9690" w14:textId="77777777" w:rsidR="009D5C46" w:rsidRDefault="009D5C46" w:rsidP="009D5C46">
            <w:pPr>
              <w:spacing w:line="276" w:lineRule="auto"/>
              <w:rPr>
                <w:rFonts w:ascii="Helvetica" w:hAnsi="Helvetica"/>
                <w:lang w:val="en-US"/>
              </w:rPr>
            </w:pPr>
            <w:r>
              <w:rPr>
                <w:rFonts w:ascii="Helvetica" w:hAnsi="Helvetica"/>
                <w:lang w:val="en-US"/>
              </w:rPr>
              <w:t>2014</w:t>
            </w:r>
          </w:p>
        </w:tc>
        <w:tc>
          <w:tcPr>
            <w:tcW w:w="1814" w:type="dxa"/>
            <w:vMerge w:val="restart"/>
          </w:tcPr>
          <w:p w14:paraId="0838D394" w14:textId="77777777" w:rsidR="009D5C46" w:rsidRDefault="009D5C46" w:rsidP="009D5C46">
            <w:pPr>
              <w:spacing w:line="276" w:lineRule="auto"/>
              <w:rPr>
                <w:rFonts w:ascii="Helvetica" w:hAnsi="Helvetica"/>
                <w:lang w:val="en-US"/>
              </w:rPr>
            </w:pPr>
            <w:r>
              <w:rPr>
                <w:rFonts w:ascii="Helvetica" w:hAnsi="Helvetica"/>
                <w:lang w:val="en-US"/>
              </w:rPr>
              <w:t>Russell Group</w:t>
            </w:r>
          </w:p>
        </w:tc>
        <w:tc>
          <w:tcPr>
            <w:tcW w:w="2091" w:type="dxa"/>
          </w:tcPr>
          <w:p w14:paraId="07199043"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7AC0165B" w14:textId="77777777" w:rsidR="009D5C46" w:rsidRDefault="009D5C46" w:rsidP="009D5C46">
            <w:pPr>
              <w:spacing w:line="276" w:lineRule="auto"/>
              <w:rPr>
                <w:rFonts w:ascii="Helvetica" w:hAnsi="Helvetica"/>
                <w:lang w:val="en-US"/>
              </w:rPr>
            </w:pPr>
            <w:r>
              <w:rPr>
                <w:rFonts w:ascii="Helvetica" w:hAnsi="Helvetica"/>
                <w:lang w:val="en-US"/>
              </w:rPr>
              <w:t>Nia</w:t>
            </w:r>
          </w:p>
        </w:tc>
      </w:tr>
      <w:tr w:rsidR="009D5C46" w14:paraId="2185A4AF" w14:textId="77777777" w:rsidTr="007227A3">
        <w:tc>
          <w:tcPr>
            <w:tcW w:w="1628" w:type="dxa"/>
            <w:vMerge/>
          </w:tcPr>
          <w:p w14:paraId="001CDA83" w14:textId="77777777" w:rsidR="009D5C46" w:rsidRPr="003A20E5" w:rsidRDefault="009D5C46" w:rsidP="009D5C46">
            <w:pPr>
              <w:spacing w:line="276" w:lineRule="auto"/>
              <w:rPr>
                <w:rFonts w:ascii="Helvetica" w:hAnsi="Helvetica"/>
                <w:b/>
                <w:lang w:val="en-US"/>
              </w:rPr>
            </w:pPr>
          </w:p>
        </w:tc>
        <w:tc>
          <w:tcPr>
            <w:tcW w:w="1457" w:type="dxa"/>
            <w:vMerge/>
          </w:tcPr>
          <w:p w14:paraId="6DF77FCC" w14:textId="77777777" w:rsidR="009D5C46" w:rsidRDefault="009D5C46" w:rsidP="009D5C46">
            <w:pPr>
              <w:spacing w:line="276" w:lineRule="auto"/>
              <w:rPr>
                <w:rFonts w:ascii="Helvetica" w:hAnsi="Helvetica"/>
                <w:lang w:val="en-US"/>
              </w:rPr>
            </w:pPr>
          </w:p>
        </w:tc>
        <w:tc>
          <w:tcPr>
            <w:tcW w:w="1814" w:type="dxa"/>
            <w:vMerge/>
          </w:tcPr>
          <w:p w14:paraId="4AEE9565" w14:textId="77777777" w:rsidR="009D5C46" w:rsidRDefault="009D5C46" w:rsidP="009D5C46">
            <w:pPr>
              <w:spacing w:line="276" w:lineRule="auto"/>
              <w:rPr>
                <w:rFonts w:ascii="Helvetica" w:hAnsi="Helvetica"/>
                <w:lang w:val="en-US"/>
              </w:rPr>
            </w:pPr>
          </w:p>
        </w:tc>
        <w:tc>
          <w:tcPr>
            <w:tcW w:w="2091" w:type="dxa"/>
            <w:vMerge w:val="restart"/>
          </w:tcPr>
          <w:p w14:paraId="3DE6154A"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3ECB8A4E" w14:textId="77777777" w:rsidR="009D5C46" w:rsidRDefault="009D5C46" w:rsidP="009D5C46">
            <w:pPr>
              <w:spacing w:line="276" w:lineRule="auto"/>
              <w:rPr>
                <w:rFonts w:ascii="Helvetica" w:hAnsi="Helvetica"/>
                <w:lang w:val="en-US"/>
              </w:rPr>
            </w:pPr>
            <w:r>
              <w:rPr>
                <w:rFonts w:ascii="Helvetica" w:hAnsi="Helvetica"/>
                <w:lang w:val="en-US"/>
              </w:rPr>
              <w:t>Munnas</w:t>
            </w:r>
          </w:p>
        </w:tc>
      </w:tr>
      <w:tr w:rsidR="009D5C46" w14:paraId="490B5932" w14:textId="77777777" w:rsidTr="007227A3">
        <w:tc>
          <w:tcPr>
            <w:tcW w:w="1628" w:type="dxa"/>
            <w:vMerge/>
          </w:tcPr>
          <w:p w14:paraId="1F0B98F4" w14:textId="77777777" w:rsidR="009D5C46" w:rsidRPr="003A20E5" w:rsidRDefault="009D5C46" w:rsidP="009D5C46">
            <w:pPr>
              <w:spacing w:line="276" w:lineRule="auto"/>
              <w:rPr>
                <w:rFonts w:ascii="Helvetica" w:hAnsi="Helvetica"/>
                <w:b/>
                <w:lang w:val="en-US"/>
              </w:rPr>
            </w:pPr>
          </w:p>
        </w:tc>
        <w:tc>
          <w:tcPr>
            <w:tcW w:w="1457" w:type="dxa"/>
            <w:vMerge/>
          </w:tcPr>
          <w:p w14:paraId="1AF79824" w14:textId="77777777" w:rsidR="009D5C46" w:rsidRDefault="009D5C46" w:rsidP="009D5C46">
            <w:pPr>
              <w:spacing w:line="276" w:lineRule="auto"/>
              <w:rPr>
                <w:rFonts w:ascii="Helvetica" w:hAnsi="Helvetica"/>
                <w:lang w:val="en-US"/>
              </w:rPr>
            </w:pPr>
          </w:p>
        </w:tc>
        <w:tc>
          <w:tcPr>
            <w:tcW w:w="1814" w:type="dxa"/>
            <w:vMerge/>
          </w:tcPr>
          <w:p w14:paraId="27946C34" w14:textId="77777777" w:rsidR="009D5C46" w:rsidRDefault="009D5C46" w:rsidP="009D5C46">
            <w:pPr>
              <w:spacing w:line="276" w:lineRule="auto"/>
              <w:rPr>
                <w:rFonts w:ascii="Helvetica" w:hAnsi="Helvetica"/>
                <w:lang w:val="en-US"/>
              </w:rPr>
            </w:pPr>
          </w:p>
        </w:tc>
        <w:tc>
          <w:tcPr>
            <w:tcW w:w="2091" w:type="dxa"/>
            <w:vMerge/>
          </w:tcPr>
          <w:p w14:paraId="0407D98A" w14:textId="77777777" w:rsidR="009D5C46" w:rsidRDefault="009D5C46" w:rsidP="009D5C46">
            <w:pPr>
              <w:spacing w:line="276" w:lineRule="auto"/>
              <w:rPr>
                <w:rFonts w:ascii="Helvetica" w:hAnsi="Helvetica"/>
                <w:lang w:val="en-US"/>
              </w:rPr>
            </w:pPr>
          </w:p>
        </w:tc>
        <w:tc>
          <w:tcPr>
            <w:tcW w:w="1526" w:type="dxa"/>
          </w:tcPr>
          <w:p w14:paraId="3C314405" w14:textId="77777777" w:rsidR="009D5C46" w:rsidRDefault="009D5C46" w:rsidP="009D5C46">
            <w:pPr>
              <w:spacing w:line="276" w:lineRule="auto"/>
              <w:rPr>
                <w:rFonts w:ascii="Helvetica" w:hAnsi="Helvetica"/>
                <w:lang w:val="en-US"/>
              </w:rPr>
            </w:pPr>
            <w:r>
              <w:rPr>
                <w:rFonts w:ascii="Helvetica" w:hAnsi="Helvetica"/>
                <w:lang w:val="en-US"/>
              </w:rPr>
              <w:t>Abdul</w:t>
            </w:r>
          </w:p>
        </w:tc>
      </w:tr>
      <w:tr w:rsidR="009D5C46" w14:paraId="3FCC954F" w14:textId="77777777" w:rsidTr="007227A3">
        <w:tc>
          <w:tcPr>
            <w:tcW w:w="1628" w:type="dxa"/>
            <w:vMerge/>
          </w:tcPr>
          <w:p w14:paraId="5369A3C9" w14:textId="77777777" w:rsidR="009D5C46" w:rsidRPr="003A20E5" w:rsidRDefault="009D5C46" w:rsidP="009D5C46">
            <w:pPr>
              <w:spacing w:line="276" w:lineRule="auto"/>
              <w:rPr>
                <w:rFonts w:ascii="Helvetica" w:hAnsi="Helvetica"/>
                <w:b/>
                <w:lang w:val="en-US"/>
              </w:rPr>
            </w:pPr>
          </w:p>
        </w:tc>
        <w:tc>
          <w:tcPr>
            <w:tcW w:w="1457" w:type="dxa"/>
            <w:vMerge/>
          </w:tcPr>
          <w:p w14:paraId="16BD40F2" w14:textId="77777777" w:rsidR="009D5C46" w:rsidRDefault="009D5C46" w:rsidP="009D5C46">
            <w:pPr>
              <w:spacing w:line="276" w:lineRule="auto"/>
              <w:rPr>
                <w:rFonts w:ascii="Helvetica" w:hAnsi="Helvetica"/>
                <w:lang w:val="en-US"/>
              </w:rPr>
            </w:pPr>
          </w:p>
        </w:tc>
        <w:tc>
          <w:tcPr>
            <w:tcW w:w="1814" w:type="dxa"/>
            <w:vMerge/>
          </w:tcPr>
          <w:p w14:paraId="75713F1B" w14:textId="77777777" w:rsidR="009D5C46" w:rsidRDefault="009D5C46" w:rsidP="009D5C46">
            <w:pPr>
              <w:spacing w:line="276" w:lineRule="auto"/>
              <w:rPr>
                <w:rFonts w:ascii="Helvetica" w:hAnsi="Helvetica"/>
                <w:lang w:val="en-US"/>
              </w:rPr>
            </w:pPr>
          </w:p>
        </w:tc>
        <w:tc>
          <w:tcPr>
            <w:tcW w:w="2091" w:type="dxa"/>
            <w:vMerge/>
          </w:tcPr>
          <w:p w14:paraId="148EDBAF" w14:textId="77777777" w:rsidR="009D5C46" w:rsidRDefault="009D5C46" w:rsidP="009D5C46">
            <w:pPr>
              <w:spacing w:line="276" w:lineRule="auto"/>
              <w:rPr>
                <w:rFonts w:ascii="Helvetica" w:hAnsi="Helvetica"/>
                <w:lang w:val="en-US"/>
              </w:rPr>
            </w:pPr>
          </w:p>
        </w:tc>
        <w:tc>
          <w:tcPr>
            <w:tcW w:w="1526" w:type="dxa"/>
          </w:tcPr>
          <w:p w14:paraId="478E7934" w14:textId="77777777" w:rsidR="009D5C46" w:rsidRDefault="009D5C46" w:rsidP="009D5C46">
            <w:pPr>
              <w:spacing w:line="276" w:lineRule="auto"/>
              <w:rPr>
                <w:rFonts w:ascii="Helvetica" w:hAnsi="Helvetica"/>
                <w:lang w:val="en-US"/>
              </w:rPr>
            </w:pPr>
            <w:r>
              <w:rPr>
                <w:rFonts w:ascii="Helvetica" w:hAnsi="Helvetica"/>
                <w:lang w:val="en-US"/>
              </w:rPr>
              <w:t>Lydia</w:t>
            </w:r>
          </w:p>
        </w:tc>
      </w:tr>
      <w:tr w:rsidR="009D5C46" w14:paraId="2814B265" w14:textId="77777777" w:rsidTr="007227A3">
        <w:tc>
          <w:tcPr>
            <w:tcW w:w="1628" w:type="dxa"/>
            <w:vMerge/>
          </w:tcPr>
          <w:p w14:paraId="2688D43D" w14:textId="77777777" w:rsidR="009D5C46" w:rsidRPr="003A20E5" w:rsidRDefault="009D5C46" w:rsidP="009D5C46">
            <w:pPr>
              <w:spacing w:line="276" w:lineRule="auto"/>
              <w:rPr>
                <w:rFonts w:ascii="Helvetica" w:hAnsi="Helvetica"/>
                <w:b/>
                <w:lang w:val="en-US"/>
              </w:rPr>
            </w:pPr>
          </w:p>
        </w:tc>
        <w:tc>
          <w:tcPr>
            <w:tcW w:w="1457" w:type="dxa"/>
            <w:vMerge/>
          </w:tcPr>
          <w:p w14:paraId="6A42E826" w14:textId="77777777" w:rsidR="009D5C46" w:rsidRDefault="009D5C46" w:rsidP="009D5C46">
            <w:pPr>
              <w:spacing w:line="276" w:lineRule="auto"/>
              <w:rPr>
                <w:rFonts w:ascii="Helvetica" w:hAnsi="Helvetica"/>
                <w:lang w:val="en-US"/>
              </w:rPr>
            </w:pPr>
          </w:p>
        </w:tc>
        <w:tc>
          <w:tcPr>
            <w:tcW w:w="1814" w:type="dxa"/>
            <w:vMerge w:val="restart"/>
          </w:tcPr>
          <w:p w14:paraId="23D0D84B" w14:textId="77777777" w:rsidR="009D5C46" w:rsidRDefault="009D5C46" w:rsidP="009D5C46">
            <w:pPr>
              <w:spacing w:line="276" w:lineRule="auto"/>
              <w:rPr>
                <w:rFonts w:ascii="Helvetica" w:hAnsi="Helvetica"/>
                <w:lang w:val="en-US"/>
              </w:rPr>
            </w:pPr>
            <w:r>
              <w:rPr>
                <w:rFonts w:ascii="Helvetica" w:hAnsi="Helvetica"/>
                <w:lang w:val="en-US"/>
              </w:rPr>
              <w:t>Post-1992</w:t>
            </w:r>
          </w:p>
        </w:tc>
        <w:tc>
          <w:tcPr>
            <w:tcW w:w="2091" w:type="dxa"/>
          </w:tcPr>
          <w:p w14:paraId="1E066A99"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77342FA5" w14:textId="77777777" w:rsidR="009D5C46" w:rsidRDefault="009D5C46" w:rsidP="009D5C46">
            <w:pPr>
              <w:spacing w:line="276" w:lineRule="auto"/>
              <w:rPr>
                <w:rFonts w:ascii="Helvetica" w:hAnsi="Helvetica"/>
                <w:lang w:val="en-US"/>
              </w:rPr>
            </w:pPr>
            <w:r>
              <w:rPr>
                <w:rFonts w:ascii="Helvetica" w:hAnsi="Helvetica"/>
                <w:lang w:val="en-US"/>
              </w:rPr>
              <w:t>Gemma</w:t>
            </w:r>
          </w:p>
        </w:tc>
      </w:tr>
      <w:tr w:rsidR="009D5C46" w14:paraId="799EAF87" w14:textId="77777777" w:rsidTr="007227A3">
        <w:tc>
          <w:tcPr>
            <w:tcW w:w="1628" w:type="dxa"/>
            <w:vMerge/>
          </w:tcPr>
          <w:p w14:paraId="3D0CA46F" w14:textId="77777777" w:rsidR="009D5C46" w:rsidRPr="003A20E5" w:rsidRDefault="009D5C46" w:rsidP="009D5C46">
            <w:pPr>
              <w:spacing w:line="276" w:lineRule="auto"/>
              <w:rPr>
                <w:rFonts w:ascii="Helvetica" w:hAnsi="Helvetica"/>
                <w:b/>
                <w:lang w:val="en-US"/>
              </w:rPr>
            </w:pPr>
          </w:p>
        </w:tc>
        <w:tc>
          <w:tcPr>
            <w:tcW w:w="1457" w:type="dxa"/>
            <w:vMerge/>
          </w:tcPr>
          <w:p w14:paraId="290D04B3" w14:textId="77777777" w:rsidR="009D5C46" w:rsidRDefault="009D5C46" w:rsidP="009D5C46">
            <w:pPr>
              <w:spacing w:line="276" w:lineRule="auto"/>
              <w:rPr>
                <w:rFonts w:ascii="Helvetica" w:hAnsi="Helvetica"/>
                <w:lang w:val="en-US"/>
              </w:rPr>
            </w:pPr>
          </w:p>
        </w:tc>
        <w:tc>
          <w:tcPr>
            <w:tcW w:w="1814" w:type="dxa"/>
            <w:vMerge/>
          </w:tcPr>
          <w:p w14:paraId="737A20B7" w14:textId="77777777" w:rsidR="009D5C46" w:rsidRDefault="009D5C46" w:rsidP="009D5C46">
            <w:pPr>
              <w:spacing w:line="276" w:lineRule="auto"/>
              <w:rPr>
                <w:rFonts w:ascii="Helvetica" w:hAnsi="Helvetica"/>
                <w:lang w:val="en-US"/>
              </w:rPr>
            </w:pPr>
          </w:p>
        </w:tc>
        <w:tc>
          <w:tcPr>
            <w:tcW w:w="2091" w:type="dxa"/>
          </w:tcPr>
          <w:p w14:paraId="2F45F695"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2A116D66" w14:textId="77777777" w:rsidR="009D5C46" w:rsidRDefault="009D5C46" w:rsidP="009D5C46">
            <w:pPr>
              <w:spacing w:line="276" w:lineRule="auto"/>
              <w:rPr>
                <w:rFonts w:ascii="Helvetica" w:hAnsi="Helvetica"/>
                <w:lang w:val="en-US"/>
              </w:rPr>
            </w:pPr>
            <w:r>
              <w:rPr>
                <w:rFonts w:ascii="Helvetica" w:hAnsi="Helvetica"/>
                <w:lang w:val="en-US"/>
              </w:rPr>
              <w:t>Ellie</w:t>
            </w:r>
          </w:p>
        </w:tc>
      </w:tr>
      <w:tr w:rsidR="009D5C46" w14:paraId="51376F7E" w14:textId="77777777" w:rsidTr="007227A3">
        <w:tc>
          <w:tcPr>
            <w:tcW w:w="1628" w:type="dxa"/>
            <w:vMerge w:val="restart"/>
          </w:tcPr>
          <w:p w14:paraId="57C0C733"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A year out to take a break</w:t>
            </w:r>
          </w:p>
        </w:tc>
        <w:tc>
          <w:tcPr>
            <w:tcW w:w="1457" w:type="dxa"/>
            <w:vMerge w:val="restart"/>
          </w:tcPr>
          <w:p w14:paraId="19A6E4CB" w14:textId="77777777" w:rsidR="009D5C46" w:rsidRDefault="009D5C46" w:rsidP="009D5C46">
            <w:pPr>
              <w:spacing w:line="276" w:lineRule="auto"/>
              <w:rPr>
                <w:rFonts w:ascii="Helvetica" w:hAnsi="Helvetica"/>
                <w:lang w:val="en-US"/>
              </w:rPr>
            </w:pPr>
            <w:r>
              <w:rPr>
                <w:rFonts w:ascii="Helvetica" w:hAnsi="Helvetica"/>
                <w:lang w:val="en-US"/>
              </w:rPr>
              <w:t>2015</w:t>
            </w:r>
          </w:p>
        </w:tc>
        <w:tc>
          <w:tcPr>
            <w:tcW w:w="1814" w:type="dxa"/>
            <w:vMerge w:val="restart"/>
          </w:tcPr>
          <w:p w14:paraId="32A3FD7D" w14:textId="77777777" w:rsidR="009D5C46" w:rsidRDefault="009D5C46" w:rsidP="009D5C46">
            <w:pPr>
              <w:spacing w:line="276" w:lineRule="auto"/>
              <w:rPr>
                <w:rFonts w:ascii="Helvetica" w:hAnsi="Helvetica"/>
                <w:lang w:val="en-US"/>
              </w:rPr>
            </w:pPr>
            <w:r>
              <w:rPr>
                <w:rFonts w:ascii="Helvetica" w:hAnsi="Helvetica"/>
                <w:lang w:val="en-US"/>
              </w:rPr>
              <w:t>Russell Group</w:t>
            </w:r>
          </w:p>
        </w:tc>
        <w:tc>
          <w:tcPr>
            <w:tcW w:w="2091" w:type="dxa"/>
          </w:tcPr>
          <w:p w14:paraId="584071A9"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3B5544A6" w14:textId="77777777" w:rsidR="009D5C46" w:rsidRDefault="009D5C46" w:rsidP="009D5C46">
            <w:pPr>
              <w:spacing w:line="276" w:lineRule="auto"/>
              <w:rPr>
                <w:rFonts w:ascii="Helvetica" w:hAnsi="Helvetica"/>
                <w:lang w:val="en-US"/>
              </w:rPr>
            </w:pPr>
            <w:r>
              <w:rPr>
                <w:rFonts w:ascii="Helvetica" w:hAnsi="Helvetica"/>
                <w:lang w:val="en-US"/>
              </w:rPr>
              <w:t>Olivia</w:t>
            </w:r>
          </w:p>
        </w:tc>
      </w:tr>
      <w:tr w:rsidR="009D5C46" w14:paraId="006C3C84" w14:textId="77777777" w:rsidTr="007227A3">
        <w:tc>
          <w:tcPr>
            <w:tcW w:w="1628" w:type="dxa"/>
            <w:vMerge/>
          </w:tcPr>
          <w:p w14:paraId="56BD10C9" w14:textId="77777777" w:rsidR="009D5C46" w:rsidRPr="003A20E5" w:rsidRDefault="009D5C46" w:rsidP="009D5C46">
            <w:pPr>
              <w:spacing w:line="276" w:lineRule="auto"/>
              <w:rPr>
                <w:rFonts w:ascii="Helvetica" w:hAnsi="Helvetica"/>
                <w:b/>
                <w:lang w:val="en-US"/>
              </w:rPr>
            </w:pPr>
          </w:p>
        </w:tc>
        <w:tc>
          <w:tcPr>
            <w:tcW w:w="1457" w:type="dxa"/>
            <w:vMerge/>
          </w:tcPr>
          <w:p w14:paraId="2E39CAF5" w14:textId="77777777" w:rsidR="009D5C46" w:rsidRDefault="009D5C46" w:rsidP="009D5C46">
            <w:pPr>
              <w:spacing w:line="276" w:lineRule="auto"/>
              <w:rPr>
                <w:rFonts w:ascii="Helvetica" w:hAnsi="Helvetica"/>
                <w:lang w:val="en-US"/>
              </w:rPr>
            </w:pPr>
          </w:p>
        </w:tc>
        <w:tc>
          <w:tcPr>
            <w:tcW w:w="1814" w:type="dxa"/>
            <w:vMerge/>
          </w:tcPr>
          <w:p w14:paraId="7A2BEDF8" w14:textId="77777777" w:rsidR="009D5C46" w:rsidRDefault="009D5C46" w:rsidP="009D5C46">
            <w:pPr>
              <w:spacing w:line="276" w:lineRule="auto"/>
              <w:rPr>
                <w:rFonts w:ascii="Helvetica" w:hAnsi="Helvetica"/>
                <w:lang w:val="en-US"/>
              </w:rPr>
            </w:pPr>
          </w:p>
        </w:tc>
        <w:tc>
          <w:tcPr>
            <w:tcW w:w="2091" w:type="dxa"/>
          </w:tcPr>
          <w:p w14:paraId="0255428D"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1BE6CDA7" w14:textId="77777777" w:rsidR="009D5C46" w:rsidRDefault="009D5C46" w:rsidP="009D5C46">
            <w:pPr>
              <w:spacing w:line="276" w:lineRule="auto"/>
              <w:rPr>
                <w:rFonts w:ascii="Helvetica" w:hAnsi="Helvetica"/>
                <w:lang w:val="en-US"/>
              </w:rPr>
            </w:pPr>
            <w:r>
              <w:rPr>
                <w:rFonts w:ascii="Helvetica" w:hAnsi="Helvetica"/>
                <w:lang w:val="en-US"/>
              </w:rPr>
              <w:t>Shaila</w:t>
            </w:r>
          </w:p>
        </w:tc>
      </w:tr>
      <w:tr w:rsidR="009D5C46" w14:paraId="128B1578" w14:textId="77777777" w:rsidTr="007227A3">
        <w:tc>
          <w:tcPr>
            <w:tcW w:w="1628" w:type="dxa"/>
            <w:vMerge w:val="restart"/>
          </w:tcPr>
          <w:p w14:paraId="535A4AF3" w14:textId="77777777" w:rsidR="009D5C46" w:rsidRPr="003A20E5" w:rsidRDefault="009D5C46" w:rsidP="009D5C46">
            <w:pPr>
              <w:spacing w:line="276" w:lineRule="auto"/>
              <w:rPr>
                <w:rFonts w:ascii="Helvetica" w:hAnsi="Helvetica"/>
                <w:b/>
                <w:lang w:val="en-US"/>
              </w:rPr>
            </w:pPr>
            <w:r w:rsidRPr="003A20E5">
              <w:rPr>
                <w:rFonts w:ascii="Helvetica" w:hAnsi="Helvetica"/>
                <w:b/>
                <w:lang w:val="en-US"/>
              </w:rPr>
              <w:t>A year out to get ‘ordinary work’ to earn money</w:t>
            </w:r>
          </w:p>
        </w:tc>
        <w:tc>
          <w:tcPr>
            <w:tcW w:w="1457" w:type="dxa"/>
            <w:vMerge w:val="restart"/>
          </w:tcPr>
          <w:p w14:paraId="49FA328E" w14:textId="77777777" w:rsidR="009D5C46" w:rsidRDefault="009D5C46" w:rsidP="009D5C46">
            <w:pPr>
              <w:spacing w:line="276" w:lineRule="auto"/>
              <w:rPr>
                <w:rFonts w:ascii="Helvetica" w:hAnsi="Helvetica"/>
                <w:lang w:val="en-US"/>
              </w:rPr>
            </w:pPr>
            <w:r>
              <w:rPr>
                <w:rFonts w:ascii="Helvetica" w:hAnsi="Helvetica"/>
                <w:lang w:val="en-US"/>
              </w:rPr>
              <w:t>2015</w:t>
            </w:r>
          </w:p>
        </w:tc>
        <w:tc>
          <w:tcPr>
            <w:tcW w:w="1814" w:type="dxa"/>
            <w:vMerge w:val="restart"/>
          </w:tcPr>
          <w:p w14:paraId="1E725492" w14:textId="77777777" w:rsidR="009D5C46" w:rsidRDefault="009D5C46" w:rsidP="009D5C46">
            <w:pPr>
              <w:spacing w:line="276" w:lineRule="auto"/>
              <w:rPr>
                <w:rFonts w:ascii="Helvetica" w:hAnsi="Helvetica"/>
                <w:lang w:val="en-US"/>
              </w:rPr>
            </w:pPr>
            <w:r>
              <w:rPr>
                <w:rFonts w:ascii="Helvetica" w:hAnsi="Helvetica"/>
                <w:lang w:val="en-US"/>
              </w:rPr>
              <w:t>Russell Group</w:t>
            </w:r>
          </w:p>
        </w:tc>
        <w:tc>
          <w:tcPr>
            <w:tcW w:w="2091" w:type="dxa"/>
            <w:vMerge w:val="restart"/>
          </w:tcPr>
          <w:p w14:paraId="2323167E" w14:textId="77777777" w:rsidR="009D5C46" w:rsidRDefault="009D5C46" w:rsidP="009D5C46">
            <w:pPr>
              <w:spacing w:line="276" w:lineRule="auto"/>
              <w:rPr>
                <w:rFonts w:ascii="Helvetica" w:hAnsi="Helvetica"/>
                <w:lang w:val="en-US"/>
              </w:rPr>
            </w:pPr>
            <w:r>
              <w:rPr>
                <w:rFonts w:ascii="Helvetica" w:hAnsi="Helvetica"/>
                <w:lang w:val="en-US"/>
              </w:rPr>
              <w:t>WP</w:t>
            </w:r>
          </w:p>
        </w:tc>
        <w:tc>
          <w:tcPr>
            <w:tcW w:w="1526" w:type="dxa"/>
          </w:tcPr>
          <w:p w14:paraId="1422B51F" w14:textId="77777777" w:rsidR="009D5C46" w:rsidRDefault="009D5C46" w:rsidP="009D5C46">
            <w:pPr>
              <w:spacing w:line="276" w:lineRule="auto"/>
              <w:rPr>
                <w:rFonts w:ascii="Helvetica" w:hAnsi="Helvetica"/>
                <w:lang w:val="en-US"/>
              </w:rPr>
            </w:pPr>
            <w:r>
              <w:rPr>
                <w:rFonts w:ascii="Helvetica" w:hAnsi="Helvetica"/>
                <w:lang w:val="en-US"/>
              </w:rPr>
              <w:t>Max</w:t>
            </w:r>
          </w:p>
        </w:tc>
      </w:tr>
      <w:tr w:rsidR="009D5C46" w14:paraId="022ABCCB" w14:textId="77777777" w:rsidTr="007227A3">
        <w:tc>
          <w:tcPr>
            <w:tcW w:w="1628" w:type="dxa"/>
            <w:vMerge/>
          </w:tcPr>
          <w:p w14:paraId="7CC360B3" w14:textId="77777777" w:rsidR="009D5C46" w:rsidRDefault="009D5C46" w:rsidP="009D5C46">
            <w:pPr>
              <w:spacing w:line="276" w:lineRule="auto"/>
              <w:rPr>
                <w:rFonts w:ascii="Helvetica" w:hAnsi="Helvetica"/>
                <w:lang w:val="en-US"/>
              </w:rPr>
            </w:pPr>
          </w:p>
        </w:tc>
        <w:tc>
          <w:tcPr>
            <w:tcW w:w="1457" w:type="dxa"/>
            <w:vMerge/>
          </w:tcPr>
          <w:p w14:paraId="6E61B780" w14:textId="77777777" w:rsidR="009D5C46" w:rsidRDefault="009D5C46" w:rsidP="009D5C46">
            <w:pPr>
              <w:spacing w:line="276" w:lineRule="auto"/>
              <w:rPr>
                <w:rFonts w:ascii="Helvetica" w:hAnsi="Helvetica"/>
                <w:lang w:val="en-US"/>
              </w:rPr>
            </w:pPr>
          </w:p>
        </w:tc>
        <w:tc>
          <w:tcPr>
            <w:tcW w:w="1814" w:type="dxa"/>
            <w:vMerge/>
          </w:tcPr>
          <w:p w14:paraId="35C988BC" w14:textId="77777777" w:rsidR="009D5C46" w:rsidRDefault="009D5C46" w:rsidP="009D5C46">
            <w:pPr>
              <w:spacing w:line="276" w:lineRule="auto"/>
              <w:rPr>
                <w:rFonts w:ascii="Helvetica" w:hAnsi="Helvetica"/>
                <w:lang w:val="en-US"/>
              </w:rPr>
            </w:pPr>
          </w:p>
        </w:tc>
        <w:tc>
          <w:tcPr>
            <w:tcW w:w="2091" w:type="dxa"/>
            <w:vMerge/>
          </w:tcPr>
          <w:p w14:paraId="0F8F690B" w14:textId="77777777" w:rsidR="009D5C46" w:rsidRDefault="009D5C46" w:rsidP="009D5C46">
            <w:pPr>
              <w:spacing w:line="276" w:lineRule="auto"/>
              <w:rPr>
                <w:rFonts w:ascii="Helvetica" w:hAnsi="Helvetica"/>
                <w:lang w:val="en-US"/>
              </w:rPr>
            </w:pPr>
          </w:p>
        </w:tc>
        <w:tc>
          <w:tcPr>
            <w:tcW w:w="1526" w:type="dxa"/>
          </w:tcPr>
          <w:p w14:paraId="0BBD8F2F" w14:textId="77777777" w:rsidR="009D5C46" w:rsidRDefault="009D5C46" w:rsidP="009D5C46">
            <w:pPr>
              <w:spacing w:line="276" w:lineRule="auto"/>
              <w:rPr>
                <w:rFonts w:ascii="Helvetica" w:hAnsi="Helvetica"/>
                <w:lang w:val="en-US"/>
              </w:rPr>
            </w:pPr>
            <w:r>
              <w:rPr>
                <w:rFonts w:ascii="Helvetica" w:hAnsi="Helvetica"/>
                <w:lang w:val="en-US"/>
              </w:rPr>
              <w:t>Helen</w:t>
            </w:r>
          </w:p>
        </w:tc>
      </w:tr>
      <w:tr w:rsidR="007227A3" w14:paraId="3F2EB46F" w14:textId="77777777" w:rsidTr="007227A3">
        <w:tc>
          <w:tcPr>
            <w:tcW w:w="1628" w:type="dxa"/>
            <w:vMerge/>
          </w:tcPr>
          <w:p w14:paraId="3C996C7F" w14:textId="77777777" w:rsidR="007227A3" w:rsidRDefault="007227A3" w:rsidP="009D5C46">
            <w:pPr>
              <w:spacing w:line="276" w:lineRule="auto"/>
              <w:rPr>
                <w:rFonts w:ascii="Helvetica" w:hAnsi="Helvetica"/>
                <w:lang w:val="en-US"/>
              </w:rPr>
            </w:pPr>
          </w:p>
        </w:tc>
        <w:tc>
          <w:tcPr>
            <w:tcW w:w="1457" w:type="dxa"/>
            <w:vMerge/>
          </w:tcPr>
          <w:p w14:paraId="64E4192E" w14:textId="77777777" w:rsidR="007227A3" w:rsidRDefault="007227A3" w:rsidP="009D5C46">
            <w:pPr>
              <w:spacing w:line="276" w:lineRule="auto"/>
              <w:rPr>
                <w:rFonts w:ascii="Helvetica" w:hAnsi="Helvetica"/>
                <w:lang w:val="en-US"/>
              </w:rPr>
            </w:pPr>
          </w:p>
        </w:tc>
        <w:tc>
          <w:tcPr>
            <w:tcW w:w="1814" w:type="dxa"/>
            <w:vMerge w:val="restart"/>
          </w:tcPr>
          <w:p w14:paraId="1DA6F0C6" w14:textId="77777777" w:rsidR="007227A3" w:rsidRDefault="007227A3" w:rsidP="009D5C46">
            <w:pPr>
              <w:spacing w:line="276" w:lineRule="auto"/>
              <w:rPr>
                <w:rFonts w:ascii="Helvetica" w:hAnsi="Helvetica"/>
                <w:lang w:val="en-US"/>
              </w:rPr>
            </w:pPr>
            <w:r>
              <w:rPr>
                <w:rFonts w:ascii="Helvetica" w:hAnsi="Helvetica"/>
                <w:lang w:val="en-US"/>
              </w:rPr>
              <w:t>Post-1992</w:t>
            </w:r>
          </w:p>
        </w:tc>
        <w:tc>
          <w:tcPr>
            <w:tcW w:w="2091" w:type="dxa"/>
            <w:vMerge w:val="restart"/>
          </w:tcPr>
          <w:p w14:paraId="286FA776" w14:textId="77777777" w:rsidR="007227A3" w:rsidRDefault="007227A3" w:rsidP="009D5C46">
            <w:pPr>
              <w:spacing w:line="276" w:lineRule="auto"/>
              <w:rPr>
                <w:rFonts w:ascii="Helvetica" w:hAnsi="Helvetica"/>
                <w:lang w:val="en-US"/>
              </w:rPr>
            </w:pPr>
            <w:r>
              <w:rPr>
                <w:rFonts w:ascii="Helvetica" w:hAnsi="Helvetica"/>
                <w:lang w:val="en-US"/>
              </w:rPr>
              <w:t>WP</w:t>
            </w:r>
          </w:p>
        </w:tc>
        <w:tc>
          <w:tcPr>
            <w:tcW w:w="1526" w:type="dxa"/>
          </w:tcPr>
          <w:p w14:paraId="5E7810F0" w14:textId="77777777" w:rsidR="007227A3" w:rsidRDefault="007227A3" w:rsidP="009D5C46">
            <w:pPr>
              <w:spacing w:line="276" w:lineRule="auto"/>
              <w:rPr>
                <w:rFonts w:ascii="Helvetica" w:hAnsi="Helvetica"/>
                <w:lang w:val="en-US"/>
              </w:rPr>
            </w:pPr>
            <w:r>
              <w:rPr>
                <w:rFonts w:ascii="Helvetica" w:hAnsi="Helvetica"/>
                <w:lang w:val="en-US"/>
              </w:rPr>
              <w:t>Claudia</w:t>
            </w:r>
          </w:p>
        </w:tc>
      </w:tr>
      <w:tr w:rsidR="007227A3" w14:paraId="7CD7DA01" w14:textId="77777777" w:rsidTr="007227A3">
        <w:tc>
          <w:tcPr>
            <w:tcW w:w="1628" w:type="dxa"/>
            <w:vMerge/>
          </w:tcPr>
          <w:p w14:paraId="7DCCD9B7" w14:textId="77777777" w:rsidR="007227A3" w:rsidRDefault="007227A3" w:rsidP="009D5C46">
            <w:pPr>
              <w:spacing w:line="276" w:lineRule="auto"/>
              <w:rPr>
                <w:rFonts w:ascii="Helvetica" w:hAnsi="Helvetica"/>
                <w:lang w:val="en-US"/>
              </w:rPr>
            </w:pPr>
          </w:p>
        </w:tc>
        <w:tc>
          <w:tcPr>
            <w:tcW w:w="1457" w:type="dxa"/>
            <w:vMerge/>
          </w:tcPr>
          <w:p w14:paraId="36C9480D" w14:textId="77777777" w:rsidR="007227A3" w:rsidRDefault="007227A3" w:rsidP="009D5C46">
            <w:pPr>
              <w:spacing w:line="276" w:lineRule="auto"/>
              <w:rPr>
                <w:rFonts w:ascii="Helvetica" w:hAnsi="Helvetica"/>
                <w:lang w:val="en-US"/>
              </w:rPr>
            </w:pPr>
          </w:p>
        </w:tc>
        <w:tc>
          <w:tcPr>
            <w:tcW w:w="1814" w:type="dxa"/>
            <w:vMerge/>
          </w:tcPr>
          <w:p w14:paraId="62DDFD40" w14:textId="77777777" w:rsidR="007227A3" w:rsidRDefault="007227A3" w:rsidP="009D5C46">
            <w:pPr>
              <w:spacing w:line="276" w:lineRule="auto"/>
              <w:rPr>
                <w:rFonts w:ascii="Helvetica" w:hAnsi="Helvetica"/>
                <w:lang w:val="en-US"/>
              </w:rPr>
            </w:pPr>
          </w:p>
        </w:tc>
        <w:tc>
          <w:tcPr>
            <w:tcW w:w="2091" w:type="dxa"/>
            <w:vMerge/>
          </w:tcPr>
          <w:p w14:paraId="79497AFB" w14:textId="77777777" w:rsidR="007227A3" w:rsidRDefault="007227A3" w:rsidP="009D5C46">
            <w:pPr>
              <w:spacing w:line="276" w:lineRule="auto"/>
              <w:rPr>
                <w:rFonts w:ascii="Helvetica" w:hAnsi="Helvetica"/>
                <w:lang w:val="en-US"/>
              </w:rPr>
            </w:pPr>
          </w:p>
        </w:tc>
        <w:tc>
          <w:tcPr>
            <w:tcW w:w="1526" w:type="dxa"/>
          </w:tcPr>
          <w:p w14:paraId="12FFDD42" w14:textId="77777777" w:rsidR="007227A3" w:rsidRDefault="007227A3" w:rsidP="009D5C46">
            <w:pPr>
              <w:spacing w:line="276" w:lineRule="auto"/>
              <w:rPr>
                <w:rFonts w:ascii="Helvetica" w:hAnsi="Helvetica"/>
                <w:lang w:val="en-US"/>
              </w:rPr>
            </w:pPr>
            <w:r>
              <w:rPr>
                <w:rFonts w:ascii="Helvetica" w:hAnsi="Helvetica"/>
                <w:lang w:val="en-US"/>
              </w:rPr>
              <w:t>Joanne</w:t>
            </w:r>
          </w:p>
        </w:tc>
      </w:tr>
      <w:tr w:rsidR="007227A3" w14:paraId="68246062" w14:textId="77777777" w:rsidTr="007227A3">
        <w:tc>
          <w:tcPr>
            <w:tcW w:w="1628" w:type="dxa"/>
            <w:vMerge/>
          </w:tcPr>
          <w:p w14:paraId="7FD35EEE" w14:textId="77777777" w:rsidR="007227A3" w:rsidRDefault="007227A3" w:rsidP="009D5C46">
            <w:pPr>
              <w:spacing w:line="276" w:lineRule="auto"/>
              <w:rPr>
                <w:rFonts w:ascii="Helvetica" w:hAnsi="Helvetica"/>
                <w:lang w:val="en-US"/>
              </w:rPr>
            </w:pPr>
          </w:p>
        </w:tc>
        <w:tc>
          <w:tcPr>
            <w:tcW w:w="1457" w:type="dxa"/>
            <w:vMerge/>
          </w:tcPr>
          <w:p w14:paraId="6AEDD95A" w14:textId="77777777" w:rsidR="007227A3" w:rsidRDefault="007227A3" w:rsidP="009D5C46">
            <w:pPr>
              <w:spacing w:line="276" w:lineRule="auto"/>
              <w:rPr>
                <w:rFonts w:ascii="Helvetica" w:hAnsi="Helvetica"/>
                <w:lang w:val="en-US"/>
              </w:rPr>
            </w:pPr>
          </w:p>
        </w:tc>
        <w:tc>
          <w:tcPr>
            <w:tcW w:w="1814" w:type="dxa"/>
            <w:vMerge/>
          </w:tcPr>
          <w:p w14:paraId="41B84C81" w14:textId="77777777" w:rsidR="007227A3" w:rsidRDefault="007227A3" w:rsidP="009D5C46">
            <w:pPr>
              <w:spacing w:line="276" w:lineRule="auto"/>
              <w:rPr>
                <w:rFonts w:ascii="Helvetica" w:hAnsi="Helvetica"/>
                <w:lang w:val="en-US"/>
              </w:rPr>
            </w:pPr>
          </w:p>
        </w:tc>
        <w:tc>
          <w:tcPr>
            <w:tcW w:w="2091" w:type="dxa"/>
            <w:vMerge/>
          </w:tcPr>
          <w:p w14:paraId="565BBF9D" w14:textId="77777777" w:rsidR="007227A3" w:rsidRDefault="007227A3" w:rsidP="009D5C46">
            <w:pPr>
              <w:spacing w:line="276" w:lineRule="auto"/>
              <w:rPr>
                <w:rFonts w:ascii="Helvetica" w:hAnsi="Helvetica"/>
                <w:lang w:val="en-US"/>
              </w:rPr>
            </w:pPr>
          </w:p>
        </w:tc>
        <w:tc>
          <w:tcPr>
            <w:tcW w:w="1526" w:type="dxa"/>
          </w:tcPr>
          <w:p w14:paraId="18D2C035" w14:textId="77777777" w:rsidR="007227A3" w:rsidRDefault="007227A3" w:rsidP="009D5C46">
            <w:pPr>
              <w:spacing w:line="276" w:lineRule="auto"/>
              <w:rPr>
                <w:rFonts w:ascii="Helvetica" w:hAnsi="Helvetica"/>
                <w:lang w:val="en-US"/>
              </w:rPr>
            </w:pPr>
            <w:r>
              <w:rPr>
                <w:rFonts w:ascii="Helvetica" w:hAnsi="Helvetica"/>
                <w:lang w:val="en-US"/>
              </w:rPr>
              <w:t>Sophie</w:t>
            </w:r>
          </w:p>
        </w:tc>
      </w:tr>
      <w:tr w:rsidR="007227A3" w14:paraId="46F19AC6" w14:textId="77777777" w:rsidTr="007227A3">
        <w:tc>
          <w:tcPr>
            <w:tcW w:w="1628" w:type="dxa"/>
            <w:vMerge/>
          </w:tcPr>
          <w:p w14:paraId="210E5DF5" w14:textId="77777777" w:rsidR="007227A3" w:rsidRDefault="007227A3" w:rsidP="009D5C46">
            <w:pPr>
              <w:spacing w:line="276" w:lineRule="auto"/>
              <w:rPr>
                <w:rFonts w:ascii="Helvetica" w:hAnsi="Helvetica"/>
                <w:lang w:val="en-US"/>
              </w:rPr>
            </w:pPr>
          </w:p>
        </w:tc>
        <w:tc>
          <w:tcPr>
            <w:tcW w:w="1457" w:type="dxa"/>
            <w:vMerge/>
          </w:tcPr>
          <w:p w14:paraId="3F373DF8" w14:textId="77777777" w:rsidR="007227A3" w:rsidRDefault="007227A3" w:rsidP="009D5C46">
            <w:pPr>
              <w:spacing w:line="276" w:lineRule="auto"/>
              <w:rPr>
                <w:rFonts w:ascii="Helvetica" w:hAnsi="Helvetica"/>
                <w:lang w:val="en-US"/>
              </w:rPr>
            </w:pPr>
          </w:p>
        </w:tc>
        <w:tc>
          <w:tcPr>
            <w:tcW w:w="1814" w:type="dxa"/>
            <w:vMerge/>
          </w:tcPr>
          <w:p w14:paraId="45513540" w14:textId="77777777" w:rsidR="007227A3" w:rsidRDefault="007227A3" w:rsidP="009D5C46">
            <w:pPr>
              <w:spacing w:line="276" w:lineRule="auto"/>
              <w:rPr>
                <w:rFonts w:ascii="Helvetica" w:hAnsi="Helvetica"/>
                <w:lang w:val="en-US"/>
              </w:rPr>
            </w:pPr>
          </w:p>
        </w:tc>
        <w:tc>
          <w:tcPr>
            <w:tcW w:w="2091" w:type="dxa"/>
            <w:vMerge/>
          </w:tcPr>
          <w:p w14:paraId="5774B024" w14:textId="77777777" w:rsidR="007227A3" w:rsidRDefault="007227A3" w:rsidP="009D5C46">
            <w:pPr>
              <w:spacing w:line="276" w:lineRule="auto"/>
              <w:rPr>
                <w:rFonts w:ascii="Helvetica" w:hAnsi="Helvetica"/>
                <w:lang w:val="en-US"/>
              </w:rPr>
            </w:pPr>
          </w:p>
        </w:tc>
        <w:tc>
          <w:tcPr>
            <w:tcW w:w="1526" w:type="dxa"/>
          </w:tcPr>
          <w:p w14:paraId="32963164" w14:textId="3DCB88C7" w:rsidR="007227A3" w:rsidRDefault="007227A3" w:rsidP="009D5C46">
            <w:pPr>
              <w:spacing w:line="276" w:lineRule="auto"/>
              <w:rPr>
                <w:rFonts w:ascii="Helvetica" w:hAnsi="Helvetica"/>
                <w:lang w:val="en-US"/>
              </w:rPr>
            </w:pPr>
            <w:r>
              <w:rPr>
                <w:rFonts w:ascii="Helvetica" w:hAnsi="Helvetica"/>
                <w:lang w:val="en-US"/>
              </w:rPr>
              <w:t>Veronika</w:t>
            </w:r>
          </w:p>
        </w:tc>
      </w:tr>
      <w:tr w:rsidR="009D5C46" w14:paraId="5FAC458C" w14:textId="77777777" w:rsidTr="007227A3">
        <w:tc>
          <w:tcPr>
            <w:tcW w:w="1628" w:type="dxa"/>
            <w:vMerge/>
          </w:tcPr>
          <w:p w14:paraId="5692731B" w14:textId="77777777" w:rsidR="009D5C46" w:rsidRDefault="009D5C46" w:rsidP="009D5C46">
            <w:pPr>
              <w:spacing w:line="276" w:lineRule="auto"/>
              <w:rPr>
                <w:rFonts w:ascii="Helvetica" w:hAnsi="Helvetica"/>
                <w:lang w:val="en-US"/>
              </w:rPr>
            </w:pPr>
          </w:p>
        </w:tc>
        <w:tc>
          <w:tcPr>
            <w:tcW w:w="1457" w:type="dxa"/>
            <w:vMerge/>
          </w:tcPr>
          <w:p w14:paraId="4B56B50A" w14:textId="77777777" w:rsidR="009D5C46" w:rsidRDefault="009D5C46" w:rsidP="009D5C46">
            <w:pPr>
              <w:spacing w:line="276" w:lineRule="auto"/>
              <w:rPr>
                <w:rFonts w:ascii="Helvetica" w:hAnsi="Helvetica"/>
                <w:lang w:val="en-US"/>
              </w:rPr>
            </w:pPr>
          </w:p>
        </w:tc>
        <w:tc>
          <w:tcPr>
            <w:tcW w:w="1814" w:type="dxa"/>
            <w:vMerge/>
          </w:tcPr>
          <w:p w14:paraId="586C1F7E" w14:textId="77777777" w:rsidR="009D5C46" w:rsidRDefault="009D5C46" w:rsidP="009D5C46">
            <w:pPr>
              <w:spacing w:line="276" w:lineRule="auto"/>
              <w:rPr>
                <w:rFonts w:ascii="Helvetica" w:hAnsi="Helvetica"/>
                <w:lang w:val="en-US"/>
              </w:rPr>
            </w:pPr>
          </w:p>
        </w:tc>
        <w:tc>
          <w:tcPr>
            <w:tcW w:w="2091" w:type="dxa"/>
            <w:vMerge w:val="restart"/>
          </w:tcPr>
          <w:p w14:paraId="4700FCF7" w14:textId="77777777" w:rsidR="009D5C46" w:rsidRDefault="009D5C46" w:rsidP="009D5C46">
            <w:pPr>
              <w:spacing w:line="276" w:lineRule="auto"/>
              <w:rPr>
                <w:rFonts w:ascii="Helvetica" w:hAnsi="Helvetica"/>
                <w:lang w:val="en-US"/>
              </w:rPr>
            </w:pPr>
            <w:r>
              <w:rPr>
                <w:rFonts w:ascii="Helvetica" w:hAnsi="Helvetica"/>
                <w:lang w:val="en-US"/>
              </w:rPr>
              <w:t>Non-WP</w:t>
            </w:r>
          </w:p>
        </w:tc>
        <w:tc>
          <w:tcPr>
            <w:tcW w:w="1526" w:type="dxa"/>
          </w:tcPr>
          <w:p w14:paraId="0BF5618E" w14:textId="77777777" w:rsidR="009D5C46" w:rsidRDefault="009D5C46" w:rsidP="009D5C46">
            <w:pPr>
              <w:spacing w:line="276" w:lineRule="auto"/>
              <w:rPr>
                <w:rFonts w:ascii="Helvetica" w:hAnsi="Helvetica"/>
                <w:lang w:val="en-US"/>
              </w:rPr>
            </w:pPr>
            <w:r>
              <w:rPr>
                <w:rFonts w:ascii="Helvetica" w:hAnsi="Helvetica"/>
                <w:lang w:val="en-US"/>
              </w:rPr>
              <w:t>Jamie</w:t>
            </w:r>
          </w:p>
        </w:tc>
      </w:tr>
      <w:tr w:rsidR="009D5C46" w14:paraId="5F64EDD0" w14:textId="77777777" w:rsidTr="007227A3">
        <w:tc>
          <w:tcPr>
            <w:tcW w:w="1628" w:type="dxa"/>
            <w:vMerge/>
          </w:tcPr>
          <w:p w14:paraId="6EF4F834" w14:textId="77777777" w:rsidR="009D5C46" w:rsidRDefault="009D5C46" w:rsidP="009D5C46">
            <w:pPr>
              <w:spacing w:line="276" w:lineRule="auto"/>
              <w:rPr>
                <w:rFonts w:ascii="Helvetica" w:hAnsi="Helvetica"/>
                <w:lang w:val="en-US"/>
              </w:rPr>
            </w:pPr>
          </w:p>
        </w:tc>
        <w:tc>
          <w:tcPr>
            <w:tcW w:w="1457" w:type="dxa"/>
            <w:vMerge/>
          </w:tcPr>
          <w:p w14:paraId="46E2D5C1" w14:textId="77777777" w:rsidR="009D5C46" w:rsidRDefault="009D5C46" w:rsidP="009D5C46">
            <w:pPr>
              <w:spacing w:line="276" w:lineRule="auto"/>
              <w:rPr>
                <w:rFonts w:ascii="Helvetica" w:hAnsi="Helvetica"/>
                <w:lang w:val="en-US"/>
              </w:rPr>
            </w:pPr>
          </w:p>
        </w:tc>
        <w:tc>
          <w:tcPr>
            <w:tcW w:w="1814" w:type="dxa"/>
            <w:vMerge/>
          </w:tcPr>
          <w:p w14:paraId="072F387D" w14:textId="77777777" w:rsidR="009D5C46" w:rsidRDefault="009D5C46" w:rsidP="009D5C46">
            <w:pPr>
              <w:spacing w:line="276" w:lineRule="auto"/>
              <w:rPr>
                <w:rFonts w:ascii="Helvetica" w:hAnsi="Helvetica"/>
                <w:lang w:val="en-US"/>
              </w:rPr>
            </w:pPr>
          </w:p>
        </w:tc>
        <w:tc>
          <w:tcPr>
            <w:tcW w:w="2091" w:type="dxa"/>
            <w:vMerge/>
          </w:tcPr>
          <w:p w14:paraId="3996D20D" w14:textId="77777777" w:rsidR="009D5C46" w:rsidRDefault="009D5C46" w:rsidP="009D5C46">
            <w:pPr>
              <w:spacing w:line="276" w:lineRule="auto"/>
              <w:rPr>
                <w:rFonts w:ascii="Helvetica" w:hAnsi="Helvetica"/>
                <w:lang w:val="en-US"/>
              </w:rPr>
            </w:pPr>
          </w:p>
        </w:tc>
        <w:tc>
          <w:tcPr>
            <w:tcW w:w="1526" w:type="dxa"/>
          </w:tcPr>
          <w:p w14:paraId="6A0510DD" w14:textId="77777777" w:rsidR="009D5C46" w:rsidRDefault="009D5C46" w:rsidP="009D5C46">
            <w:pPr>
              <w:spacing w:line="276" w:lineRule="auto"/>
              <w:rPr>
                <w:rFonts w:ascii="Helvetica" w:hAnsi="Helvetica"/>
                <w:lang w:val="en-US"/>
              </w:rPr>
            </w:pPr>
            <w:r>
              <w:rPr>
                <w:rFonts w:ascii="Helvetica" w:hAnsi="Helvetica"/>
                <w:lang w:val="en-US"/>
              </w:rPr>
              <w:t>Adelle</w:t>
            </w:r>
          </w:p>
        </w:tc>
      </w:tr>
      <w:tr w:rsidR="009D5C46" w14:paraId="2DAA2110" w14:textId="77777777" w:rsidTr="007227A3">
        <w:tc>
          <w:tcPr>
            <w:tcW w:w="1628" w:type="dxa"/>
            <w:vMerge/>
          </w:tcPr>
          <w:p w14:paraId="3E04243F" w14:textId="77777777" w:rsidR="009D5C46" w:rsidRDefault="009D5C46" w:rsidP="009D5C46">
            <w:pPr>
              <w:spacing w:line="276" w:lineRule="auto"/>
              <w:rPr>
                <w:rFonts w:ascii="Helvetica" w:hAnsi="Helvetica"/>
                <w:lang w:val="en-US"/>
              </w:rPr>
            </w:pPr>
          </w:p>
        </w:tc>
        <w:tc>
          <w:tcPr>
            <w:tcW w:w="1457" w:type="dxa"/>
            <w:vMerge/>
          </w:tcPr>
          <w:p w14:paraId="3FEF5D01" w14:textId="77777777" w:rsidR="009D5C46" w:rsidRDefault="009D5C46" w:rsidP="009D5C46">
            <w:pPr>
              <w:spacing w:line="276" w:lineRule="auto"/>
              <w:rPr>
                <w:rFonts w:ascii="Helvetica" w:hAnsi="Helvetica"/>
                <w:lang w:val="en-US"/>
              </w:rPr>
            </w:pPr>
          </w:p>
        </w:tc>
        <w:tc>
          <w:tcPr>
            <w:tcW w:w="1814" w:type="dxa"/>
            <w:vMerge/>
          </w:tcPr>
          <w:p w14:paraId="5CCFBA37" w14:textId="77777777" w:rsidR="009D5C46" w:rsidRDefault="009D5C46" w:rsidP="009D5C46">
            <w:pPr>
              <w:spacing w:line="276" w:lineRule="auto"/>
              <w:rPr>
                <w:rFonts w:ascii="Helvetica" w:hAnsi="Helvetica"/>
                <w:lang w:val="en-US"/>
              </w:rPr>
            </w:pPr>
          </w:p>
        </w:tc>
        <w:tc>
          <w:tcPr>
            <w:tcW w:w="2091" w:type="dxa"/>
            <w:vMerge/>
          </w:tcPr>
          <w:p w14:paraId="2827BB6E" w14:textId="77777777" w:rsidR="009D5C46" w:rsidRDefault="009D5C46" w:rsidP="009D5C46">
            <w:pPr>
              <w:spacing w:line="276" w:lineRule="auto"/>
              <w:rPr>
                <w:rFonts w:ascii="Helvetica" w:hAnsi="Helvetica"/>
                <w:lang w:val="en-US"/>
              </w:rPr>
            </w:pPr>
          </w:p>
        </w:tc>
        <w:tc>
          <w:tcPr>
            <w:tcW w:w="1526" w:type="dxa"/>
          </w:tcPr>
          <w:p w14:paraId="174E3092" w14:textId="77777777" w:rsidR="009D5C46" w:rsidRDefault="009D5C46" w:rsidP="009D5C46">
            <w:pPr>
              <w:spacing w:line="276" w:lineRule="auto"/>
              <w:rPr>
                <w:rFonts w:ascii="Helvetica" w:hAnsi="Helvetica"/>
                <w:lang w:val="en-US"/>
              </w:rPr>
            </w:pPr>
            <w:r>
              <w:rPr>
                <w:rFonts w:ascii="Helvetica" w:hAnsi="Helvetica"/>
                <w:lang w:val="en-US"/>
              </w:rPr>
              <w:t>Mark</w:t>
            </w:r>
          </w:p>
        </w:tc>
      </w:tr>
      <w:tr w:rsidR="009D5C46" w14:paraId="02275465" w14:textId="77777777" w:rsidTr="007227A3">
        <w:tc>
          <w:tcPr>
            <w:tcW w:w="1628" w:type="dxa"/>
            <w:vMerge/>
          </w:tcPr>
          <w:p w14:paraId="72C33C59" w14:textId="77777777" w:rsidR="009D5C46" w:rsidRDefault="009D5C46" w:rsidP="009D5C46">
            <w:pPr>
              <w:spacing w:line="276" w:lineRule="auto"/>
              <w:rPr>
                <w:rFonts w:ascii="Helvetica" w:hAnsi="Helvetica"/>
                <w:lang w:val="en-US"/>
              </w:rPr>
            </w:pPr>
          </w:p>
        </w:tc>
        <w:tc>
          <w:tcPr>
            <w:tcW w:w="1457" w:type="dxa"/>
            <w:vMerge/>
          </w:tcPr>
          <w:p w14:paraId="46EF24DB" w14:textId="77777777" w:rsidR="009D5C46" w:rsidRDefault="009D5C46" w:rsidP="009D5C46">
            <w:pPr>
              <w:spacing w:line="276" w:lineRule="auto"/>
              <w:rPr>
                <w:rFonts w:ascii="Helvetica" w:hAnsi="Helvetica"/>
                <w:lang w:val="en-US"/>
              </w:rPr>
            </w:pPr>
          </w:p>
        </w:tc>
        <w:tc>
          <w:tcPr>
            <w:tcW w:w="1814" w:type="dxa"/>
            <w:vMerge/>
          </w:tcPr>
          <w:p w14:paraId="5F65CF95" w14:textId="77777777" w:rsidR="009D5C46" w:rsidRDefault="009D5C46" w:rsidP="009D5C46">
            <w:pPr>
              <w:spacing w:line="276" w:lineRule="auto"/>
              <w:rPr>
                <w:rFonts w:ascii="Helvetica" w:hAnsi="Helvetica"/>
                <w:lang w:val="en-US"/>
              </w:rPr>
            </w:pPr>
          </w:p>
        </w:tc>
        <w:tc>
          <w:tcPr>
            <w:tcW w:w="2091" w:type="dxa"/>
            <w:vMerge/>
          </w:tcPr>
          <w:p w14:paraId="5FD961CA" w14:textId="77777777" w:rsidR="009D5C46" w:rsidRDefault="009D5C46" w:rsidP="009D5C46">
            <w:pPr>
              <w:spacing w:line="276" w:lineRule="auto"/>
              <w:rPr>
                <w:rFonts w:ascii="Helvetica" w:hAnsi="Helvetica"/>
                <w:lang w:val="en-US"/>
              </w:rPr>
            </w:pPr>
          </w:p>
        </w:tc>
        <w:tc>
          <w:tcPr>
            <w:tcW w:w="1526" w:type="dxa"/>
          </w:tcPr>
          <w:p w14:paraId="31897A58" w14:textId="77777777" w:rsidR="009D5C46" w:rsidRDefault="009D5C46" w:rsidP="009D5C46">
            <w:pPr>
              <w:spacing w:line="276" w:lineRule="auto"/>
              <w:rPr>
                <w:rFonts w:ascii="Helvetica" w:hAnsi="Helvetica"/>
                <w:lang w:val="en-US"/>
              </w:rPr>
            </w:pPr>
            <w:r>
              <w:rPr>
                <w:rFonts w:ascii="Helvetica" w:hAnsi="Helvetica"/>
                <w:lang w:val="en-US"/>
              </w:rPr>
              <w:t>Dan</w:t>
            </w:r>
          </w:p>
        </w:tc>
      </w:tr>
    </w:tbl>
    <w:p w14:paraId="39DD52AD" w14:textId="77777777" w:rsidR="009D5C46" w:rsidRDefault="009D5C46" w:rsidP="009D5C46"/>
    <w:p w14:paraId="122B7115" w14:textId="77777777" w:rsidR="005F6D7C" w:rsidRDefault="005F6D7C" w:rsidP="00B0503D">
      <w:pPr>
        <w:spacing w:line="276" w:lineRule="auto"/>
        <w:jc w:val="both"/>
        <w:rPr>
          <w:rFonts w:ascii="Helvetica" w:hAnsi="Helvetica"/>
          <w:b/>
          <w:i/>
          <w:lang w:val="en-US"/>
        </w:rPr>
      </w:pPr>
    </w:p>
    <w:p w14:paraId="4E2DB2F4" w14:textId="656614EF" w:rsidR="004B1F97" w:rsidRDefault="004B1F97" w:rsidP="00B0503D">
      <w:pPr>
        <w:spacing w:line="276" w:lineRule="auto"/>
        <w:jc w:val="both"/>
        <w:rPr>
          <w:rFonts w:ascii="Helvetica" w:hAnsi="Helvetica"/>
          <w:lang w:val="en-US"/>
        </w:rPr>
      </w:pPr>
      <w:r w:rsidRPr="00DA02EA">
        <w:rPr>
          <w:rFonts w:ascii="Helvetica" w:hAnsi="Helvetica"/>
          <w:b/>
          <w:i/>
          <w:lang w:val="en-US"/>
        </w:rPr>
        <w:t xml:space="preserve">A year out to build up </w:t>
      </w:r>
      <w:r w:rsidR="009D6F79">
        <w:rPr>
          <w:rFonts w:ascii="Helvetica" w:hAnsi="Helvetica"/>
          <w:b/>
          <w:i/>
          <w:lang w:val="en-US"/>
        </w:rPr>
        <w:t xml:space="preserve">work </w:t>
      </w:r>
      <w:r w:rsidRPr="00DA02EA">
        <w:rPr>
          <w:rFonts w:ascii="Helvetica" w:hAnsi="Helvetica"/>
          <w:b/>
          <w:i/>
          <w:lang w:val="en-US"/>
        </w:rPr>
        <w:t>experience</w:t>
      </w:r>
      <w:r>
        <w:rPr>
          <w:rFonts w:ascii="Helvetica" w:hAnsi="Helvetica"/>
          <w:lang w:val="en-US"/>
        </w:rPr>
        <w:t xml:space="preserve"> </w:t>
      </w:r>
    </w:p>
    <w:p w14:paraId="0B9F1A97" w14:textId="27FEDB30" w:rsidR="00961843" w:rsidRDefault="00776545" w:rsidP="00B0503D">
      <w:pPr>
        <w:spacing w:line="276" w:lineRule="auto"/>
        <w:jc w:val="both"/>
        <w:rPr>
          <w:rFonts w:ascii="Helvetica" w:hAnsi="Helvetica"/>
          <w:lang w:val="en-US"/>
        </w:rPr>
      </w:pPr>
      <w:r>
        <w:rPr>
          <w:rFonts w:ascii="Helvetica" w:hAnsi="Helvetica"/>
          <w:lang w:val="en-US"/>
        </w:rPr>
        <w:t>In 2014</w:t>
      </w:r>
      <w:r w:rsidR="00F15582">
        <w:rPr>
          <w:rFonts w:ascii="Helvetica" w:hAnsi="Helvetica"/>
          <w:lang w:val="en-US"/>
        </w:rPr>
        <w:t>,</w:t>
      </w:r>
      <w:r>
        <w:rPr>
          <w:rFonts w:ascii="Helvetica" w:hAnsi="Helvetica"/>
          <w:lang w:val="en-US"/>
        </w:rPr>
        <w:t xml:space="preserve"> t</w:t>
      </w:r>
      <w:r w:rsidR="00961843">
        <w:rPr>
          <w:rFonts w:ascii="Helvetica" w:hAnsi="Helvetica"/>
          <w:lang w:val="en-US"/>
        </w:rPr>
        <w:t xml:space="preserve">hree male </w:t>
      </w:r>
      <w:r>
        <w:rPr>
          <w:rFonts w:ascii="Helvetica" w:hAnsi="Helvetica"/>
          <w:lang w:val="en-US"/>
        </w:rPr>
        <w:t>students</w:t>
      </w:r>
      <w:r w:rsidR="00961843">
        <w:rPr>
          <w:rFonts w:ascii="Helvetica" w:hAnsi="Helvetica"/>
          <w:lang w:val="en-US"/>
        </w:rPr>
        <w:t xml:space="preserve"> </w:t>
      </w:r>
      <w:r w:rsidR="00824A03">
        <w:rPr>
          <w:rFonts w:ascii="Helvetica" w:hAnsi="Helvetica"/>
          <w:lang w:val="en-US"/>
        </w:rPr>
        <w:t>without</w:t>
      </w:r>
      <w:r w:rsidR="00961843">
        <w:rPr>
          <w:rFonts w:ascii="Helvetica" w:hAnsi="Helvetica"/>
          <w:lang w:val="en-US"/>
        </w:rPr>
        <w:t xml:space="preserve"> </w:t>
      </w:r>
      <w:r w:rsidR="00E3021A">
        <w:rPr>
          <w:rFonts w:ascii="Helvetica" w:hAnsi="Helvetica"/>
          <w:lang w:val="en-US"/>
        </w:rPr>
        <w:t>WP</w:t>
      </w:r>
      <w:r w:rsidR="00961843">
        <w:rPr>
          <w:rFonts w:ascii="Helvetica" w:hAnsi="Helvetica"/>
          <w:lang w:val="en-US"/>
        </w:rPr>
        <w:t xml:space="preserve"> st</w:t>
      </w:r>
      <w:r w:rsidR="00824A03">
        <w:rPr>
          <w:rFonts w:ascii="Helvetica" w:hAnsi="Helvetica"/>
          <w:lang w:val="en-US"/>
        </w:rPr>
        <w:t xml:space="preserve">atus </w:t>
      </w:r>
      <w:r w:rsidR="00BE1887">
        <w:rPr>
          <w:rFonts w:ascii="Helvetica" w:hAnsi="Helvetica"/>
          <w:lang w:val="en-US"/>
        </w:rPr>
        <w:t>(RG: Peter;</w:t>
      </w:r>
      <w:r w:rsidR="00E3021A">
        <w:rPr>
          <w:rFonts w:ascii="Helvetica" w:hAnsi="Helvetica"/>
          <w:lang w:val="en-US"/>
        </w:rPr>
        <w:t xml:space="preserve"> Post-1992: David, Olly) </w:t>
      </w:r>
      <w:r w:rsidR="00824A03">
        <w:rPr>
          <w:rFonts w:ascii="Helvetica" w:hAnsi="Helvetica"/>
          <w:lang w:val="en-US"/>
        </w:rPr>
        <w:t>described the purpose of their ‘year out’ to be about taking up opportunities that would build valuable professional work experience in the same discipline as their degree</w:t>
      </w:r>
      <w:r w:rsidR="00E3021A">
        <w:rPr>
          <w:rFonts w:ascii="Helvetica" w:hAnsi="Helvetica"/>
          <w:lang w:val="en-US"/>
        </w:rPr>
        <w:t>. They felt this would make them more attractive to the graduate labour market in their field</w:t>
      </w:r>
      <w:r w:rsidR="005F6D7C">
        <w:rPr>
          <w:rFonts w:ascii="Helvetica" w:hAnsi="Helvetica"/>
          <w:lang w:val="en-US"/>
        </w:rPr>
        <w:t>:</w:t>
      </w:r>
    </w:p>
    <w:p w14:paraId="3335BB0E" w14:textId="77777777" w:rsidR="00824A03" w:rsidRDefault="00824A03" w:rsidP="00B0503D">
      <w:pPr>
        <w:spacing w:line="276" w:lineRule="auto"/>
        <w:jc w:val="both"/>
        <w:rPr>
          <w:rFonts w:ascii="Helvetica" w:hAnsi="Helvetica"/>
          <w:lang w:val="en-US"/>
        </w:rPr>
      </w:pPr>
    </w:p>
    <w:p w14:paraId="4822ED3C" w14:textId="460DED64" w:rsidR="009676B5" w:rsidRDefault="009676B5" w:rsidP="009676B5">
      <w:pPr>
        <w:spacing w:after="160" w:line="276" w:lineRule="auto"/>
        <w:jc w:val="both"/>
        <w:rPr>
          <w:rFonts w:ascii="Helvetica" w:eastAsia="Calibri" w:hAnsi="Helvetica"/>
          <w:lang w:eastAsia="en-GB"/>
        </w:rPr>
      </w:pPr>
      <w:r w:rsidRPr="003E7D2A">
        <w:rPr>
          <w:rFonts w:ascii="Helvetica" w:eastAsia="Calibri" w:hAnsi="Helvetica"/>
          <w:lang w:eastAsia="en-GB"/>
        </w:rPr>
        <w:t>“I’ve actually got an</w:t>
      </w:r>
      <w:r w:rsidR="008E05F6">
        <w:rPr>
          <w:rFonts w:ascii="Helvetica" w:eastAsia="Calibri" w:hAnsi="Helvetica"/>
          <w:lang w:eastAsia="en-GB"/>
        </w:rPr>
        <w:t xml:space="preserve"> [advertising]</w:t>
      </w:r>
      <w:r w:rsidRPr="003E7D2A">
        <w:rPr>
          <w:rFonts w:ascii="Helvetica" w:eastAsia="Calibri" w:hAnsi="Helvetica"/>
          <w:lang w:eastAsia="en-GB"/>
        </w:rPr>
        <w:t xml:space="preserve"> internship in London so I’m going straight down to do that </w:t>
      </w:r>
      <w:r>
        <w:rPr>
          <w:rFonts w:ascii="Helvetica" w:eastAsia="Calibri" w:hAnsi="Helvetica"/>
          <w:lang w:eastAsia="en-GB"/>
        </w:rPr>
        <w:t>…</w:t>
      </w:r>
      <w:r w:rsidRPr="003E7D2A">
        <w:rPr>
          <w:rFonts w:ascii="Helvetica" w:eastAsia="Calibri" w:hAnsi="Helvetica"/>
          <w:lang w:eastAsia="en-GB"/>
        </w:rPr>
        <w:t xml:space="preserve"> I’m lucky because my parents are able to support me.”</w:t>
      </w:r>
      <w:r w:rsidR="00EB0ABB">
        <w:rPr>
          <w:rFonts w:ascii="Helvetica" w:eastAsia="Calibri" w:hAnsi="Helvetica"/>
          <w:lang w:eastAsia="en-GB"/>
        </w:rPr>
        <w:t xml:space="preserve"> (David, Post-1992, Non-WP, BA)</w:t>
      </w:r>
      <w:r w:rsidRPr="003E7D2A">
        <w:rPr>
          <w:rFonts w:ascii="Helvetica" w:eastAsia="Calibri" w:hAnsi="Helvetica"/>
          <w:lang w:eastAsia="en-GB"/>
        </w:rPr>
        <w:t xml:space="preserve"> </w:t>
      </w:r>
    </w:p>
    <w:p w14:paraId="22A9AA76" w14:textId="53715F85" w:rsidR="009676B5" w:rsidRDefault="001F02EC" w:rsidP="00B0503D">
      <w:pPr>
        <w:spacing w:line="276" w:lineRule="auto"/>
        <w:jc w:val="both"/>
        <w:rPr>
          <w:rFonts w:ascii="Helvetica" w:hAnsi="Helvetica"/>
          <w:lang w:val="en-US"/>
        </w:rPr>
      </w:pPr>
      <w:r>
        <w:rPr>
          <w:rFonts w:ascii="Helvetica" w:hAnsi="Helvetica"/>
          <w:lang w:val="en-US"/>
        </w:rPr>
        <w:t>All three acknowledged that familial financial support would need to be drawn upon to cover the costs of a year out to build professional experience often in a voluntary capacity.</w:t>
      </w:r>
    </w:p>
    <w:p w14:paraId="02BB99BA" w14:textId="77777777" w:rsidR="00776545" w:rsidRDefault="00776545" w:rsidP="00B0503D">
      <w:pPr>
        <w:spacing w:line="276" w:lineRule="auto"/>
        <w:jc w:val="both"/>
        <w:rPr>
          <w:rFonts w:ascii="Helvetica" w:hAnsi="Helvetica"/>
          <w:lang w:val="en-US"/>
        </w:rPr>
      </w:pPr>
    </w:p>
    <w:p w14:paraId="5EE53603" w14:textId="41FAB5EE" w:rsidR="00776545" w:rsidRDefault="00776545" w:rsidP="00776545">
      <w:pPr>
        <w:spacing w:line="276" w:lineRule="auto"/>
        <w:jc w:val="both"/>
        <w:rPr>
          <w:rFonts w:ascii="Helvetica" w:hAnsi="Helvetica"/>
          <w:lang w:val="en-US"/>
        </w:rPr>
      </w:pPr>
      <w:r>
        <w:rPr>
          <w:rFonts w:ascii="Helvetica" w:hAnsi="Helvetica"/>
          <w:lang w:val="en-US"/>
        </w:rPr>
        <w:t>In 2015</w:t>
      </w:r>
      <w:r w:rsidR="00F15582">
        <w:rPr>
          <w:rFonts w:ascii="Helvetica" w:hAnsi="Helvetica"/>
          <w:lang w:val="en-US"/>
        </w:rPr>
        <w:t>,</w:t>
      </w:r>
      <w:r>
        <w:rPr>
          <w:rFonts w:ascii="Helvetica" w:hAnsi="Helvetica"/>
          <w:lang w:val="en-US"/>
        </w:rPr>
        <w:t xml:space="preserve"> only </w:t>
      </w:r>
      <w:r w:rsidR="00C538DF">
        <w:rPr>
          <w:rFonts w:ascii="Helvetica" w:hAnsi="Helvetica"/>
          <w:lang w:val="en-US"/>
        </w:rPr>
        <w:t xml:space="preserve">one </w:t>
      </w:r>
      <w:r>
        <w:rPr>
          <w:rFonts w:ascii="Helvetica" w:hAnsi="Helvetica"/>
          <w:lang w:val="en-US"/>
        </w:rPr>
        <w:t>student without WP status (RG: Annabel) felt she needed a year out to build employability experience in relation to a chosen career, “</w:t>
      </w:r>
      <w:r w:rsidRPr="0038413F">
        <w:rPr>
          <w:rFonts w:ascii="Helvetica" w:eastAsia="Calibri" w:hAnsi="Helvetica"/>
          <w:lang w:eastAsia="en-GB"/>
        </w:rPr>
        <w:t xml:space="preserve">I feel there’s got to be </w:t>
      </w:r>
      <w:r w:rsidR="00F15582">
        <w:rPr>
          <w:rFonts w:ascii="Helvetica" w:eastAsia="Calibri" w:hAnsi="Helvetica"/>
          <w:lang w:eastAsia="en-GB"/>
        </w:rPr>
        <w:t>…</w:t>
      </w:r>
      <w:r w:rsidRPr="0038413F">
        <w:rPr>
          <w:rFonts w:ascii="Helvetica" w:eastAsia="Calibri" w:hAnsi="Helvetica"/>
          <w:lang w:eastAsia="en-GB"/>
        </w:rPr>
        <w:t xml:space="preserve"> more stages before I can get to any j</w:t>
      </w:r>
      <w:r w:rsidR="00F15582">
        <w:rPr>
          <w:rFonts w:ascii="Helvetica" w:eastAsia="Calibri" w:hAnsi="Helvetica"/>
          <w:lang w:eastAsia="en-GB"/>
        </w:rPr>
        <w:t>ob that I’d actually want to do</w:t>
      </w:r>
      <w:r>
        <w:rPr>
          <w:rFonts w:ascii="Helvetica" w:eastAsia="Calibri" w:hAnsi="Helvetica"/>
          <w:lang w:eastAsia="en-GB"/>
        </w:rPr>
        <w:t xml:space="preserve">” (Annabel, RG, Non-WP, BMus). </w:t>
      </w:r>
      <w:r w:rsidR="00C538DF">
        <w:rPr>
          <w:rFonts w:ascii="Helvetica" w:eastAsia="Calibri" w:hAnsi="Helvetica"/>
          <w:lang w:eastAsia="en-GB"/>
        </w:rPr>
        <w:t xml:space="preserve">However, </w:t>
      </w:r>
      <w:r w:rsidR="007227A3">
        <w:rPr>
          <w:rFonts w:ascii="Helvetica" w:eastAsia="Calibri" w:hAnsi="Helvetica"/>
          <w:lang w:eastAsia="en-GB"/>
        </w:rPr>
        <w:t xml:space="preserve">three </w:t>
      </w:r>
      <w:r w:rsidR="00BE1887">
        <w:rPr>
          <w:rFonts w:ascii="Helvetica" w:eastAsia="Calibri" w:hAnsi="Helvetica"/>
          <w:lang w:eastAsia="en-GB"/>
        </w:rPr>
        <w:t xml:space="preserve">students from WP backgrounds (Post-1992: </w:t>
      </w:r>
      <w:r w:rsidR="00BE1887">
        <w:rPr>
          <w:rFonts w:ascii="Helvetica" w:hAnsi="Helvetica"/>
          <w:lang w:val="en-US"/>
        </w:rPr>
        <w:t xml:space="preserve">Annie; RG: Francesca, Vazir) </w:t>
      </w:r>
      <w:r w:rsidR="00BE1887">
        <w:rPr>
          <w:rFonts w:ascii="Helvetica" w:eastAsia="Calibri" w:hAnsi="Helvetica"/>
          <w:lang w:eastAsia="en-GB"/>
        </w:rPr>
        <w:t xml:space="preserve">also reported an intention to take a graduate </w:t>
      </w:r>
      <w:r w:rsidR="002B2FF9">
        <w:rPr>
          <w:rFonts w:ascii="Helvetica" w:eastAsia="Calibri" w:hAnsi="Helvetica"/>
          <w:lang w:eastAsia="en-GB"/>
        </w:rPr>
        <w:t>gap year to build up experience. Annie and Francesca both plan</w:t>
      </w:r>
      <w:r w:rsidR="00F15582">
        <w:rPr>
          <w:rFonts w:ascii="Helvetica" w:eastAsia="Calibri" w:hAnsi="Helvetica"/>
          <w:lang w:eastAsia="en-GB"/>
        </w:rPr>
        <w:t>ned</w:t>
      </w:r>
      <w:r w:rsidR="002B2FF9">
        <w:rPr>
          <w:rFonts w:ascii="Helvetica" w:eastAsia="Calibri" w:hAnsi="Helvetica"/>
          <w:lang w:eastAsia="en-GB"/>
        </w:rPr>
        <w:t xml:space="preserve"> to combine travel with building up work experience in a broad</w:t>
      </w:r>
      <w:r w:rsidR="00F15582">
        <w:rPr>
          <w:rFonts w:ascii="Helvetica" w:eastAsia="Calibri" w:hAnsi="Helvetica"/>
          <w:lang w:eastAsia="en-GB"/>
        </w:rPr>
        <w:t>er</w:t>
      </w:r>
      <w:r w:rsidR="002B2FF9">
        <w:rPr>
          <w:rFonts w:ascii="Helvetica" w:eastAsia="Calibri" w:hAnsi="Helvetica"/>
          <w:lang w:eastAsia="en-GB"/>
        </w:rPr>
        <w:t xml:space="preserve"> sense through temporary jobs:</w:t>
      </w:r>
    </w:p>
    <w:p w14:paraId="1A55F32C" w14:textId="77777777" w:rsidR="00776545" w:rsidRDefault="00776545" w:rsidP="00776545">
      <w:pPr>
        <w:spacing w:line="276" w:lineRule="auto"/>
        <w:jc w:val="both"/>
        <w:rPr>
          <w:rFonts w:ascii="Helvetica" w:hAnsi="Helvetica"/>
          <w:lang w:val="en-US"/>
        </w:rPr>
      </w:pPr>
    </w:p>
    <w:p w14:paraId="0E36C91C" w14:textId="4A2232F1" w:rsidR="002B2FF9" w:rsidRDefault="00776545" w:rsidP="00776545">
      <w:pPr>
        <w:spacing w:line="276" w:lineRule="auto"/>
        <w:jc w:val="both"/>
        <w:rPr>
          <w:rFonts w:ascii="Helvetica" w:eastAsia="Calibri" w:hAnsi="Helvetica"/>
          <w:lang w:eastAsia="en-GB"/>
        </w:rPr>
      </w:pPr>
      <w:r>
        <w:rPr>
          <w:rFonts w:ascii="Helvetica" w:eastAsia="Calibri" w:hAnsi="Helvetica"/>
          <w:lang w:eastAsia="en-GB"/>
        </w:rPr>
        <w:t>‘</w:t>
      </w:r>
      <w:r w:rsidRPr="00B9217D">
        <w:rPr>
          <w:rFonts w:ascii="Helvetica" w:eastAsia="Calibri" w:hAnsi="Helvetica"/>
          <w:lang w:eastAsia="en-GB"/>
        </w:rPr>
        <w:t>I haven’t had a year out yet so I’m thinking of doing work experience this summer to try to build the CV up and then I want to travel a bit as well but not extreme like some people; just around Europe just to see a few countries before I get too old and get stuck in a job</w:t>
      </w:r>
      <w:r>
        <w:rPr>
          <w:rFonts w:ascii="Helvetica" w:eastAsia="Calibri" w:hAnsi="Helvetica"/>
          <w:lang w:eastAsia="en-GB"/>
        </w:rPr>
        <w:t xml:space="preserve">.’ (Annie, </w:t>
      </w:r>
      <w:r w:rsidR="002B2FF9">
        <w:rPr>
          <w:rFonts w:ascii="Helvetica" w:eastAsia="Calibri" w:hAnsi="Helvetica"/>
          <w:lang w:eastAsia="en-GB"/>
        </w:rPr>
        <w:t xml:space="preserve">Post-1992, </w:t>
      </w:r>
      <w:r w:rsidR="0043543E">
        <w:rPr>
          <w:rFonts w:ascii="Helvetica" w:eastAsia="Calibri" w:hAnsi="Helvetica"/>
          <w:lang w:eastAsia="en-GB"/>
        </w:rPr>
        <w:t xml:space="preserve">WP, </w:t>
      </w:r>
      <w:r>
        <w:rPr>
          <w:rFonts w:ascii="Helvetica" w:eastAsia="Calibri" w:hAnsi="Helvetica"/>
          <w:lang w:eastAsia="en-GB"/>
        </w:rPr>
        <w:t>BA)</w:t>
      </w:r>
    </w:p>
    <w:p w14:paraId="66CDFF07" w14:textId="77777777" w:rsidR="002B2FF9" w:rsidRDefault="002B2FF9" w:rsidP="00776545">
      <w:pPr>
        <w:spacing w:line="276" w:lineRule="auto"/>
        <w:jc w:val="both"/>
        <w:rPr>
          <w:rFonts w:ascii="Helvetica" w:eastAsia="Calibri" w:hAnsi="Helvetica"/>
          <w:lang w:eastAsia="en-GB"/>
        </w:rPr>
      </w:pPr>
    </w:p>
    <w:p w14:paraId="418F37B7" w14:textId="56BBECC7" w:rsidR="00776545" w:rsidRDefault="002B2FF9" w:rsidP="00776545">
      <w:pPr>
        <w:spacing w:line="276" w:lineRule="auto"/>
        <w:jc w:val="both"/>
        <w:rPr>
          <w:rFonts w:ascii="Helvetica" w:eastAsia="Calibri" w:hAnsi="Helvetica"/>
          <w:lang w:eastAsia="en-GB"/>
        </w:rPr>
      </w:pPr>
      <w:r>
        <w:rPr>
          <w:rFonts w:ascii="Helvetica" w:eastAsia="Calibri" w:hAnsi="Helvetica"/>
          <w:lang w:eastAsia="en-GB"/>
        </w:rPr>
        <w:t xml:space="preserve">Vazir </w:t>
      </w:r>
      <w:r w:rsidR="0072539E">
        <w:rPr>
          <w:rFonts w:ascii="Helvetica" w:eastAsia="Calibri" w:hAnsi="Helvetica"/>
          <w:lang w:eastAsia="en-GB"/>
        </w:rPr>
        <w:t>was</w:t>
      </w:r>
      <w:r>
        <w:rPr>
          <w:rFonts w:ascii="Helvetica" w:eastAsia="Calibri" w:hAnsi="Helvetica"/>
          <w:lang w:eastAsia="en-GB"/>
        </w:rPr>
        <w:t xml:space="preserve"> clear about what career </w:t>
      </w:r>
      <w:r w:rsidR="007227A3">
        <w:rPr>
          <w:rFonts w:ascii="Helvetica" w:eastAsia="Calibri" w:hAnsi="Helvetica"/>
          <w:lang w:eastAsia="en-GB"/>
        </w:rPr>
        <w:t xml:space="preserve">he </w:t>
      </w:r>
      <w:r>
        <w:rPr>
          <w:rFonts w:ascii="Helvetica" w:eastAsia="Calibri" w:hAnsi="Helvetica"/>
          <w:lang w:eastAsia="en-GB"/>
        </w:rPr>
        <w:t>want</w:t>
      </w:r>
      <w:r w:rsidR="0072539E">
        <w:rPr>
          <w:rFonts w:ascii="Helvetica" w:eastAsia="Calibri" w:hAnsi="Helvetica"/>
          <w:lang w:eastAsia="en-GB"/>
        </w:rPr>
        <w:t>ed</w:t>
      </w:r>
      <w:r>
        <w:rPr>
          <w:rFonts w:ascii="Helvetica" w:eastAsia="Calibri" w:hAnsi="Helvetica"/>
          <w:lang w:eastAsia="en-GB"/>
        </w:rPr>
        <w:t xml:space="preserve"> to </w:t>
      </w:r>
      <w:r w:rsidR="0018678B">
        <w:rPr>
          <w:rFonts w:ascii="Helvetica" w:eastAsia="Calibri" w:hAnsi="Helvetica"/>
          <w:lang w:eastAsia="en-GB"/>
        </w:rPr>
        <w:t>enter</w:t>
      </w:r>
      <w:r>
        <w:rPr>
          <w:rFonts w:ascii="Helvetica" w:eastAsia="Calibri" w:hAnsi="Helvetica"/>
          <w:lang w:eastAsia="en-GB"/>
        </w:rPr>
        <w:t>, but fel</w:t>
      </w:r>
      <w:r w:rsidR="0072539E">
        <w:rPr>
          <w:rFonts w:ascii="Helvetica" w:eastAsia="Calibri" w:hAnsi="Helvetica"/>
          <w:lang w:eastAsia="en-GB"/>
        </w:rPr>
        <w:t>t</w:t>
      </w:r>
      <w:r>
        <w:rPr>
          <w:rFonts w:ascii="Helvetica" w:eastAsia="Calibri" w:hAnsi="Helvetica"/>
          <w:lang w:eastAsia="en-GB"/>
        </w:rPr>
        <w:t xml:space="preserve"> </w:t>
      </w:r>
      <w:r w:rsidR="007227A3">
        <w:rPr>
          <w:rFonts w:ascii="Helvetica" w:eastAsia="Calibri" w:hAnsi="Helvetica"/>
          <w:lang w:eastAsia="en-GB"/>
        </w:rPr>
        <w:t xml:space="preserve">he </w:t>
      </w:r>
      <w:r w:rsidR="0072539E">
        <w:rPr>
          <w:rFonts w:ascii="Helvetica" w:eastAsia="Calibri" w:hAnsi="Helvetica"/>
          <w:lang w:eastAsia="en-GB"/>
        </w:rPr>
        <w:t>was</w:t>
      </w:r>
      <w:r>
        <w:rPr>
          <w:rFonts w:ascii="Helvetica" w:eastAsia="Calibri" w:hAnsi="Helvetica"/>
          <w:lang w:eastAsia="en-GB"/>
        </w:rPr>
        <w:t xml:space="preserve"> currently </w:t>
      </w:r>
      <w:r w:rsidR="0018678B">
        <w:rPr>
          <w:rFonts w:ascii="Helvetica" w:eastAsia="Calibri" w:hAnsi="Helvetica"/>
          <w:lang w:eastAsia="en-GB"/>
        </w:rPr>
        <w:t>lacking experience in that particular field</w:t>
      </w:r>
      <w:r w:rsidR="005D213C">
        <w:rPr>
          <w:rFonts w:ascii="Helvetica" w:eastAsia="Calibri" w:hAnsi="Helvetica"/>
          <w:lang w:eastAsia="en-GB"/>
        </w:rPr>
        <w:t xml:space="preserve">, which </w:t>
      </w:r>
      <w:r w:rsidR="0072539E">
        <w:rPr>
          <w:rFonts w:ascii="Helvetica" w:eastAsia="Calibri" w:hAnsi="Helvetica"/>
          <w:lang w:eastAsia="en-GB"/>
        </w:rPr>
        <w:t>was</w:t>
      </w:r>
      <w:r w:rsidR="005D213C">
        <w:rPr>
          <w:rFonts w:ascii="Helvetica" w:eastAsia="Calibri" w:hAnsi="Helvetica"/>
          <w:lang w:eastAsia="en-GB"/>
        </w:rPr>
        <w:t xml:space="preserve"> preventing </w:t>
      </w:r>
      <w:r w:rsidR="007227A3">
        <w:rPr>
          <w:rFonts w:ascii="Helvetica" w:eastAsia="Calibri" w:hAnsi="Helvetica"/>
          <w:lang w:eastAsia="en-GB"/>
        </w:rPr>
        <w:t xml:space="preserve">him </w:t>
      </w:r>
      <w:r w:rsidR="005D213C">
        <w:rPr>
          <w:rFonts w:ascii="Helvetica" w:eastAsia="Calibri" w:hAnsi="Helvetica"/>
          <w:lang w:eastAsia="en-GB"/>
        </w:rPr>
        <w:t xml:space="preserve">from getting the job </w:t>
      </w:r>
      <w:r w:rsidR="007227A3">
        <w:rPr>
          <w:rFonts w:ascii="Helvetica" w:eastAsia="Calibri" w:hAnsi="Helvetica"/>
          <w:lang w:eastAsia="en-GB"/>
        </w:rPr>
        <w:t xml:space="preserve">he </w:t>
      </w:r>
      <w:r w:rsidR="005D213C">
        <w:rPr>
          <w:rFonts w:ascii="Helvetica" w:eastAsia="Calibri" w:hAnsi="Helvetica"/>
          <w:lang w:eastAsia="en-GB"/>
        </w:rPr>
        <w:t>want</w:t>
      </w:r>
      <w:r w:rsidR="007227A3">
        <w:rPr>
          <w:rFonts w:ascii="Helvetica" w:eastAsia="Calibri" w:hAnsi="Helvetica"/>
          <w:lang w:eastAsia="en-GB"/>
        </w:rPr>
        <w:t>s</w:t>
      </w:r>
      <w:r w:rsidR="005D213C">
        <w:rPr>
          <w:rFonts w:ascii="Helvetica" w:eastAsia="Calibri" w:hAnsi="Helvetica"/>
          <w:lang w:eastAsia="en-GB"/>
        </w:rPr>
        <w:t xml:space="preserve"> when </w:t>
      </w:r>
      <w:r w:rsidR="007227A3">
        <w:rPr>
          <w:rFonts w:ascii="Helvetica" w:eastAsia="Calibri" w:hAnsi="Helvetica"/>
          <w:lang w:eastAsia="en-GB"/>
        </w:rPr>
        <w:t xml:space="preserve">he </w:t>
      </w:r>
      <w:r w:rsidR="005D213C">
        <w:rPr>
          <w:rFonts w:ascii="Helvetica" w:eastAsia="Calibri" w:hAnsi="Helvetica"/>
          <w:lang w:eastAsia="en-GB"/>
        </w:rPr>
        <w:t>graduate</w:t>
      </w:r>
      <w:r w:rsidR="007227A3">
        <w:rPr>
          <w:rFonts w:ascii="Helvetica" w:eastAsia="Calibri" w:hAnsi="Helvetica"/>
          <w:lang w:eastAsia="en-GB"/>
        </w:rPr>
        <w:t>s</w:t>
      </w:r>
      <w:r w:rsidR="005D213C">
        <w:rPr>
          <w:rFonts w:ascii="Helvetica" w:eastAsia="Calibri" w:hAnsi="Helvetica"/>
          <w:lang w:eastAsia="en-GB"/>
        </w:rPr>
        <w:t xml:space="preserve">: </w:t>
      </w:r>
    </w:p>
    <w:p w14:paraId="1FF43C27" w14:textId="77777777" w:rsidR="005D213C" w:rsidRDefault="005D213C" w:rsidP="00776545">
      <w:pPr>
        <w:spacing w:line="276" w:lineRule="auto"/>
        <w:jc w:val="both"/>
        <w:rPr>
          <w:rFonts w:ascii="Helvetica" w:eastAsia="Calibri" w:hAnsi="Helvetica"/>
          <w:lang w:eastAsia="en-GB"/>
        </w:rPr>
      </w:pPr>
    </w:p>
    <w:p w14:paraId="169CBF5E" w14:textId="6985738C" w:rsidR="005D213C" w:rsidRDefault="005D213C" w:rsidP="005D213C">
      <w:pPr>
        <w:spacing w:line="276" w:lineRule="auto"/>
        <w:jc w:val="both"/>
        <w:rPr>
          <w:rFonts w:ascii="Helvetica" w:eastAsia="Calibri" w:hAnsi="Helvetica"/>
          <w:lang w:eastAsia="en-GB"/>
        </w:rPr>
      </w:pPr>
      <w:r>
        <w:rPr>
          <w:rFonts w:ascii="Helvetica" w:eastAsia="Calibri" w:hAnsi="Helvetica"/>
          <w:lang w:eastAsia="en-GB"/>
        </w:rPr>
        <w:t>“</w:t>
      </w:r>
      <w:r w:rsidRPr="00521D8A">
        <w:rPr>
          <w:rFonts w:ascii="Helvetica" w:eastAsia="Calibri" w:hAnsi="Helvetica"/>
          <w:lang w:eastAsia="en-GB"/>
        </w:rPr>
        <w:t>I want to start working within the [Finance] sector. I’ve applied to many grad</w:t>
      </w:r>
      <w:r>
        <w:rPr>
          <w:rFonts w:ascii="Helvetica" w:eastAsia="Calibri" w:hAnsi="Helvetica"/>
          <w:lang w:eastAsia="en-GB"/>
        </w:rPr>
        <w:t>uate</w:t>
      </w:r>
      <w:r w:rsidRPr="00521D8A">
        <w:rPr>
          <w:rFonts w:ascii="Helvetica" w:eastAsia="Calibri" w:hAnsi="Helvetica"/>
          <w:lang w:eastAsia="en-GB"/>
        </w:rPr>
        <w:t xml:space="preserve"> schemes but I’m now settling on </w:t>
      </w:r>
      <w:r>
        <w:rPr>
          <w:rFonts w:ascii="Helvetica" w:eastAsia="Calibri" w:hAnsi="Helvetica"/>
          <w:lang w:eastAsia="en-GB"/>
        </w:rPr>
        <w:t>[temping]</w:t>
      </w:r>
      <w:r w:rsidRPr="00521D8A">
        <w:rPr>
          <w:rFonts w:ascii="Helvetica" w:eastAsia="Calibri" w:hAnsi="Helvetica"/>
          <w:lang w:eastAsia="en-GB"/>
        </w:rPr>
        <w:t xml:space="preserve"> agencies</w:t>
      </w:r>
      <w:r>
        <w:rPr>
          <w:rFonts w:ascii="Helvetica" w:eastAsia="Calibri" w:hAnsi="Helvetica"/>
          <w:lang w:eastAsia="en-GB"/>
        </w:rPr>
        <w:t xml:space="preserve"> </w:t>
      </w:r>
      <w:r w:rsidRPr="00521D8A">
        <w:rPr>
          <w:rFonts w:ascii="Helvetica" w:eastAsia="Calibri" w:hAnsi="Helvetica"/>
          <w:lang w:eastAsia="en-GB"/>
        </w:rPr>
        <w:t xml:space="preserve">after I graduate, just to get experience, because I was faltering </w:t>
      </w:r>
      <w:r>
        <w:rPr>
          <w:rFonts w:ascii="Helvetica" w:eastAsia="Calibri" w:hAnsi="Helvetica"/>
          <w:lang w:eastAsia="en-GB"/>
        </w:rPr>
        <w:t xml:space="preserve">[on the graduate scheme applications] </w:t>
      </w:r>
      <w:r w:rsidRPr="00521D8A">
        <w:rPr>
          <w:rFonts w:ascii="Helvetica" w:eastAsia="Calibri" w:hAnsi="Helvetica"/>
          <w:lang w:eastAsia="en-GB"/>
        </w:rPr>
        <w:t>through experience mainly, rather than grades, so a year of experience could help me</w:t>
      </w:r>
      <w:r w:rsidRPr="006F53D0">
        <w:rPr>
          <w:rFonts w:ascii="Helvetica" w:eastAsia="Calibri" w:hAnsi="Helvetica"/>
          <w:lang w:eastAsia="en-GB"/>
        </w:rPr>
        <w:t>.</w:t>
      </w:r>
      <w:r>
        <w:rPr>
          <w:rFonts w:ascii="Helvetica" w:eastAsia="Calibri" w:hAnsi="Helvetica"/>
          <w:lang w:eastAsia="en-GB"/>
        </w:rPr>
        <w:t xml:space="preserve">” (Vazir, </w:t>
      </w:r>
      <w:r w:rsidR="001C5594">
        <w:rPr>
          <w:rFonts w:ascii="Helvetica" w:eastAsia="Calibri" w:hAnsi="Helvetica"/>
          <w:lang w:eastAsia="en-GB"/>
        </w:rPr>
        <w:t xml:space="preserve">RG, </w:t>
      </w:r>
      <w:r w:rsidR="0043543E">
        <w:rPr>
          <w:rFonts w:ascii="Helvetica" w:eastAsia="Calibri" w:hAnsi="Helvetica"/>
          <w:lang w:eastAsia="en-GB"/>
        </w:rPr>
        <w:t xml:space="preserve">WP, </w:t>
      </w:r>
      <w:r>
        <w:rPr>
          <w:rFonts w:ascii="Helvetica" w:eastAsia="Calibri" w:hAnsi="Helvetica"/>
          <w:lang w:eastAsia="en-GB"/>
        </w:rPr>
        <w:t>BA)</w:t>
      </w:r>
    </w:p>
    <w:p w14:paraId="14E56EF1" w14:textId="77777777" w:rsidR="007227A3" w:rsidRDefault="007227A3" w:rsidP="007227A3">
      <w:pPr>
        <w:spacing w:line="276" w:lineRule="auto"/>
        <w:jc w:val="both"/>
        <w:rPr>
          <w:rFonts w:ascii="Helvetica" w:eastAsia="Calibri" w:hAnsi="Helvetica"/>
          <w:lang w:eastAsia="en-GB"/>
        </w:rPr>
      </w:pPr>
    </w:p>
    <w:p w14:paraId="718D9014" w14:textId="11AA2247" w:rsidR="005D213C" w:rsidRDefault="007227A3" w:rsidP="007227A3">
      <w:pPr>
        <w:spacing w:line="276" w:lineRule="auto"/>
        <w:jc w:val="both"/>
        <w:rPr>
          <w:rFonts w:ascii="Helvetica" w:eastAsia="Calibri" w:hAnsi="Helvetica"/>
          <w:lang w:eastAsia="en-GB"/>
        </w:rPr>
      </w:pPr>
      <w:r>
        <w:rPr>
          <w:rFonts w:ascii="Helvetica" w:eastAsia="Calibri" w:hAnsi="Helvetica"/>
          <w:lang w:eastAsia="en-GB"/>
        </w:rPr>
        <w:t xml:space="preserve">A key distinction in this category is between those who take a graduate gap year because they do not feel they have developed the skills for graduate employment and those who take a year out to complete an internship. One is reactive and one is proactive. </w:t>
      </w:r>
      <w:r w:rsidR="001C5594">
        <w:rPr>
          <w:rFonts w:ascii="Helvetica" w:eastAsia="Calibri" w:hAnsi="Helvetica"/>
          <w:lang w:eastAsia="en-GB"/>
        </w:rPr>
        <w:t>Perhaps surprisingly, those taking up an internship all referred to it as a year out, although less surprisingly they were all from more advantaged backgrounds.</w:t>
      </w:r>
      <w:r w:rsidR="005D213C" w:rsidRPr="00B9217D">
        <w:rPr>
          <w:rFonts w:ascii="Helvetica" w:eastAsia="Calibri" w:hAnsi="Helvetica"/>
          <w:lang w:eastAsia="en-GB"/>
        </w:rPr>
        <w:t xml:space="preserve"> </w:t>
      </w:r>
    </w:p>
    <w:p w14:paraId="6813E4CF" w14:textId="77777777" w:rsidR="005D213C" w:rsidRPr="005D213C" w:rsidRDefault="005D213C" w:rsidP="00B0503D">
      <w:pPr>
        <w:spacing w:line="276" w:lineRule="auto"/>
        <w:jc w:val="both"/>
        <w:rPr>
          <w:rFonts w:ascii="Helvetica" w:eastAsia="Calibri" w:hAnsi="Helvetica"/>
          <w:lang w:eastAsia="en-GB"/>
        </w:rPr>
      </w:pPr>
    </w:p>
    <w:p w14:paraId="62DEF941" w14:textId="7095DFE7" w:rsidR="004B1F97" w:rsidRDefault="000C530A" w:rsidP="00B0503D">
      <w:pPr>
        <w:spacing w:line="276" w:lineRule="auto"/>
        <w:jc w:val="both"/>
        <w:rPr>
          <w:rFonts w:ascii="Helvetica" w:hAnsi="Helvetica"/>
          <w:lang w:val="en-US"/>
        </w:rPr>
      </w:pPr>
      <w:r w:rsidRPr="00DA02EA">
        <w:rPr>
          <w:rFonts w:ascii="Helvetica" w:hAnsi="Helvetica"/>
          <w:b/>
          <w:i/>
          <w:lang w:val="en-US"/>
        </w:rPr>
        <w:t>A year out to work out next steps</w:t>
      </w:r>
    </w:p>
    <w:p w14:paraId="69B7DC03" w14:textId="570701C5" w:rsidR="000C530A" w:rsidRDefault="008752AE" w:rsidP="00E77AC8">
      <w:pPr>
        <w:spacing w:line="276" w:lineRule="auto"/>
        <w:jc w:val="both"/>
        <w:rPr>
          <w:rFonts w:ascii="Helvetica" w:eastAsia="Calibri" w:hAnsi="Helvetica"/>
          <w:lang w:eastAsia="en-GB"/>
        </w:rPr>
      </w:pPr>
      <w:r>
        <w:rPr>
          <w:rFonts w:ascii="Helvetica" w:hAnsi="Helvetica"/>
          <w:lang w:val="en-US"/>
        </w:rPr>
        <w:t>Only those in the sample who graduated in 2014 experienced this category of graduate gap year</w:t>
      </w:r>
      <w:r w:rsidR="00E330E0">
        <w:rPr>
          <w:rFonts w:ascii="Helvetica" w:hAnsi="Helvetica"/>
          <w:lang w:val="en-US"/>
        </w:rPr>
        <w:t xml:space="preserve">. </w:t>
      </w:r>
      <w:r w:rsidR="00CE4782">
        <w:rPr>
          <w:rFonts w:ascii="Helvetica" w:hAnsi="Helvetica"/>
          <w:lang w:val="en-US"/>
        </w:rPr>
        <w:t xml:space="preserve">Two male and four female students </w:t>
      </w:r>
      <w:r w:rsidR="00E330E0">
        <w:rPr>
          <w:rFonts w:ascii="Helvetica" w:hAnsi="Helvetica"/>
          <w:lang w:val="en-US"/>
        </w:rPr>
        <w:t>reported</w:t>
      </w:r>
      <w:r w:rsidR="00CE4782">
        <w:rPr>
          <w:rFonts w:ascii="Helvetica" w:hAnsi="Helvetica"/>
          <w:lang w:val="en-US"/>
        </w:rPr>
        <w:t xml:space="preserve"> the reason for taking a year out was to create thinking space to help them work out their next steps in relation to work, adulthood and independence. </w:t>
      </w:r>
      <w:r w:rsidR="00E330E0">
        <w:rPr>
          <w:rFonts w:ascii="Helvetica" w:hAnsi="Helvetica"/>
          <w:lang w:val="en-US"/>
        </w:rPr>
        <w:t>T</w:t>
      </w:r>
      <w:r w:rsidR="00CE4782">
        <w:rPr>
          <w:rFonts w:ascii="Helvetica" w:hAnsi="Helvetica"/>
          <w:lang w:val="en-US"/>
        </w:rPr>
        <w:t xml:space="preserve">hese students were unsure what they should do with their </w:t>
      </w:r>
      <w:r w:rsidR="00E330E0">
        <w:rPr>
          <w:rFonts w:ascii="Helvetica" w:hAnsi="Helvetica"/>
          <w:lang w:val="en-US"/>
        </w:rPr>
        <w:t>future</w:t>
      </w:r>
      <w:r w:rsidR="00CE4782">
        <w:rPr>
          <w:rFonts w:ascii="Helvetica" w:hAnsi="Helvetica"/>
          <w:lang w:val="en-US"/>
        </w:rPr>
        <w:t xml:space="preserve">. Two </w:t>
      </w:r>
      <w:r w:rsidR="00323FBC">
        <w:rPr>
          <w:rFonts w:ascii="Helvetica" w:hAnsi="Helvetica"/>
          <w:lang w:val="en-US"/>
        </w:rPr>
        <w:t xml:space="preserve">were planning to gain this thinking space by travelling. Lydia (RG, WP, BA) had saved money whilst being at university and felt she did not need to ‘rush into a job’ and Gemma (Post-1992, Non-WP, BA) said she would ‘probably travel because I’ve got nothing else to do’, which would be </w:t>
      </w:r>
      <w:r w:rsidR="00773AE7">
        <w:rPr>
          <w:rFonts w:ascii="Helvetica" w:hAnsi="Helvetica"/>
          <w:lang w:val="en-US"/>
        </w:rPr>
        <w:t>funded</w:t>
      </w:r>
      <w:r w:rsidR="00323FBC">
        <w:rPr>
          <w:rFonts w:ascii="Helvetica" w:hAnsi="Helvetica"/>
          <w:lang w:val="en-US"/>
        </w:rPr>
        <w:t xml:space="preserve"> by her mother.</w:t>
      </w:r>
      <w:r w:rsidR="00CE4782">
        <w:rPr>
          <w:rFonts w:ascii="Helvetica" w:hAnsi="Helvetica"/>
          <w:lang w:val="en-US"/>
        </w:rPr>
        <w:t xml:space="preserve"> </w:t>
      </w:r>
      <w:r w:rsidR="00E77AC8">
        <w:rPr>
          <w:rFonts w:ascii="Helvetica" w:hAnsi="Helvetica"/>
          <w:lang w:val="en-US"/>
        </w:rPr>
        <w:t xml:space="preserve">The other four students were planning to </w:t>
      </w:r>
      <w:r w:rsidR="005B79A9">
        <w:rPr>
          <w:rFonts w:ascii="Helvetica" w:hAnsi="Helvetica"/>
          <w:lang w:val="en-US"/>
        </w:rPr>
        <w:t xml:space="preserve">create thinking space by </w:t>
      </w:r>
      <w:r w:rsidR="00E77AC8">
        <w:rPr>
          <w:rFonts w:ascii="Helvetica" w:hAnsi="Helvetica"/>
          <w:lang w:val="en-US"/>
        </w:rPr>
        <w:t>either t</w:t>
      </w:r>
      <w:r w:rsidR="000C530A">
        <w:rPr>
          <w:rFonts w:ascii="Helvetica" w:hAnsi="Helvetica"/>
          <w:lang w:val="en-US"/>
        </w:rPr>
        <w:t>urn</w:t>
      </w:r>
      <w:r w:rsidR="005B79A9">
        <w:rPr>
          <w:rFonts w:ascii="Helvetica" w:hAnsi="Helvetica"/>
          <w:lang w:val="en-US"/>
        </w:rPr>
        <w:t>ing</w:t>
      </w:r>
      <w:r w:rsidR="000C530A">
        <w:rPr>
          <w:rFonts w:ascii="Helvetica" w:hAnsi="Helvetica"/>
          <w:lang w:val="en-US"/>
        </w:rPr>
        <w:t xml:space="preserve"> their </w:t>
      </w:r>
      <w:r w:rsidR="00E77AC8">
        <w:rPr>
          <w:rFonts w:ascii="Helvetica" w:hAnsi="Helvetica"/>
          <w:lang w:val="en-US"/>
        </w:rPr>
        <w:t xml:space="preserve">current </w:t>
      </w:r>
      <w:r w:rsidR="000C530A">
        <w:rPr>
          <w:rFonts w:ascii="Helvetica" w:hAnsi="Helvetica"/>
          <w:lang w:val="en-US"/>
        </w:rPr>
        <w:t>part-time job into full-time hours or tak</w:t>
      </w:r>
      <w:r w:rsidR="00773AE7">
        <w:rPr>
          <w:rFonts w:ascii="Helvetica" w:hAnsi="Helvetica"/>
          <w:lang w:val="en-US"/>
        </w:rPr>
        <w:t>ing</w:t>
      </w:r>
      <w:r w:rsidR="00D07A78">
        <w:rPr>
          <w:rFonts w:ascii="Helvetica" w:hAnsi="Helvetica"/>
          <w:lang w:val="en-US"/>
        </w:rPr>
        <w:t xml:space="preserve"> on</w:t>
      </w:r>
      <w:r w:rsidR="000C530A">
        <w:rPr>
          <w:rFonts w:ascii="Helvetica" w:hAnsi="Helvetica"/>
          <w:lang w:val="en-US"/>
        </w:rPr>
        <w:t xml:space="preserve"> low paid work</w:t>
      </w:r>
      <w:r w:rsidR="00E77AC8">
        <w:rPr>
          <w:rFonts w:ascii="Helvetica" w:hAnsi="Helvetica"/>
          <w:lang w:val="en-US"/>
        </w:rPr>
        <w:t>.</w:t>
      </w:r>
      <w:r w:rsidR="000C530A">
        <w:rPr>
          <w:rFonts w:ascii="Helvetica" w:hAnsi="Helvetica"/>
          <w:lang w:val="en-US"/>
        </w:rPr>
        <w:t xml:space="preserve"> Munnas</w:t>
      </w:r>
      <w:r w:rsidR="00E77AC8">
        <w:rPr>
          <w:rFonts w:ascii="Helvetica" w:hAnsi="Helvetica"/>
          <w:lang w:val="en-US"/>
        </w:rPr>
        <w:t xml:space="preserve"> (RG, WP, BA)</w:t>
      </w:r>
      <w:r w:rsidR="00495009">
        <w:rPr>
          <w:rFonts w:ascii="Helvetica" w:hAnsi="Helvetica"/>
          <w:lang w:val="en-US"/>
        </w:rPr>
        <w:t>,</w:t>
      </w:r>
      <w:r w:rsidR="000C530A">
        <w:rPr>
          <w:rFonts w:ascii="Helvetica" w:hAnsi="Helvetica"/>
          <w:lang w:val="en-US"/>
        </w:rPr>
        <w:t xml:space="preserve"> Abdul</w:t>
      </w:r>
      <w:r w:rsidR="00E77AC8">
        <w:rPr>
          <w:rFonts w:ascii="Helvetica" w:hAnsi="Helvetica"/>
          <w:lang w:val="en-US"/>
        </w:rPr>
        <w:t xml:space="preserve"> (RG, WP, BSc) </w:t>
      </w:r>
      <w:r w:rsidR="00495009">
        <w:rPr>
          <w:rFonts w:ascii="Helvetica" w:hAnsi="Helvetica"/>
          <w:lang w:val="en-US"/>
        </w:rPr>
        <w:t xml:space="preserve">and Nia (RG, Non-WP, BSc) </w:t>
      </w:r>
      <w:r w:rsidR="00E065B5">
        <w:rPr>
          <w:rFonts w:ascii="Helvetica" w:hAnsi="Helvetica"/>
          <w:lang w:val="en-US"/>
        </w:rPr>
        <w:t xml:space="preserve">described </w:t>
      </w:r>
      <w:r w:rsidR="00785503">
        <w:rPr>
          <w:rFonts w:ascii="Helvetica" w:hAnsi="Helvetica"/>
          <w:lang w:val="en-US"/>
        </w:rPr>
        <w:t xml:space="preserve">already </w:t>
      </w:r>
      <w:r w:rsidR="00E065B5">
        <w:rPr>
          <w:rFonts w:ascii="Helvetica" w:hAnsi="Helvetica"/>
          <w:lang w:val="en-US"/>
        </w:rPr>
        <w:t>having</w:t>
      </w:r>
      <w:r w:rsidR="00E77AC8">
        <w:rPr>
          <w:rFonts w:ascii="Helvetica" w:hAnsi="Helvetica"/>
          <w:lang w:val="en-US"/>
        </w:rPr>
        <w:t xml:space="preserve"> </w:t>
      </w:r>
      <w:r w:rsidR="00E065B5">
        <w:rPr>
          <w:rFonts w:ascii="Helvetica" w:hAnsi="Helvetica"/>
          <w:lang w:val="en-US"/>
        </w:rPr>
        <w:t xml:space="preserve">part-time </w:t>
      </w:r>
      <w:r w:rsidR="00E77AC8">
        <w:rPr>
          <w:rFonts w:ascii="Helvetica" w:hAnsi="Helvetica"/>
          <w:lang w:val="en-US"/>
        </w:rPr>
        <w:t>‘good’, ‘proper’ jobs</w:t>
      </w:r>
      <w:r w:rsidR="00B91EE7">
        <w:rPr>
          <w:rFonts w:ascii="Helvetica" w:hAnsi="Helvetica"/>
          <w:lang w:val="en-US"/>
        </w:rPr>
        <w:t xml:space="preserve"> in retail</w:t>
      </w:r>
      <w:r w:rsidR="000C530A">
        <w:rPr>
          <w:rFonts w:ascii="Helvetica" w:hAnsi="Helvetica"/>
          <w:lang w:val="en-US"/>
        </w:rPr>
        <w:t>,</w:t>
      </w:r>
      <w:r w:rsidR="00E77AC8">
        <w:rPr>
          <w:rFonts w:ascii="Helvetica" w:hAnsi="Helvetica"/>
          <w:lang w:val="en-US"/>
        </w:rPr>
        <w:t xml:space="preserve"> which they would be taking on </w:t>
      </w:r>
      <w:r w:rsidR="00E330E0">
        <w:rPr>
          <w:rFonts w:ascii="Helvetica" w:hAnsi="Helvetica"/>
          <w:lang w:val="en-US"/>
        </w:rPr>
        <w:t xml:space="preserve">in a </w:t>
      </w:r>
      <w:r w:rsidR="00E77AC8">
        <w:rPr>
          <w:rFonts w:ascii="Helvetica" w:hAnsi="Helvetica"/>
          <w:lang w:val="en-US"/>
        </w:rPr>
        <w:t xml:space="preserve">full-time </w:t>
      </w:r>
      <w:r w:rsidR="00E330E0">
        <w:rPr>
          <w:rFonts w:ascii="Helvetica" w:hAnsi="Helvetica"/>
          <w:lang w:val="en-US"/>
        </w:rPr>
        <w:t xml:space="preserve">capacity </w:t>
      </w:r>
      <w:r w:rsidR="00E77AC8">
        <w:rPr>
          <w:rFonts w:ascii="Helvetica" w:hAnsi="Helvetica"/>
          <w:lang w:val="en-US"/>
        </w:rPr>
        <w:t>after university</w:t>
      </w:r>
      <w:r w:rsidR="00E065B5">
        <w:rPr>
          <w:rFonts w:ascii="Helvetica" w:hAnsi="Helvetica"/>
          <w:lang w:val="en-US"/>
        </w:rPr>
        <w:t>, whilst they work out what to do next</w:t>
      </w:r>
      <w:r w:rsidR="00E77AC8">
        <w:rPr>
          <w:rFonts w:ascii="Helvetica" w:hAnsi="Helvetica"/>
          <w:lang w:val="en-US"/>
        </w:rPr>
        <w:t xml:space="preserve">. </w:t>
      </w:r>
      <w:r w:rsidR="00E065B5">
        <w:rPr>
          <w:rFonts w:ascii="Helvetica" w:hAnsi="Helvetica"/>
          <w:lang w:val="en-US"/>
        </w:rPr>
        <w:t xml:space="preserve">It transpired that </w:t>
      </w:r>
      <w:r w:rsidR="00495009">
        <w:rPr>
          <w:rFonts w:ascii="Helvetica" w:hAnsi="Helvetica"/>
          <w:lang w:val="en-US"/>
        </w:rPr>
        <w:t>Munnas and Abdul</w:t>
      </w:r>
      <w:r w:rsidR="00E065B5">
        <w:rPr>
          <w:rFonts w:ascii="Helvetica" w:hAnsi="Helvetica"/>
          <w:lang w:val="en-US"/>
        </w:rPr>
        <w:t xml:space="preserve"> had been focusing </w:t>
      </w:r>
      <w:r w:rsidR="00D07A78">
        <w:rPr>
          <w:rFonts w:ascii="Helvetica" w:hAnsi="Helvetica"/>
          <w:lang w:val="en-US"/>
        </w:rPr>
        <w:t xml:space="preserve">solely </w:t>
      </w:r>
      <w:r w:rsidR="00E065B5">
        <w:rPr>
          <w:rFonts w:ascii="Helvetica" w:hAnsi="Helvetica"/>
          <w:lang w:val="en-US"/>
        </w:rPr>
        <w:t>on their studies to try to achieve as good a degree classification as possible</w:t>
      </w:r>
      <w:r w:rsidR="005B79A9">
        <w:rPr>
          <w:rFonts w:ascii="Helvetica" w:hAnsi="Helvetica"/>
          <w:lang w:val="en-US"/>
        </w:rPr>
        <w:t xml:space="preserve"> rather than planning their future</w:t>
      </w:r>
      <w:r w:rsidR="00E065B5">
        <w:rPr>
          <w:rFonts w:ascii="Helvetica" w:hAnsi="Helvetica"/>
          <w:lang w:val="en-US"/>
        </w:rPr>
        <w:t xml:space="preserve">. </w:t>
      </w:r>
      <w:r w:rsidR="00747506">
        <w:rPr>
          <w:rFonts w:ascii="Helvetica" w:hAnsi="Helvetica"/>
          <w:lang w:val="en-US"/>
        </w:rPr>
        <w:t xml:space="preserve">Though </w:t>
      </w:r>
      <w:r w:rsidR="00D07A78">
        <w:rPr>
          <w:rFonts w:ascii="Helvetica" w:hAnsi="Helvetica"/>
          <w:lang w:val="en-US"/>
        </w:rPr>
        <w:t>b</w:t>
      </w:r>
      <w:r w:rsidR="00747506">
        <w:rPr>
          <w:rFonts w:ascii="Helvetica" w:hAnsi="Helvetica"/>
          <w:lang w:val="en-US"/>
        </w:rPr>
        <w:t xml:space="preserve">oth were aware that </w:t>
      </w:r>
      <w:r w:rsidR="00D07A78">
        <w:rPr>
          <w:rFonts w:ascii="Helvetica" w:hAnsi="Helvetica"/>
          <w:lang w:val="en-US"/>
        </w:rPr>
        <w:t>graduate</w:t>
      </w:r>
      <w:r w:rsidR="00747506">
        <w:rPr>
          <w:rFonts w:ascii="Helvetica" w:hAnsi="Helvetica"/>
          <w:lang w:val="en-US"/>
        </w:rPr>
        <w:t xml:space="preserve"> transitions were unlikely to be smooth. </w:t>
      </w:r>
      <w:r w:rsidR="001A433E">
        <w:rPr>
          <w:rFonts w:ascii="Helvetica" w:hAnsi="Helvetica"/>
          <w:lang w:val="en-US"/>
        </w:rPr>
        <w:t>Munnas said “</w:t>
      </w:r>
      <w:r w:rsidR="001A433E" w:rsidRPr="004562A4">
        <w:rPr>
          <w:rFonts w:ascii="Helvetica" w:eastAsia="Calibri" w:hAnsi="Helvetica"/>
          <w:lang w:eastAsia="en-GB"/>
        </w:rPr>
        <w:t xml:space="preserve">I think </w:t>
      </w:r>
      <w:r w:rsidR="001A433E">
        <w:rPr>
          <w:rFonts w:ascii="Helvetica" w:eastAsia="Calibri" w:hAnsi="Helvetica"/>
          <w:lang w:eastAsia="en-GB"/>
        </w:rPr>
        <w:t xml:space="preserve">it </w:t>
      </w:r>
      <w:r w:rsidR="001A433E" w:rsidRPr="004562A4">
        <w:rPr>
          <w:rFonts w:ascii="Helvetica" w:eastAsia="Calibri" w:hAnsi="Helvetica"/>
          <w:lang w:eastAsia="en-GB"/>
        </w:rPr>
        <w:t>is going to be hard because when you’re applying for a job there’s probably thousands of others so it’s trying to stand out.”</w:t>
      </w:r>
      <w:r w:rsidR="000C530A">
        <w:rPr>
          <w:rFonts w:ascii="Helvetica" w:hAnsi="Helvetica"/>
          <w:lang w:val="en-US"/>
        </w:rPr>
        <w:t xml:space="preserve"> </w:t>
      </w:r>
      <w:r w:rsidR="0068041D">
        <w:rPr>
          <w:rFonts w:ascii="Helvetica" w:hAnsi="Helvetica"/>
          <w:lang w:val="en-US"/>
        </w:rPr>
        <w:t xml:space="preserve">Nia </w:t>
      </w:r>
      <w:r w:rsidR="00773AE7">
        <w:rPr>
          <w:rFonts w:ascii="Helvetica" w:hAnsi="Helvetica"/>
          <w:lang w:val="en-US"/>
        </w:rPr>
        <w:t>claimed</w:t>
      </w:r>
      <w:r w:rsidR="0068041D">
        <w:rPr>
          <w:rFonts w:ascii="Helvetica" w:hAnsi="Helvetica"/>
          <w:lang w:val="en-US"/>
        </w:rPr>
        <w:t xml:space="preserve"> she was indecisive. </w:t>
      </w:r>
      <w:r w:rsidR="00495009">
        <w:rPr>
          <w:rFonts w:ascii="Helvetica" w:hAnsi="Helvetica"/>
          <w:lang w:val="en-US"/>
        </w:rPr>
        <w:t xml:space="preserve">Ellie </w:t>
      </w:r>
      <w:r w:rsidR="00652E59">
        <w:rPr>
          <w:rFonts w:ascii="Helvetica" w:eastAsia="Calibri" w:hAnsi="Helvetica"/>
          <w:lang w:eastAsia="en-GB"/>
        </w:rPr>
        <w:t xml:space="preserve">(Post-1992, WP, BA) </w:t>
      </w:r>
      <w:r w:rsidR="00495009">
        <w:rPr>
          <w:rFonts w:ascii="Helvetica" w:hAnsi="Helvetica"/>
          <w:lang w:val="en-US"/>
        </w:rPr>
        <w:t>was unsure about how to get a job in her field of choice (disability sport)</w:t>
      </w:r>
      <w:r w:rsidR="00D07A78">
        <w:rPr>
          <w:rFonts w:ascii="Helvetica" w:hAnsi="Helvetica"/>
          <w:lang w:val="en-US"/>
        </w:rPr>
        <w:t>, she suspected it might involve needing to study a postgraduate course</w:t>
      </w:r>
      <w:r w:rsidR="00495009">
        <w:rPr>
          <w:rFonts w:ascii="Helvetica" w:hAnsi="Helvetica"/>
          <w:lang w:val="en-US"/>
        </w:rPr>
        <w:t xml:space="preserve"> and therefore </w:t>
      </w:r>
      <w:r w:rsidR="006606A5">
        <w:rPr>
          <w:rFonts w:ascii="Helvetica" w:hAnsi="Helvetica"/>
          <w:lang w:val="en-US"/>
        </w:rPr>
        <w:t>needed ‘time out’ to look into this.</w:t>
      </w:r>
    </w:p>
    <w:p w14:paraId="68E33E32" w14:textId="77777777" w:rsidR="0082135C" w:rsidRDefault="0082135C" w:rsidP="00E77AC8">
      <w:pPr>
        <w:spacing w:line="276" w:lineRule="auto"/>
        <w:jc w:val="both"/>
        <w:rPr>
          <w:rFonts w:ascii="Helvetica" w:eastAsia="Calibri" w:hAnsi="Helvetica"/>
          <w:highlight w:val="yellow"/>
          <w:lang w:eastAsia="en-GB"/>
        </w:rPr>
      </w:pPr>
    </w:p>
    <w:p w14:paraId="46A48026" w14:textId="00D1EF3F" w:rsidR="00D07A78" w:rsidRPr="00BB6FA3" w:rsidRDefault="00D07A78" w:rsidP="00D07A78">
      <w:pPr>
        <w:spacing w:line="276" w:lineRule="auto"/>
        <w:jc w:val="both"/>
        <w:rPr>
          <w:rFonts w:ascii="Helvetica" w:hAnsi="Helvetica"/>
          <w:lang w:val="en-US"/>
        </w:rPr>
      </w:pPr>
      <w:r w:rsidRPr="00EE2554">
        <w:rPr>
          <w:rFonts w:ascii="Helvetica" w:hAnsi="Helvetica"/>
          <w:b/>
          <w:i/>
          <w:lang w:val="en-US"/>
        </w:rPr>
        <w:t>A year out to take a break</w:t>
      </w:r>
      <w:r>
        <w:rPr>
          <w:rFonts w:ascii="Helvetica" w:hAnsi="Helvetica"/>
          <w:b/>
          <w:i/>
          <w:lang w:val="en-US"/>
        </w:rPr>
        <w:t xml:space="preserve"> </w:t>
      </w:r>
    </w:p>
    <w:p w14:paraId="2FD50294" w14:textId="033BC57E" w:rsidR="00D07A78" w:rsidRDefault="00EE2554" w:rsidP="00D07A78">
      <w:pPr>
        <w:spacing w:line="276" w:lineRule="auto"/>
        <w:jc w:val="both"/>
        <w:rPr>
          <w:rFonts w:ascii="Helvetica" w:hAnsi="Helvetica"/>
          <w:lang w:val="en-US"/>
        </w:rPr>
      </w:pPr>
      <w:r>
        <w:rPr>
          <w:rFonts w:ascii="Helvetica" w:hAnsi="Helvetica"/>
          <w:lang w:val="en-US"/>
        </w:rPr>
        <w:t>Only tw</w:t>
      </w:r>
      <w:r w:rsidR="00773AE7">
        <w:rPr>
          <w:rFonts w:ascii="Helvetica" w:hAnsi="Helvetica"/>
          <w:lang w:val="en-US"/>
        </w:rPr>
        <w:t>o female students in the sample</w:t>
      </w:r>
      <w:r>
        <w:rPr>
          <w:rFonts w:ascii="Helvetica" w:hAnsi="Helvetica"/>
          <w:lang w:val="en-US"/>
        </w:rPr>
        <w:t xml:space="preserve"> experienced this category</w:t>
      </w:r>
      <w:r w:rsidR="00D07A78">
        <w:rPr>
          <w:rFonts w:ascii="Helvetica" w:hAnsi="Helvetica"/>
          <w:lang w:val="en-US"/>
        </w:rPr>
        <w:t>.</w:t>
      </w:r>
      <w:r>
        <w:rPr>
          <w:rFonts w:ascii="Helvetica" w:hAnsi="Helvetica"/>
          <w:lang w:val="en-US"/>
        </w:rPr>
        <w:t xml:space="preserve"> </w:t>
      </w:r>
      <w:r w:rsidR="00773AE7">
        <w:rPr>
          <w:rFonts w:ascii="Helvetica" w:hAnsi="Helvetica"/>
          <w:lang w:val="en-US"/>
        </w:rPr>
        <w:t xml:space="preserve">Both graduated in 2015 and studied at the Russell Group University. </w:t>
      </w:r>
      <w:r>
        <w:rPr>
          <w:rFonts w:ascii="Helvetica" w:hAnsi="Helvetica"/>
          <w:lang w:val="en-US"/>
        </w:rPr>
        <w:t xml:space="preserve">Olivia </w:t>
      </w:r>
      <w:r w:rsidR="00773AE7">
        <w:rPr>
          <w:rFonts w:ascii="Helvetica" w:hAnsi="Helvetica"/>
          <w:lang w:val="en-US"/>
        </w:rPr>
        <w:t>was</w:t>
      </w:r>
      <w:r>
        <w:rPr>
          <w:rFonts w:ascii="Helvetica" w:hAnsi="Helvetica"/>
          <w:lang w:val="en-US"/>
        </w:rPr>
        <w:t xml:space="preserve"> from a non-WP background and was educated at an independent school. She </w:t>
      </w:r>
      <w:r w:rsidR="00773AE7">
        <w:rPr>
          <w:rFonts w:ascii="Helvetica" w:hAnsi="Helvetica"/>
          <w:lang w:val="en-US"/>
        </w:rPr>
        <w:t>was</w:t>
      </w:r>
      <w:r>
        <w:rPr>
          <w:rFonts w:ascii="Helvetica" w:hAnsi="Helvetica"/>
          <w:lang w:val="en-US"/>
        </w:rPr>
        <w:t xml:space="preserve"> planning to take a postgraduate course but first want</w:t>
      </w:r>
      <w:r w:rsidR="00773AE7">
        <w:rPr>
          <w:rFonts w:ascii="Helvetica" w:hAnsi="Helvetica"/>
          <w:lang w:val="en-US"/>
        </w:rPr>
        <w:t>ed</w:t>
      </w:r>
      <w:r>
        <w:rPr>
          <w:rFonts w:ascii="Helvetica" w:hAnsi="Helvetica"/>
          <w:lang w:val="en-US"/>
        </w:rPr>
        <w:t xml:space="preserve"> a ‘year off’ to be able to unwind from the strains of studying:</w:t>
      </w:r>
    </w:p>
    <w:p w14:paraId="1289BCCD" w14:textId="77777777" w:rsidR="00EE2554" w:rsidRDefault="00EE2554" w:rsidP="00D07A78">
      <w:pPr>
        <w:spacing w:line="276" w:lineRule="auto"/>
        <w:jc w:val="both"/>
        <w:rPr>
          <w:rFonts w:ascii="Helvetica" w:hAnsi="Helvetica"/>
          <w:lang w:val="en-US"/>
        </w:rPr>
      </w:pPr>
    </w:p>
    <w:p w14:paraId="27FC11F1" w14:textId="3FAEC176" w:rsidR="00EE2554" w:rsidRDefault="00EE2554" w:rsidP="00EE2554">
      <w:pPr>
        <w:spacing w:line="276" w:lineRule="auto"/>
        <w:jc w:val="both"/>
        <w:rPr>
          <w:rFonts w:ascii="Helvetica" w:eastAsia="Calibri" w:hAnsi="Helvetica"/>
          <w:lang w:eastAsia="en-GB"/>
        </w:rPr>
      </w:pPr>
      <w:r>
        <w:rPr>
          <w:rFonts w:ascii="Helvetica" w:eastAsia="Calibri" w:hAnsi="Helvetica"/>
          <w:lang w:eastAsia="en-GB"/>
        </w:rPr>
        <w:t>“</w:t>
      </w:r>
      <w:r w:rsidRPr="00E63983">
        <w:rPr>
          <w:rFonts w:ascii="Helvetica" w:eastAsia="Calibri" w:hAnsi="Helvetica"/>
          <w:lang w:eastAsia="en-GB"/>
        </w:rPr>
        <w:t>I’m thinking about doing a masters but I want to take a year off to decide... I’m just going to</w:t>
      </w:r>
      <w:r>
        <w:rPr>
          <w:rFonts w:ascii="Helvetica" w:eastAsia="Calibri" w:hAnsi="Helvetica"/>
          <w:lang w:eastAsia="en-GB"/>
        </w:rPr>
        <w:t>…</w:t>
      </w:r>
      <w:r w:rsidRPr="00E63983">
        <w:rPr>
          <w:rFonts w:ascii="Helvetica" w:eastAsia="Calibri" w:hAnsi="Helvetica"/>
          <w:lang w:eastAsia="en-GB"/>
        </w:rPr>
        <w:t xml:space="preserve"> relax basically and pursue hobbies and things like that, just take some time to do things that I haven’t had time to do for the last few years… </w:t>
      </w:r>
      <w:r>
        <w:rPr>
          <w:rFonts w:ascii="Helvetica" w:eastAsia="Calibri" w:hAnsi="Helvetica"/>
          <w:lang w:eastAsia="en-GB"/>
        </w:rPr>
        <w:t xml:space="preserve">[I don’t want] </w:t>
      </w:r>
      <w:r w:rsidRPr="00205E1F">
        <w:rPr>
          <w:rFonts w:ascii="Helvetica" w:eastAsia="Calibri" w:hAnsi="Helvetica"/>
          <w:lang w:eastAsia="en-GB"/>
        </w:rPr>
        <w:t>to take a job that I don’t enjoy or just to pay the bills.  I don’t want to get sucked into something that I don’t like</w:t>
      </w:r>
      <w:r>
        <w:rPr>
          <w:rFonts w:ascii="Helvetica" w:eastAsia="Calibri" w:hAnsi="Helvetica"/>
          <w:lang w:eastAsia="en-GB"/>
        </w:rPr>
        <w:t>.</w:t>
      </w:r>
      <w:r w:rsidRPr="00E63983">
        <w:rPr>
          <w:rFonts w:ascii="Helvetica" w:eastAsia="Calibri" w:hAnsi="Helvetica"/>
          <w:lang w:eastAsia="en-GB"/>
        </w:rPr>
        <w:t>”</w:t>
      </w:r>
      <w:r>
        <w:rPr>
          <w:rFonts w:ascii="Helvetica" w:eastAsia="Calibri" w:hAnsi="Helvetica"/>
          <w:lang w:eastAsia="en-GB"/>
        </w:rPr>
        <w:t xml:space="preserve"> (Olivia, </w:t>
      </w:r>
      <w:r w:rsidR="0043543E">
        <w:rPr>
          <w:rFonts w:ascii="Helvetica" w:eastAsia="Calibri" w:hAnsi="Helvetica"/>
          <w:lang w:eastAsia="en-GB"/>
        </w:rPr>
        <w:t xml:space="preserve">RG, Non-WP, </w:t>
      </w:r>
      <w:r>
        <w:rPr>
          <w:rFonts w:ascii="Helvetica" w:eastAsia="Calibri" w:hAnsi="Helvetica"/>
          <w:lang w:eastAsia="en-GB"/>
        </w:rPr>
        <w:t>BA)</w:t>
      </w:r>
    </w:p>
    <w:p w14:paraId="6890B557" w14:textId="77777777" w:rsidR="00EE2554" w:rsidRDefault="00EE2554" w:rsidP="00EE2554">
      <w:pPr>
        <w:spacing w:line="276" w:lineRule="auto"/>
        <w:jc w:val="both"/>
        <w:rPr>
          <w:rFonts w:ascii="Helvetica" w:hAnsi="Helvetica"/>
          <w:b/>
          <w:i/>
          <w:lang w:val="en-US"/>
        </w:rPr>
      </w:pPr>
    </w:p>
    <w:p w14:paraId="546E6E96" w14:textId="04461825" w:rsidR="00EE2554" w:rsidRPr="00EE2554" w:rsidRDefault="00EE2554" w:rsidP="00EE2554">
      <w:pPr>
        <w:spacing w:line="276" w:lineRule="auto"/>
        <w:jc w:val="both"/>
        <w:rPr>
          <w:rFonts w:ascii="Helvetica" w:hAnsi="Helvetica"/>
          <w:lang w:val="en-US"/>
        </w:rPr>
      </w:pPr>
      <w:r>
        <w:rPr>
          <w:rFonts w:ascii="Helvetica" w:hAnsi="Helvetica"/>
          <w:lang w:val="en-US"/>
        </w:rPr>
        <w:t xml:space="preserve">Shaila </w:t>
      </w:r>
      <w:r w:rsidR="00773AE7">
        <w:rPr>
          <w:rFonts w:ascii="Helvetica" w:hAnsi="Helvetica"/>
          <w:lang w:val="en-US"/>
        </w:rPr>
        <w:t>was</w:t>
      </w:r>
      <w:r>
        <w:rPr>
          <w:rFonts w:ascii="Helvetica" w:hAnsi="Helvetica"/>
          <w:lang w:val="en-US"/>
        </w:rPr>
        <w:t xml:space="preserve"> from a widening participation background and also desire</w:t>
      </w:r>
      <w:r w:rsidR="00773AE7">
        <w:rPr>
          <w:rFonts w:ascii="Helvetica" w:hAnsi="Helvetica"/>
          <w:lang w:val="en-US"/>
        </w:rPr>
        <w:t>d</w:t>
      </w:r>
      <w:r>
        <w:rPr>
          <w:rFonts w:ascii="Helvetica" w:hAnsi="Helvetica"/>
          <w:lang w:val="en-US"/>
        </w:rPr>
        <w:t xml:space="preserve"> to discontinue academic study. However, she </w:t>
      </w:r>
      <w:r w:rsidR="00773AE7">
        <w:rPr>
          <w:rFonts w:ascii="Helvetica" w:hAnsi="Helvetica"/>
          <w:lang w:val="en-US"/>
        </w:rPr>
        <w:t>was</w:t>
      </w:r>
      <w:r>
        <w:rPr>
          <w:rFonts w:ascii="Helvetica" w:hAnsi="Helvetica"/>
          <w:lang w:val="en-US"/>
        </w:rPr>
        <w:t xml:space="preserve"> clear that </w:t>
      </w:r>
      <w:r w:rsidR="00E27849">
        <w:rPr>
          <w:rFonts w:ascii="Helvetica" w:hAnsi="Helvetica"/>
          <w:lang w:val="en-US"/>
        </w:rPr>
        <w:t xml:space="preserve">this </w:t>
      </w:r>
      <w:r w:rsidR="00773AE7">
        <w:rPr>
          <w:rFonts w:ascii="Helvetica" w:hAnsi="Helvetica"/>
          <w:lang w:val="en-US"/>
        </w:rPr>
        <w:t>would</w:t>
      </w:r>
      <w:r w:rsidR="00E27849">
        <w:rPr>
          <w:rFonts w:ascii="Helvetica" w:hAnsi="Helvetica"/>
          <w:lang w:val="en-US"/>
        </w:rPr>
        <w:t xml:space="preserve"> not be a temporary break. She did not enjoy studying at university and </w:t>
      </w:r>
      <w:r w:rsidR="00773AE7">
        <w:rPr>
          <w:rFonts w:ascii="Helvetica" w:hAnsi="Helvetica"/>
          <w:lang w:val="en-US"/>
        </w:rPr>
        <w:t>was</w:t>
      </w:r>
      <w:r w:rsidR="00E27849">
        <w:rPr>
          <w:rFonts w:ascii="Helvetica" w:hAnsi="Helvetica"/>
          <w:lang w:val="en-US"/>
        </w:rPr>
        <w:t xml:space="preserve"> not sure what her future </w:t>
      </w:r>
      <w:r w:rsidR="00773AE7">
        <w:rPr>
          <w:rFonts w:ascii="Helvetica" w:hAnsi="Helvetica"/>
          <w:lang w:val="en-US"/>
        </w:rPr>
        <w:t>would</w:t>
      </w:r>
      <w:r w:rsidR="00E27849">
        <w:rPr>
          <w:rFonts w:ascii="Helvetica" w:hAnsi="Helvetica"/>
          <w:lang w:val="en-US"/>
        </w:rPr>
        <w:t xml:space="preserve"> </w:t>
      </w:r>
      <w:r w:rsidR="00773AE7">
        <w:rPr>
          <w:rFonts w:ascii="Helvetica" w:hAnsi="Helvetica"/>
          <w:lang w:val="en-US"/>
        </w:rPr>
        <w:t xml:space="preserve">now </w:t>
      </w:r>
      <w:r w:rsidR="00E27849">
        <w:rPr>
          <w:rFonts w:ascii="Helvetica" w:hAnsi="Helvetica"/>
          <w:lang w:val="en-US"/>
        </w:rPr>
        <w:t>hold. For Shaila</w:t>
      </w:r>
      <w:r w:rsidR="00773AE7">
        <w:rPr>
          <w:rFonts w:ascii="Helvetica" w:hAnsi="Helvetica"/>
          <w:lang w:val="en-US"/>
        </w:rPr>
        <w:t>,</w:t>
      </w:r>
      <w:r w:rsidR="00E27849">
        <w:rPr>
          <w:rFonts w:ascii="Helvetica" w:hAnsi="Helvetica"/>
          <w:lang w:val="en-US"/>
        </w:rPr>
        <w:t xml:space="preserve"> her planned year </w:t>
      </w:r>
      <w:r w:rsidR="00773AE7">
        <w:rPr>
          <w:rFonts w:ascii="Helvetica" w:hAnsi="Helvetica"/>
          <w:lang w:val="en-US"/>
        </w:rPr>
        <w:t xml:space="preserve">out </w:t>
      </w:r>
      <w:r w:rsidR="00E27849">
        <w:rPr>
          <w:rFonts w:ascii="Helvetica" w:hAnsi="Helvetica"/>
          <w:lang w:val="en-US"/>
        </w:rPr>
        <w:t>in America sounded more like a means of distraction and escape:</w:t>
      </w:r>
    </w:p>
    <w:p w14:paraId="2B955460" w14:textId="77777777" w:rsidR="00EE2554" w:rsidRPr="005948B4" w:rsidRDefault="00EE2554" w:rsidP="00EE2554">
      <w:pPr>
        <w:spacing w:line="276" w:lineRule="auto"/>
        <w:jc w:val="both"/>
        <w:rPr>
          <w:rFonts w:ascii="Helvetica" w:hAnsi="Helvetica"/>
          <w:b/>
          <w:i/>
          <w:lang w:val="en-US"/>
        </w:rPr>
      </w:pPr>
    </w:p>
    <w:p w14:paraId="19D0BA44" w14:textId="2E40B285" w:rsidR="00D07A78" w:rsidRDefault="00D07A78" w:rsidP="00EE2554">
      <w:pPr>
        <w:spacing w:line="276" w:lineRule="auto"/>
        <w:jc w:val="both"/>
        <w:rPr>
          <w:rFonts w:ascii="Helvetica" w:eastAsia="Calibri" w:hAnsi="Helvetica"/>
          <w:lang w:eastAsia="en-GB"/>
        </w:rPr>
      </w:pPr>
      <w:r>
        <w:rPr>
          <w:rFonts w:ascii="Helvetica" w:eastAsia="Calibri" w:hAnsi="Helvetica"/>
          <w:lang w:eastAsia="en-GB"/>
        </w:rPr>
        <w:t>“</w:t>
      </w:r>
      <w:r w:rsidRPr="00E37AF6">
        <w:rPr>
          <w:rFonts w:ascii="Helvetica" w:eastAsia="Calibri" w:hAnsi="Helvetica"/>
          <w:lang w:eastAsia="en-GB"/>
        </w:rPr>
        <w:t>I don’t know exactly what I want to do afte</w:t>
      </w:r>
      <w:r>
        <w:rPr>
          <w:rFonts w:ascii="Helvetica" w:eastAsia="Calibri" w:hAnsi="Helvetica"/>
          <w:lang w:eastAsia="en-GB"/>
        </w:rPr>
        <w:t xml:space="preserve">r I graduate… </w:t>
      </w:r>
      <w:r w:rsidRPr="00E37AF6">
        <w:rPr>
          <w:rFonts w:ascii="Helvetica" w:eastAsia="Calibri" w:hAnsi="Helvetica"/>
          <w:lang w:eastAsia="en-GB"/>
        </w:rPr>
        <w:t>I don’t want to carry on studying</w:t>
      </w:r>
      <w:r>
        <w:rPr>
          <w:rFonts w:ascii="Helvetica" w:eastAsia="Calibri" w:hAnsi="Helvetica"/>
          <w:lang w:eastAsia="en-GB"/>
        </w:rPr>
        <w:t>.</w:t>
      </w:r>
      <w:r w:rsidRPr="00E37AF6">
        <w:rPr>
          <w:rFonts w:ascii="Helvetica" w:eastAsia="Calibri" w:hAnsi="Helvetica"/>
          <w:lang w:eastAsia="en-GB"/>
        </w:rPr>
        <w:t xml:space="preserve"> I’m done with uni now, I’m definitely finished. I don’t like studying, I don’t want to do research or anything</w:t>
      </w:r>
      <w:r>
        <w:rPr>
          <w:rFonts w:ascii="Helvetica" w:eastAsia="Calibri" w:hAnsi="Helvetica"/>
          <w:lang w:eastAsia="en-GB"/>
        </w:rPr>
        <w:t>…</w:t>
      </w:r>
      <w:r w:rsidRPr="00E37AF6">
        <w:rPr>
          <w:rFonts w:ascii="Helvetica" w:eastAsia="Calibri" w:hAnsi="Helvetica"/>
          <w:lang w:eastAsia="en-GB"/>
        </w:rPr>
        <w:t xml:space="preserve"> hopefully I’m moving to America</w:t>
      </w:r>
      <w:r w:rsidR="0043543E">
        <w:rPr>
          <w:rFonts w:ascii="Helvetica" w:eastAsia="Calibri" w:hAnsi="Helvetica"/>
          <w:lang w:eastAsia="en-GB"/>
        </w:rPr>
        <w:t xml:space="preserve"> [for a year]</w:t>
      </w:r>
      <w:r w:rsidRPr="00E37AF6">
        <w:rPr>
          <w:rFonts w:ascii="Helvetica" w:eastAsia="Calibri" w:hAnsi="Helvetica"/>
          <w:lang w:eastAsia="en-GB"/>
        </w:rPr>
        <w:t>, that’s the plan.</w:t>
      </w:r>
      <w:r>
        <w:rPr>
          <w:rFonts w:ascii="Helvetica" w:eastAsia="Calibri" w:hAnsi="Helvetica"/>
          <w:lang w:eastAsia="en-GB"/>
        </w:rPr>
        <w:t xml:space="preserve">” (Shaila, </w:t>
      </w:r>
      <w:r w:rsidR="0043543E">
        <w:rPr>
          <w:rFonts w:ascii="Helvetica" w:eastAsia="Calibri" w:hAnsi="Helvetica"/>
          <w:lang w:eastAsia="en-GB"/>
        </w:rPr>
        <w:t xml:space="preserve">RG, WP, </w:t>
      </w:r>
      <w:r>
        <w:rPr>
          <w:rFonts w:ascii="Helvetica" w:eastAsia="Calibri" w:hAnsi="Helvetica"/>
          <w:lang w:eastAsia="en-GB"/>
        </w:rPr>
        <w:t>BA)</w:t>
      </w:r>
    </w:p>
    <w:p w14:paraId="778675A7" w14:textId="77777777" w:rsidR="00D07A78" w:rsidRDefault="00D07A78" w:rsidP="00D07A78">
      <w:pPr>
        <w:spacing w:line="276" w:lineRule="auto"/>
        <w:jc w:val="both"/>
        <w:rPr>
          <w:rFonts w:ascii="Helvetica" w:eastAsia="Calibri" w:hAnsi="Helvetica"/>
          <w:lang w:eastAsia="en-GB"/>
        </w:rPr>
      </w:pPr>
    </w:p>
    <w:p w14:paraId="478FAB5A" w14:textId="6B6949A7" w:rsidR="0088237A" w:rsidRDefault="00BB6FA3" w:rsidP="00B0503D">
      <w:pPr>
        <w:spacing w:line="276" w:lineRule="auto"/>
        <w:jc w:val="both"/>
        <w:rPr>
          <w:rFonts w:ascii="Helvetica" w:hAnsi="Helvetica"/>
          <w:b/>
          <w:i/>
          <w:lang w:val="en-US"/>
        </w:rPr>
      </w:pPr>
      <w:r w:rsidRPr="0088237A">
        <w:rPr>
          <w:rFonts w:ascii="Helvetica" w:hAnsi="Helvetica"/>
          <w:b/>
          <w:i/>
          <w:lang w:val="en-US"/>
        </w:rPr>
        <w:t xml:space="preserve">A year out to </w:t>
      </w:r>
      <w:r w:rsidR="00A1693A">
        <w:rPr>
          <w:rFonts w:ascii="Helvetica" w:hAnsi="Helvetica"/>
          <w:b/>
          <w:i/>
          <w:lang w:val="en-US"/>
        </w:rPr>
        <w:t>get</w:t>
      </w:r>
      <w:r w:rsidRPr="0088237A">
        <w:rPr>
          <w:rFonts w:ascii="Helvetica" w:hAnsi="Helvetica"/>
          <w:b/>
          <w:i/>
          <w:lang w:val="en-US"/>
        </w:rPr>
        <w:t xml:space="preserve"> </w:t>
      </w:r>
      <w:r w:rsidR="0088237A">
        <w:rPr>
          <w:rFonts w:ascii="Helvetica" w:hAnsi="Helvetica"/>
          <w:b/>
          <w:i/>
          <w:lang w:val="en-US"/>
        </w:rPr>
        <w:t>‘</w:t>
      </w:r>
      <w:r w:rsidRPr="0088237A">
        <w:rPr>
          <w:rFonts w:ascii="Helvetica" w:hAnsi="Helvetica"/>
          <w:b/>
          <w:i/>
          <w:lang w:val="en-US"/>
        </w:rPr>
        <w:t>ordinary work</w:t>
      </w:r>
      <w:r w:rsidR="0088237A">
        <w:rPr>
          <w:rFonts w:ascii="Helvetica" w:hAnsi="Helvetica"/>
          <w:b/>
          <w:i/>
          <w:lang w:val="en-US"/>
        </w:rPr>
        <w:t>’</w:t>
      </w:r>
      <w:r w:rsidRPr="0088237A">
        <w:rPr>
          <w:rFonts w:ascii="Helvetica" w:hAnsi="Helvetica"/>
          <w:b/>
          <w:i/>
          <w:lang w:val="en-US"/>
        </w:rPr>
        <w:t xml:space="preserve"> to earn money</w:t>
      </w:r>
    </w:p>
    <w:p w14:paraId="40A0BD79" w14:textId="466C5595" w:rsidR="003D38EF" w:rsidRDefault="00773AE7" w:rsidP="003D38EF">
      <w:pPr>
        <w:spacing w:line="276" w:lineRule="auto"/>
        <w:jc w:val="both"/>
        <w:rPr>
          <w:rFonts w:ascii="Helvetica" w:hAnsi="Helvetica"/>
          <w:lang w:val="en-US"/>
        </w:rPr>
      </w:pPr>
      <w:r>
        <w:rPr>
          <w:rFonts w:ascii="Helvetica" w:hAnsi="Helvetica"/>
          <w:lang w:val="en-US"/>
        </w:rPr>
        <w:t>This category of gap year was o</w:t>
      </w:r>
      <w:r w:rsidR="0088237A">
        <w:rPr>
          <w:rFonts w:ascii="Helvetica" w:hAnsi="Helvetica"/>
          <w:lang w:val="en-US"/>
        </w:rPr>
        <w:t>nly</w:t>
      </w:r>
      <w:r>
        <w:rPr>
          <w:rFonts w:ascii="Helvetica" w:hAnsi="Helvetica"/>
          <w:lang w:val="en-US"/>
        </w:rPr>
        <w:t xml:space="preserve"> reported by</w:t>
      </w:r>
      <w:r w:rsidR="0088237A">
        <w:rPr>
          <w:rFonts w:ascii="Helvetica" w:hAnsi="Helvetica"/>
          <w:lang w:val="en-US"/>
        </w:rPr>
        <w:t xml:space="preserve"> those who graduated in 2015. </w:t>
      </w:r>
      <w:r w:rsidR="009E2C6D">
        <w:rPr>
          <w:rFonts w:ascii="Helvetica" w:hAnsi="Helvetica"/>
          <w:lang w:val="en-US"/>
        </w:rPr>
        <w:t>T</w:t>
      </w:r>
      <w:r w:rsidR="0088237A">
        <w:rPr>
          <w:rFonts w:ascii="Helvetica" w:hAnsi="Helvetica"/>
          <w:lang w:val="en-US"/>
        </w:rPr>
        <w:t>ak</w:t>
      </w:r>
      <w:r w:rsidR="009E2C6D">
        <w:rPr>
          <w:rFonts w:ascii="Helvetica" w:hAnsi="Helvetica"/>
          <w:lang w:val="en-US"/>
        </w:rPr>
        <w:t>ing</w:t>
      </w:r>
      <w:r w:rsidR="0088237A">
        <w:rPr>
          <w:rFonts w:ascii="Helvetica" w:hAnsi="Helvetica"/>
          <w:lang w:val="en-US"/>
        </w:rPr>
        <w:t xml:space="preserve"> a graduate gap year in a low paid job aligned with one of three specific goals. The first </w:t>
      </w:r>
      <w:r w:rsidR="003D38EF">
        <w:rPr>
          <w:rFonts w:ascii="Helvetica" w:hAnsi="Helvetica"/>
          <w:lang w:val="en-US"/>
        </w:rPr>
        <w:t xml:space="preserve">goal </w:t>
      </w:r>
      <w:r w:rsidR="0088237A">
        <w:rPr>
          <w:rFonts w:ascii="Helvetica" w:hAnsi="Helvetica"/>
          <w:lang w:val="en-US"/>
        </w:rPr>
        <w:t xml:space="preserve">was </w:t>
      </w:r>
      <w:r w:rsidR="003D38EF">
        <w:rPr>
          <w:rFonts w:ascii="Helvetica" w:hAnsi="Helvetica"/>
          <w:lang w:val="en-US"/>
        </w:rPr>
        <w:t xml:space="preserve">taking ‘ordinary work’ </w:t>
      </w:r>
      <w:r w:rsidR="0088237A">
        <w:rPr>
          <w:rFonts w:ascii="Helvetica" w:hAnsi="Helvetica"/>
          <w:lang w:val="en-US"/>
        </w:rPr>
        <w:t>in order to save money to fund postgraduate study</w:t>
      </w:r>
      <w:r w:rsidR="003D38EF">
        <w:rPr>
          <w:rFonts w:ascii="Helvetica" w:hAnsi="Helvetica"/>
          <w:lang w:val="en-US"/>
        </w:rPr>
        <w:t xml:space="preserve"> in the future. All three of these students were from WP backgrounds </w:t>
      </w:r>
      <w:r w:rsidR="00B623B6" w:rsidRPr="003D38EF">
        <w:rPr>
          <w:rFonts w:ascii="Helvetica" w:hAnsi="Helvetica"/>
          <w:lang w:val="en-US"/>
        </w:rPr>
        <w:t>(</w:t>
      </w:r>
      <w:r w:rsidR="003D38EF">
        <w:rPr>
          <w:rFonts w:ascii="Helvetica" w:hAnsi="Helvetica"/>
          <w:lang w:val="en-US"/>
        </w:rPr>
        <w:t xml:space="preserve">Post-1992: Claudia, Joanne; RG: </w:t>
      </w:r>
      <w:r w:rsidR="00B623B6" w:rsidRPr="003D38EF">
        <w:rPr>
          <w:rFonts w:ascii="Helvetica" w:hAnsi="Helvetica"/>
          <w:lang w:val="en-US"/>
        </w:rPr>
        <w:t>Max)</w:t>
      </w:r>
      <w:r w:rsidR="003D38EF">
        <w:rPr>
          <w:rFonts w:ascii="Helvetica" w:hAnsi="Helvetica"/>
          <w:lang w:val="en-US"/>
        </w:rPr>
        <w:t xml:space="preserve">. </w:t>
      </w:r>
    </w:p>
    <w:p w14:paraId="78BCF6B0" w14:textId="77777777" w:rsidR="003D38EF" w:rsidRDefault="003D38EF" w:rsidP="003D38EF">
      <w:pPr>
        <w:spacing w:line="276" w:lineRule="auto"/>
        <w:jc w:val="both"/>
        <w:rPr>
          <w:rFonts w:ascii="Helvetica" w:hAnsi="Helvetica"/>
          <w:lang w:val="en-US"/>
        </w:rPr>
      </w:pPr>
    </w:p>
    <w:p w14:paraId="41BEF15E" w14:textId="2908DDE0" w:rsidR="00711A7C" w:rsidRDefault="00711A7C" w:rsidP="003D38EF">
      <w:pPr>
        <w:spacing w:line="276" w:lineRule="auto"/>
        <w:jc w:val="both"/>
        <w:rPr>
          <w:rFonts w:ascii="Helvetica" w:hAnsi="Helvetica"/>
          <w:lang w:val="en-US"/>
        </w:rPr>
      </w:pPr>
      <w:r>
        <w:rPr>
          <w:rFonts w:ascii="Helvetica" w:hAnsi="Helvetica"/>
          <w:lang w:val="en-US"/>
        </w:rPr>
        <w:t>Max ha</w:t>
      </w:r>
      <w:r w:rsidR="009E2C6D">
        <w:rPr>
          <w:rFonts w:ascii="Helvetica" w:hAnsi="Helvetica"/>
          <w:lang w:val="en-US"/>
        </w:rPr>
        <w:t>d</w:t>
      </w:r>
      <w:r>
        <w:rPr>
          <w:rFonts w:ascii="Helvetica" w:hAnsi="Helvetica"/>
          <w:lang w:val="en-US"/>
        </w:rPr>
        <w:t xml:space="preserve"> already been offered a place on a </w:t>
      </w:r>
      <w:r w:rsidR="009E2C6D">
        <w:rPr>
          <w:rFonts w:ascii="Helvetica" w:hAnsi="Helvetica"/>
          <w:lang w:val="en-US"/>
        </w:rPr>
        <w:t>master’s</w:t>
      </w:r>
      <w:r>
        <w:rPr>
          <w:rFonts w:ascii="Helvetica" w:hAnsi="Helvetica"/>
          <w:lang w:val="en-US"/>
        </w:rPr>
        <w:t xml:space="preserve"> programme at the RG University, but he </w:t>
      </w:r>
      <w:r w:rsidR="009E2C6D">
        <w:rPr>
          <w:rFonts w:ascii="Helvetica" w:hAnsi="Helvetica"/>
          <w:lang w:val="en-US"/>
        </w:rPr>
        <w:t>was</w:t>
      </w:r>
      <w:r>
        <w:rPr>
          <w:rFonts w:ascii="Helvetica" w:hAnsi="Helvetica"/>
          <w:lang w:val="en-US"/>
        </w:rPr>
        <w:t xml:space="preserve"> waiting to see if he ha</w:t>
      </w:r>
      <w:r w:rsidR="009E2C6D">
        <w:rPr>
          <w:rFonts w:ascii="Helvetica" w:hAnsi="Helvetica"/>
          <w:lang w:val="en-US"/>
        </w:rPr>
        <w:t>d</w:t>
      </w:r>
      <w:r>
        <w:rPr>
          <w:rFonts w:ascii="Helvetica" w:hAnsi="Helvetica"/>
          <w:lang w:val="en-US"/>
        </w:rPr>
        <w:t xml:space="preserve"> won a bursary to fund the costs of postgraduate study. If this </w:t>
      </w:r>
      <w:r w:rsidR="009E2C6D">
        <w:rPr>
          <w:rFonts w:ascii="Helvetica" w:hAnsi="Helvetica"/>
          <w:lang w:val="en-US"/>
        </w:rPr>
        <w:t>did</w:t>
      </w:r>
      <w:r>
        <w:rPr>
          <w:rFonts w:ascii="Helvetica" w:hAnsi="Helvetica"/>
          <w:lang w:val="en-US"/>
        </w:rPr>
        <w:t xml:space="preserve"> not happen, his next option </w:t>
      </w:r>
      <w:r w:rsidR="009E2C6D">
        <w:rPr>
          <w:rFonts w:ascii="Helvetica" w:hAnsi="Helvetica"/>
          <w:lang w:val="en-US"/>
        </w:rPr>
        <w:t>was</w:t>
      </w:r>
      <w:r>
        <w:rPr>
          <w:rFonts w:ascii="Helvetica" w:hAnsi="Helvetica"/>
          <w:lang w:val="en-US"/>
        </w:rPr>
        <w:t xml:space="preserve"> to defer the place for one year and to </w:t>
      </w:r>
      <w:r w:rsidR="009E2C6D">
        <w:rPr>
          <w:rFonts w:ascii="Helvetica" w:hAnsi="Helvetica"/>
          <w:lang w:val="en-US"/>
        </w:rPr>
        <w:t>find paid work to build up savings</w:t>
      </w:r>
      <w:r>
        <w:rPr>
          <w:rFonts w:ascii="Helvetica" w:hAnsi="Helvetica"/>
          <w:lang w:val="en-US"/>
        </w:rPr>
        <w:t xml:space="preserve">. For Max, building up financial </w:t>
      </w:r>
      <w:r w:rsidR="009E2C6D">
        <w:rPr>
          <w:rFonts w:ascii="Helvetica" w:hAnsi="Helvetica"/>
          <w:lang w:val="en-US"/>
        </w:rPr>
        <w:t>reserves</w:t>
      </w:r>
      <w:r>
        <w:rPr>
          <w:rFonts w:ascii="Helvetica" w:hAnsi="Helvetica"/>
          <w:lang w:val="en-US"/>
        </w:rPr>
        <w:t xml:space="preserve"> </w:t>
      </w:r>
      <w:r w:rsidR="009E2C6D">
        <w:rPr>
          <w:rFonts w:ascii="Helvetica" w:hAnsi="Helvetica"/>
          <w:lang w:val="en-US"/>
        </w:rPr>
        <w:t>was</w:t>
      </w:r>
      <w:r>
        <w:rPr>
          <w:rFonts w:ascii="Helvetica" w:hAnsi="Helvetica"/>
          <w:lang w:val="en-US"/>
        </w:rPr>
        <w:t xml:space="preserve"> crucial, but doing this via ‘ordinary work’ </w:t>
      </w:r>
      <w:r w:rsidR="009E2C6D">
        <w:rPr>
          <w:rFonts w:ascii="Helvetica" w:hAnsi="Helvetica"/>
          <w:lang w:val="en-US"/>
        </w:rPr>
        <w:t>would</w:t>
      </w:r>
      <w:r>
        <w:rPr>
          <w:rFonts w:ascii="Helvetica" w:hAnsi="Helvetica"/>
          <w:lang w:val="en-US"/>
        </w:rPr>
        <w:t xml:space="preserve"> be a last resort as a result of the </w:t>
      </w:r>
      <w:r w:rsidR="009E2C6D">
        <w:rPr>
          <w:rFonts w:ascii="Helvetica" w:hAnsi="Helvetica"/>
          <w:lang w:val="en-US"/>
        </w:rPr>
        <w:t xml:space="preserve">financial </w:t>
      </w:r>
      <w:r>
        <w:rPr>
          <w:rFonts w:ascii="Helvetica" w:hAnsi="Helvetica"/>
          <w:lang w:val="en-US"/>
        </w:rPr>
        <w:t xml:space="preserve">support </w:t>
      </w:r>
      <w:r w:rsidR="009E2C6D">
        <w:rPr>
          <w:rFonts w:ascii="Helvetica" w:hAnsi="Helvetica"/>
          <w:lang w:val="en-US"/>
        </w:rPr>
        <w:t xml:space="preserve">potentially </w:t>
      </w:r>
      <w:r>
        <w:rPr>
          <w:rFonts w:ascii="Helvetica" w:hAnsi="Helvetica"/>
          <w:lang w:val="en-US"/>
        </w:rPr>
        <w:t>provided by his University:</w:t>
      </w:r>
    </w:p>
    <w:p w14:paraId="530F1A9E" w14:textId="77777777" w:rsidR="00711A7C" w:rsidRDefault="00711A7C" w:rsidP="003D38EF">
      <w:pPr>
        <w:spacing w:line="276" w:lineRule="auto"/>
        <w:jc w:val="both"/>
        <w:rPr>
          <w:rFonts w:ascii="Helvetica" w:hAnsi="Helvetica"/>
          <w:lang w:val="en-US"/>
        </w:rPr>
      </w:pPr>
    </w:p>
    <w:p w14:paraId="05AC104A" w14:textId="422655B5" w:rsidR="003D38EF" w:rsidRPr="00A01644" w:rsidRDefault="003D38EF" w:rsidP="003D38EF">
      <w:pPr>
        <w:spacing w:line="276" w:lineRule="auto"/>
        <w:jc w:val="both"/>
        <w:rPr>
          <w:rFonts w:ascii="Helvetica" w:hAnsi="Helvetica"/>
          <w:b/>
          <w:i/>
          <w:lang w:val="en-US"/>
        </w:rPr>
      </w:pPr>
      <w:r>
        <w:rPr>
          <w:rFonts w:ascii="Helvetica" w:eastAsia="Calibri" w:hAnsi="Helvetica"/>
          <w:lang w:eastAsia="en-GB"/>
        </w:rPr>
        <w:t>“I</w:t>
      </w:r>
      <w:r w:rsidRPr="003E3F92">
        <w:rPr>
          <w:rFonts w:ascii="Helvetica" w:eastAsia="Calibri" w:hAnsi="Helvetica"/>
          <w:lang w:eastAsia="en-GB"/>
        </w:rPr>
        <w:t xml:space="preserve">f it turns out that I don’t get funding </w:t>
      </w:r>
      <w:r>
        <w:rPr>
          <w:rFonts w:ascii="Helvetica" w:eastAsia="Calibri" w:hAnsi="Helvetica"/>
          <w:lang w:eastAsia="en-GB"/>
        </w:rPr>
        <w:t xml:space="preserve">[for postgraduate study] </w:t>
      </w:r>
      <w:r w:rsidRPr="003E3F92">
        <w:rPr>
          <w:rFonts w:ascii="Helvetica" w:eastAsia="Calibri" w:hAnsi="Helvetica"/>
          <w:lang w:eastAsia="en-GB"/>
        </w:rPr>
        <w:t>this year, I will take a gap year, and look for work and possibly with the [Un</w:t>
      </w:r>
      <w:r>
        <w:rPr>
          <w:rFonts w:ascii="Helvetica" w:eastAsia="Calibri" w:hAnsi="Helvetica"/>
          <w:lang w:eastAsia="en-GB"/>
        </w:rPr>
        <w:t xml:space="preserve">iversity] Internship Programme… </w:t>
      </w:r>
      <w:r w:rsidRPr="003E3F92">
        <w:rPr>
          <w:rFonts w:ascii="Helvetica" w:eastAsia="Calibri" w:hAnsi="Helvetica"/>
          <w:lang w:eastAsia="en-GB"/>
        </w:rPr>
        <w:t xml:space="preserve">I think </w:t>
      </w:r>
      <w:r>
        <w:rPr>
          <w:rFonts w:ascii="Helvetica" w:eastAsia="Calibri" w:hAnsi="Helvetica"/>
          <w:lang w:eastAsia="en-GB"/>
        </w:rPr>
        <w:t>finance is</w:t>
      </w:r>
      <w:r w:rsidRPr="003E3F92">
        <w:rPr>
          <w:rFonts w:ascii="Helvetica" w:eastAsia="Calibri" w:hAnsi="Helvetica"/>
          <w:lang w:eastAsia="en-GB"/>
        </w:rPr>
        <w:t xml:space="preserve"> the number one thing in deciding what I’m going to do, it’s just whether I can afford it or I can’t. </w:t>
      </w:r>
      <w:r>
        <w:rPr>
          <w:rFonts w:ascii="Helvetica" w:eastAsia="Calibri" w:hAnsi="Helvetica"/>
          <w:lang w:eastAsia="en-GB"/>
        </w:rPr>
        <w:t>I</w:t>
      </w:r>
      <w:r w:rsidRPr="003E3F92">
        <w:rPr>
          <w:rFonts w:ascii="Helvetica" w:eastAsia="Calibri" w:hAnsi="Helvetica"/>
          <w:lang w:eastAsia="en-GB"/>
        </w:rPr>
        <w:t>t absolutely d</w:t>
      </w:r>
      <w:r w:rsidR="00711A7C">
        <w:rPr>
          <w:rFonts w:ascii="Helvetica" w:eastAsia="Calibri" w:hAnsi="Helvetica"/>
          <w:lang w:eastAsia="en-GB"/>
        </w:rPr>
        <w:t>ecides what I’m doing next year</w:t>
      </w:r>
      <w:r w:rsidRPr="003E3F92">
        <w:rPr>
          <w:rFonts w:ascii="Helvetica" w:eastAsia="Calibri" w:hAnsi="Helvetica"/>
          <w:lang w:eastAsia="en-GB"/>
        </w:rPr>
        <w:t>.</w:t>
      </w:r>
      <w:r>
        <w:rPr>
          <w:rFonts w:ascii="Helvetica" w:eastAsia="Calibri" w:hAnsi="Helvetica"/>
          <w:lang w:eastAsia="en-GB"/>
        </w:rPr>
        <w:t xml:space="preserve">” (Max, </w:t>
      </w:r>
      <w:r w:rsidR="000E5C56">
        <w:rPr>
          <w:rFonts w:ascii="Helvetica" w:eastAsia="Calibri" w:hAnsi="Helvetica"/>
          <w:lang w:eastAsia="en-GB"/>
        </w:rPr>
        <w:t xml:space="preserve">RG, WP, </w:t>
      </w:r>
      <w:r>
        <w:rPr>
          <w:rFonts w:ascii="Helvetica" w:eastAsia="Calibri" w:hAnsi="Helvetica"/>
          <w:lang w:eastAsia="en-GB"/>
        </w:rPr>
        <w:t>BA)</w:t>
      </w:r>
    </w:p>
    <w:p w14:paraId="0450B142" w14:textId="77777777" w:rsidR="003D38EF" w:rsidRDefault="003D38EF" w:rsidP="003D38EF">
      <w:pPr>
        <w:spacing w:line="276" w:lineRule="auto"/>
        <w:jc w:val="both"/>
        <w:rPr>
          <w:rFonts w:ascii="Helvetica" w:hAnsi="Helvetica"/>
          <w:lang w:val="en-US"/>
        </w:rPr>
      </w:pPr>
    </w:p>
    <w:p w14:paraId="0BE787BD" w14:textId="006BBD9B" w:rsidR="003D38EF" w:rsidRDefault="00711A7C" w:rsidP="003D38EF">
      <w:pPr>
        <w:spacing w:line="276" w:lineRule="auto"/>
        <w:jc w:val="both"/>
        <w:rPr>
          <w:rFonts w:ascii="Helvetica" w:hAnsi="Helvetica"/>
          <w:lang w:val="en-US"/>
        </w:rPr>
      </w:pPr>
      <w:r>
        <w:rPr>
          <w:rFonts w:ascii="Helvetica" w:hAnsi="Helvetica"/>
          <w:lang w:val="en-US"/>
        </w:rPr>
        <w:t xml:space="preserve">Building up savings </w:t>
      </w:r>
      <w:r w:rsidR="009E2C6D">
        <w:rPr>
          <w:rFonts w:ascii="Helvetica" w:hAnsi="Helvetica"/>
          <w:lang w:val="en-US"/>
        </w:rPr>
        <w:t>was</w:t>
      </w:r>
      <w:r>
        <w:rPr>
          <w:rFonts w:ascii="Helvetica" w:hAnsi="Helvetica"/>
          <w:lang w:val="en-US"/>
        </w:rPr>
        <w:t xml:space="preserve"> also essential for Claudia and Joanne if they </w:t>
      </w:r>
      <w:r w:rsidR="009E2C6D">
        <w:rPr>
          <w:rFonts w:ascii="Helvetica" w:hAnsi="Helvetica"/>
          <w:lang w:val="en-US"/>
        </w:rPr>
        <w:t>were</w:t>
      </w:r>
      <w:r>
        <w:rPr>
          <w:rFonts w:ascii="Helvetica" w:hAnsi="Helvetica"/>
          <w:lang w:val="en-US"/>
        </w:rPr>
        <w:t xml:space="preserve"> to take up postgraduate study </w:t>
      </w:r>
      <w:r w:rsidR="00FD1EB3">
        <w:rPr>
          <w:rFonts w:ascii="Helvetica" w:hAnsi="Helvetica"/>
          <w:lang w:val="en-US"/>
        </w:rPr>
        <w:t xml:space="preserve">(it is worth noting that the students interviewed were not aware of the imminent introduction of postgraduate loans). </w:t>
      </w:r>
      <w:r>
        <w:rPr>
          <w:rFonts w:ascii="Helvetica" w:hAnsi="Helvetica"/>
          <w:lang w:val="en-US"/>
        </w:rPr>
        <w:t xml:space="preserve">However, </w:t>
      </w:r>
      <w:r w:rsidR="003D38EF">
        <w:rPr>
          <w:rFonts w:ascii="Helvetica" w:hAnsi="Helvetica"/>
          <w:lang w:val="en-US"/>
        </w:rPr>
        <w:t xml:space="preserve">Claudia </w:t>
      </w:r>
      <w:r w:rsidR="009E2C6D">
        <w:rPr>
          <w:rFonts w:ascii="Helvetica" w:hAnsi="Helvetica"/>
          <w:lang w:val="en-US"/>
        </w:rPr>
        <w:t>was</w:t>
      </w:r>
      <w:r>
        <w:rPr>
          <w:rFonts w:ascii="Helvetica" w:hAnsi="Helvetica"/>
          <w:lang w:val="en-US"/>
        </w:rPr>
        <w:t xml:space="preserve"> not sure </w:t>
      </w:r>
      <w:r w:rsidR="00F40F9C">
        <w:rPr>
          <w:rFonts w:ascii="Helvetica" w:hAnsi="Helvetica"/>
          <w:lang w:val="en-US"/>
        </w:rPr>
        <w:t>what postgraduate course to apply for</w:t>
      </w:r>
      <w:r w:rsidR="003D38EF">
        <w:rPr>
          <w:rFonts w:ascii="Helvetica" w:hAnsi="Helvetica"/>
          <w:lang w:val="en-US"/>
        </w:rPr>
        <w:t>:</w:t>
      </w:r>
    </w:p>
    <w:p w14:paraId="1A1723A9" w14:textId="4C4F0752" w:rsidR="00BB6FA3" w:rsidRPr="003D38EF" w:rsidRDefault="003D38EF" w:rsidP="003D38EF">
      <w:pPr>
        <w:spacing w:line="276" w:lineRule="auto"/>
        <w:jc w:val="both"/>
        <w:rPr>
          <w:rFonts w:ascii="Helvetica" w:hAnsi="Helvetica"/>
          <w:lang w:val="en-US"/>
        </w:rPr>
      </w:pPr>
      <w:r>
        <w:rPr>
          <w:rFonts w:ascii="Helvetica" w:hAnsi="Helvetica"/>
          <w:lang w:val="en-US"/>
        </w:rPr>
        <w:t xml:space="preserve"> </w:t>
      </w:r>
    </w:p>
    <w:p w14:paraId="35B6228D" w14:textId="2AEAE5A1" w:rsidR="00C52749" w:rsidRDefault="00A01644" w:rsidP="00A01644">
      <w:pPr>
        <w:spacing w:line="276" w:lineRule="auto"/>
        <w:jc w:val="both"/>
        <w:rPr>
          <w:rFonts w:ascii="Helvetica" w:eastAsia="Calibri" w:hAnsi="Helvetica"/>
          <w:lang w:eastAsia="en-GB"/>
        </w:rPr>
      </w:pPr>
      <w:r w:rsidRPr="00B9217D">
        <w:rPr>
          <w:rFonts w:ascii="Helvetica" w:eastAsia="Calibri" w:hAnsi="Helvetica"/>
          <w:lang w:eastAsia="en-GB"/>
        </w:rPr>
        <w:t xml:space="preserve">“The priority is to get a few years just with ordinary work while I decide what postgraduate degree to take. I’m going to have to take one to follow a career path… but only after I manage to build up my savings… I’m already in my overdraft for this semester as a result for having to pay out for a new laptop </w:t>
      </w:r>
      <w:r>
        <w:rPr>
          <w:rFonts w:ascii="Helvetica" w:eastAsia="Calibri" w:hAnsi="Helvetica"/>
          <w:lang w:eastAsia="en-GB"/>
        </w:rPr>
        <w:t>and it’s had a knock-on effect</w:t>
      </w:r>
      <w:r w:rsidRPr="00B9217D">
        <w:rPr>
          <w:rFonts w:ascii="Helvetica" w:eastAsia="Calibri" w:hAnsi="Helvetica"/>
          <w:lang w:eastAsia="en-GB"/>
        </w:rPr>
        <w:t>…</w:t>
      </w:r>
      <w:r w:rsidRPr="00B9217D">
        <w:rPr>
          <w:rFonts w:ascii="Helvetica" w:eastAsia="Tahoma" w:hAnsi="Helvetica" w:cs="Tahoma"/>
          <w:color w:val="595959" w:themeColor="text1" w:themeTint="A6"/>
          <w:kern w:val="24"/>
        </w:rPr>
        <w:t xml:space="preserve"> </w:t>
      </w:r>
      <w:r w:rsidRPr="00B9217D">
        <w:rPr>
          <w:rFonts w:ascii="Helvetica" w:eastAsia="Calibri" w:hAnsi="Helvetica"/>
          <w:lang w:eastAsia="en-GB"/>
        </w:rPr>
        <w:t xml:space="preserve">I’m from a family that doesn’t have much to support me financially so </w:t>
      </w:r>
      <w:r>
        <w:rPr>
          <w:rFonts w:ascii="Helvetica" w:eastAsia="Calibri" w:hAnsi="Helvetica"/>
          <w:lang w:eastAsia="en-GB"/>
        </w:rPr>
        <w:t>I’ve got to</w:t>
      </w:r>
      <w:r w:rsidRPr="00B9217D">
        <w:rPr>
          <w:rFonts w:ascii="Helvetica" w:eastAsia="Calibri" w:hAnsi="Helvetica"/>
          <w:lang w:eastAsia="en-GB"/>
        </w:rPr>
        <w:t xml:space="preserve"> try to find a job as soon as possible and build up finance as soon as possible</w:t>
      </w:r>
      <w:r>
        <w:rPr>
          <w:rFonts w:ascii="Helvetica" w:eastAsia="Calibri" w:hAnsi="Helvetica"/>
          <w:lang w:eastAsia="en-GB"/>
        </w:rPr>
        <w:t>.</w:t>
      </w:r>
      <w:r w:rsidRPr="00B9217D">
        <w:rPr>
          <w:rFonts w:ascii="Helvetica" w:eastAsia="Calibri" w:hAnsi="Helvetica"/>
          <w:lang w:eastAsia="en-GB"/>
        </w:rPr>
        <w:t>”</w:t>
      </w:r>
      <w:r>
        <w:rPr>
          <w:rFonts w:ascii="Helvetica" w:eastAsia="Calibri" w:hAnsi="Helvetica"/>
          <w:lang w:eastAsia="en-GB"/>
        </w:rPr>
        <w:t xml:space="preserve"> (Claudia, </w:t>
      </w:r>
      <w:r w:rsidR="007B6B64">
        <w:rPr>
          <w:rFonts w:ascii="Helvetica" w:eastAsia="Calibri" w:hAnsi="Helvetica"/>
          <w:lang w:eastAsia="en-GB"/>
        </w:rPr>
        <w:t xml:space="preserve">Post-1992, WP, </w:t>
      </w:r>
      <w:r>
        <w:rPr>
          <w:rFonts w:ascii="Helvetica" w:eastAsia="Calibri" w:hAnsi="Helvetica"/>
          <w:lang w:eastAsia="en-GB"/>
        </w:rPr>
        <w:t>BA)</w:t>
      </w:r>
    </w:p>
    <w:p w14:paraId="3297DD17" w14:textId="77777777" w:rsidR="003D38EF" w:rsidRDefault="003D38EF" w:rsidP="003D38EF">
      <w:pPr>
        <w:spacing w:line="276" w:lineRule="auto"/>
        <w:jc w:val="both"/>
        <w:rPr>
          <w:rFonts w:ascii="Helvetica" w:eastAsia="Calibri" w:hAnsi="Helvetica"/>
          <w:lang w:eastAsia="en-GB"/>
        </w:rPr>
      </w:pPr>
    </w:p>
    <w:p w14:paraId="6B2DD87C" w14:textId="40558C5F" w:rsidR="003D38EF" w:rsidRDefault="003D38EF" w:rsidP="003D38EF">
      <w:pPr>
        <w:spacing w:line="276" w:lineRule="auto"/>
        <w:jc w:val="both"/>
        <w:rPr>
          <w:rFonts w:ascii="Helvetica" w:eastAsia="Calibri" w:hAnsi="Helvetica"/>
          <w:lang w:eastAsia="en-GB"/>
        </w:rPr>
      </w:pPr>
      <w:r>
        <w:rPr>
          <w:rFonts w:ascii="Helvetica" w:eastAsia="Calibri" w:hAnsi="Helvetica"/>
          <w:lang w:eastAsia="en-GB"/>
        </w:rPr>
        <w:t>Joanne could</w:t>
      </w:r>
      <w:r w:rsidRPr="00B9217D">
        <w:rPr>
          <w:rFonts w:ascii="Helvetica" w:eastAsia="Calibri" w:hAnsi="Helvetica"/>
          <w:lang w:eastAsia="en-GB"/>
        </w:rPr>
        <w:t xml:space="preserve"> have gone to university </w:t>
      </w:r>
      <w:r>
        <w:rPr>
          <w:rFonts w:ascii="Helvetica" w:eastAsia="Calibri" w:hAnsi="Helvetica"/>
          <w:lang w:eastAsia="en-GB"/>
        </w:rPr>
        <w:t>a year earlier</w:t>
      </w:r>
      <w:r w:rsidRPr="00B9217D">
        <w:rPr>
          <w:rFonts w:ascii="Helvetica" w:eastAsia="Calibri" w:hAnsi="Helvetica"/>
          <w:lang w:eastAsia="en-GB"/>
        </w:rPr>
        <w:t>, but had to do an extra year at college</w:t>
      </w:r>
      <w:r>
        <w:rPr>
          <w:rFonts w:ascii="Helvetica" w:eastAsia="Calibri" w:hAnsi="Helvetica"/>
          <w:lang w:eastAsia="en-GB"/>
        </w:rPr>
        <w:t xml:space="preserve"> to re-take some of her examinations</w:t>
      </w:r>
      <w:r w:rsidRPr="00B9217D">
        <w:rPr>
          <w:rFonts w:ascii="Helvetica" w:eastAsia="Calibri" w:hAnsi="Helvetica"/>
          <w:lang w:eastAsia="en-GB"/>
        </w:rPr>
        <w:t xml:space="preserve">, so </w:t>
      </w:r>
      <w:r w:rsidR="00F40F9C">
        <w:rPr>
          <w:rFonts w:ascii="Helvetica" w:eastAsia="Calibri" w:hAnsi="Helvetica"/>
          <w:lang w:eastAsia="en-GB"/>
        </w:rPr>
        <w:t xml:space="preserve">she </w:t>
      </w:r>
      <w:r w:rsidRPr="00B9217D">
        <w:rPr>
          <w:rFonts w:ascii="Helvetica" w:eastAsia="Calibri" w:hAnsi="Helvetica"/>
          <w:lang w:eastAsia="en-GB"/>
        </w:rPr>
        <w:t xml:space="preserve">ended up </w:t>
      </w:r>
      <w:r>
        <w:rPr>
          <w:rFonts w:ascii="Helvetica" w:eastAsia="Calibri" w:hAnsi="Helvetica"/>
          <w:lang w:eastAsia="en-GB"/>
        </w:rPr>
        <w:t>starting university the year that</w:t>
      </w:r>
      <w:r w:rsidRPr="00B9217D">
        <w:rPr>
          <w:rFonts w:ascii="Helvetica" w:eastAsia="Calibri" w:hAnsi="Helvetica"/>
          <w:lang w:eastAsia="en-GB"/>
        </w:rPr>
        <w:t xml:space="preserve"> higher fees</w:t>
      </w:r>
      <w:r>
        <w:rPr>
          <w:rFonts w:ascii="Helvetica" w:eastAsia="Calibri" w:hAnsi="Helvetica"/>
          <w:lang w:eastAsia="en-GB"/>
        </w:rPr>
        <w:t xml:space="preserve"> were introduced</w:t>
      </w:r>
      <w:r w:rsidRPr="00B9217D">
        <w:rPr>
          <w:rFonts w:ascii="Helvetica" w:eastAsia="Calibri" w:hAnsi="Helvetica"/>
          <w:lang w:eastAsia="en-GB"/>
        </w:rPr>
        <w:t xml:space="preserve">. </w:t>
      </w:r>
      <w:r>
        <w:rPr>
          <w:rFonts w:ascii="Helvetica" w:eastAsia="Calibri" w:hAnsi="Helvetica"/>
          <w:lang w:eastAsia="en-GB"/>
        </w:rPr>
        <w:t xml:space="preserve">This means that she ended up having </w:t>
      </w:r>
      <w:r w:rsidRPr="00B9217D">
        <w:rPr>
          <w:rFonts w:ascii="Helvetica" w:eastAsia="Calibri" w:hAnsi="Helvetica"/>
          <w:lang w:eastAsia="en-GB"/>
        </w:rPr>
        <w:t xml:space="preserve">two </w:t>
      </w:r>
      <w:r>
        <w:rPr>
          <w:rFonts w:ascii="Helvetica" w:eastAsia="Calibri" w:hAnsi="Helvetica"/>
          <w:lang w:eastAsia="en-GB"/>
        </w:rPr>
        <w:t>(</w:t>
      </w:r>
      <w:r w:rsidRPr="00B9217D">
        <w:rPr>
          <w:rFonts w:ascii="Helvetica" w:eastAsia="Calibri" w:hAnsi="Helvetica"/>
          <w:lang w:eastAsia="en-GB"/>
        </w:rPr>
        <w:t>unintended</w:t>
      </w:r>
      <w:r>
        <w:rPr>
          <w:rFonts w:ascii="Helvetica" w:eastAsia="Calibri" w:hAnsi="Helvetica"/>
          <w:lang w:eastAsia="en-GB"/>
        </w:rPr>
        <w:t>) years out:</w:t>
      </w:r>
    </w:p>
    <w:p w14:paraId="52445E1F" w14:textId="77777777" w:rsidR="0055345A" w:rsidRDefault="0055345A" w:rsidP="00A01644">
      <w:pPr>
        <w:spacing w:line="276" w:lineRule="auto"/>
        <w:jc w:val="both"/>
        <w:rPr>
          <w:rFonts w:ascii="Helvetica" w:eastAsia="Calibri" w:hAnsi="Helvetica"/>
          <w:lang w:eastAsia="en-GB"/>
        </w:rPr>
      </w:pPr>
    </w:p>
    <w:p w14:paraId="44FAD736" w14:textId="1078276F" w:rsidR="0055345A" w:rsidRPr="00B9217D" w:rsidRDefault="0055345A" w:rsidP="0055345A">
      <w:pPr>
        <w:spacing w:after="160" w:line="276" w:lineRule="auto"/>
        <w:rPr>
          <w:rFonts w:ascii="Helvetica" w:eastAsia="Calibri" w:hAnsi="Helvetica"/>
          <w:lang w:eastAsia="en-GB"/>
        </w:rPr>
      </w:pPr>
      <w:r w:rsidRPr="00B9217D">
        <w:rPr>
          <w:rFonts w:ascii="Helvetica" w:eastAsia="Calibri" w:hAnsi="Helvetica"/>
          <w:lang w:eastAsia="en-GB"/>
        </w:rPr>
        <w:t>“I need to do a counselling diploma when I graduate… if I take a year out to save, I can afford it. I’ll get a temporary job for 12 months, hopefully one that is psychology related… but I’m not sure how likely this is</w:t>
      </w:r>
      <w:r>
        <w:rPr>
          <w:rFonts w:ascii="Helvetica" w:eastAsia="Calibri" w:hAnsi="Helvetica"/>
          <w:lang w:eastAsia="en-GB"/>
        </w:rPr>
        <w:t xml:space="preserve">… </w:t>
      </w:r>
      <w:r w:rsidRPr="00B9217D">
        <w:rPr>
          <w:rFonts w:ascii="Helvetica" w:eastAsia="Calibri" w:hAnsi="Helvetica"/>
          <w:lang w:eastAsia="en-GB"/>
        </w:rPr>
        <w:t>I feel confident about getting a temporary job, because I’ve worked since I was 15… so I’ve had quite a lot of experience</w:t>
      </w:r>
      <w:r w:rsidR="003D38EF">
        <w:rPr>
          <w:rFonts w:ascii="Helvetica" w:eastAsia="Calibri" w:hAnsi="Helvetica"/>
          <w:lang w:eastAsia="en-GB"/>
        </w:rPr>
        <w:t xml:space="preserve"> in those sorts of jobs</w:t>
      </w:r>
      <w:r w:rsidRPr="00B9217D">
        <w:rPr>
          <w:rFonts w:ascii="Helvetica" w:eastAsia="Calibri" w:hAnsi="Helvetica"/>
          <w:lang w:eastAsia="en-GB"/>
        </w:rPr>
        <w:t>.”</w:t>
      </w:r>
      <w:r>
        <w:rPr>
          <w:rFonts w:ascii="Helvetica" w:eastAsia="Calibri" w:hAnsi="Helvetica"/>
          <w:lang w:eastAsia="en-GB"/>
        </w:rPr>
        <w:t xml:space="preserve"> (Joanne, </w:t>
      </w:r>
      <w:r w:rsidR="007B6B64">
        <w:rPr>
          <w:rFonts w:ascii="Helvetica" w:eastAsia="Calibri" w:hAnsi="Helvetica"/>
          <w:lang w:eastAsia="en-GB"/>
        </w:rPr>
        <w:t xml:space="preserve">Post-1992, WP, </w:t>
      </w:r>
      <w:r>
        <w:rPr>
          <w:rFonts w:ascii="Helvetica" w:eastAsia="Calibri" w:hAnsi="Helvetica"/>
          <w:lang w:eastAsia="en-GB"/>
        </w:rPr>
        <w:t>BSc)</w:t>
      </w:r>
    </w:p>
    <w:p w14:paraId="3525943E" w14:textId="77777777" w:rsidR="000174EB" w:rsidRDefault="000174EB" w:rsidP="0055345A">
      <w:pPr>
        <w:spacing w:line="276" w:lineRule="auto"/>
        <w:jc w:val="both"/>
        <w:rPr>
          <w:rFonts w:ascii="Helvetica" w:eastAsia="Calibri" w:hAnsi="Helvetica"/>
          <w:lang w:eastAsia="en-GB"/>
        </w:rPr>
      </w:pPr>
    </w:p>
    <w:p w14:paraId="152F9986" w14:textId="50E6ABEA" w:rsidR="003D38EF" w:rsidRDefault="00F40F9C" w:rsidP="0055345A">
      <w:pPr>
        <w:spacing w:line="276" w:lineRule="auto"/>
        <w:jc w:val="both"/>
        <w:rPr>
          <w:rFonts w:ascii="Helvetica" w:eastAsia="Calibri" w:hAnsi="Helvetica"/>
          <w:lang w:eastAsia="en-GB"/>
        </w:rPr>
      </w:pPr>
      <w:r>
        <w:rPr>
          <w:rFonts w:ascii="Helvetica" w:eastAsia="Calibri" w:hAnsi="Helvetica"/>
          <w:lang w:eastAsia="en-GB"/>
        </w:rPr>
        <w:t>Joanne ha</w:t>
      </w:r>
      <w:r w:rsidR="009E2C6D">
        <w:rPr>
          <w:rFonts w:ascii="Helvetica" w:eastAsia="Calibri" w:hAnsi="Helvetica"/>
          <w:lang w:eastAsia="en-GB"/>
        </w:rPr>
        <w:t>d</w:t>
      </w:r>
      <w:r>
        <w:rPr>
          <w:rFonts w:ascii="Helvetica" w:eastAsia="Calibri" w:hAnsi="Helvetica"/>
          <w:lang w:eastAsia="en-GB"/>
        </w:rPr>
        <w:t xml:space="preserve"> a clearer idea of the postgraduate course she want</w:t>
      </w:r>
      <w:r w:rsidR="009E2C6D">
        <w:rPr>
          <w:rFonts w:ascii="Helvetica" w:eastAsia="Calibri" w:hAnsi="Helvetica"/>
          <w:lang w:eastAsia="en-GB"/>
        </w:rPr>
        <w:t>ed</w:t>
      </w:r>
      <w:r>
        <w:rPr>
          <w:rFonts w:ascii="Helvetica" w:eastAsia="Calibri" w:hAnsi="Helvetica"/>
          <w:lang w:eastAsia="en-GB"/>
        </w:rPr>
        <w:t xml:space="preserve"> to study. She </w:t>
      </w:r>
      <w:r w:rsidR="009E2C6D">
        <w:rPr>
          <w:rFonts w:ascii="Helvetica" w:eastAsia="Calibri" w:hAnsi="Helvetica"/>
          <w:lang w:eastAsia="en-GB"/>
        </w:rPr>
        <w:t>knew</w:t>
      </w:r>
      <w:r>
        <w:rPr>
          <w:rFonts w:ascii="Helvetica" w:eastAsia="Calibri" w:hAnsi="Helvetica"/>
          <w:lang w:eastAsia="en-GB"/>
        </w:rPr>
        <w:t xml:space="preserve"> she need</w:t>
      </w:r>
      <w:r w:rsidR="009E2C6D">
        <w:rPr>
          <w:rFonts w:ascii="Helvetica" w:eastAsia="Calibri" w:hAnsi="Helvetica"/>
          <w:lang w:eastAsia="en-GB"/>
        </w:rPr>
        <w:t>ed</w:t>
      </w:r>
      <w:r>
        <w:rPr>
          <w:rFonts w:ascii="Helvetica" w:eastAsia="Calibri" w:hAnsi="Helvetica"/>
          <w:lang w:eastAsia="en-GB"/>
        </w:rPr>
        <w:t xml:space="preserve"> to save up money to fund this, but she also kn</w:t>
      </w:r>
      <w:r w:rsidR="009E2C6D">
        <w:rPr>
          <w:rFonts w:ascii="Helvetica" w:eastAsia="Calibri" w:hAnsi="Helvetica"/>
          <w:lang w:eastAsia="en-GB"/>
        </w:rPr>
        <w:t>ew</w:t>
      </w:r>
      <w:r>
        <w:rPr>
          <w:rFonts w:ascii="Helvetica" w:eastAsia="Calibri" w:hAnsi="Helvetica"/>
          <w:lang w:eastAsia="en-GB"/>
        </w:rPr>
        <w:t xml:space="preserve"> that getting employment in the field related to her future course </w:t>
      </w:r>
      <w:r w:rsidR="009E2C6D">
        <w:rPr>
          <w:rFonts w:ascii="Helvetica" w:eastAsia="Calibri" w:hAnsi="Helvetica"/>
          <w:lang w:eastAsia="en-GB"/>
        </w:rPr>
        <w:t>would</w:t>
      </w:r>
      <w:r>
        <w:rPr>
          <w:rFonts w:ascii="Helvetica" w:eastAsia="Calibri" w:hAnsi="Helvetica"/>
          <w:lang w:eastAsia="en-GB"/>
        </w:rPr>
        <w:t xml:space="preserve"> support her application. However, Joanne demonstrate</w:t>
      </w:r>
      <w:r w:rsidR="009E2C6D">
        <w:rPr>
          <w:rFonts w:ascii="Helvetica" w:eastAsia="Calibri" w:hAnsi="Helvetica"/>
          <w:lang w:eastAsia="en-GB"/>
        </w:rPr>
        <w:t>d</w:t>
      </w:r>
      <w:r>
        <w:rPr>
          <w:rFonts w:ascii="Helvetica" w:eastAsia="Calibri" w:hAnsi="Helvetica"/>
          <w:lang w:eastAsia="en-GB"/>
        </w:rPr>
        <w:t xml:space="preserve"> that she fe</w:t>
      </w:r>
      <w:r w:rsidR="009E2C6D">
        <w:rPr>
          <w:rFonts w:ascii="Helvetica" w:eastAsia="Calibri" w:hAnsi="Helvetica"/>
          <w:lang w:eastAsia="en-GB"/>
        </w:rPr>
        <w:t>lt</w:t>
      </w:r>
      <w:r>
        <w:rPr>
          <w:rFonts w:ascii="Helvetica" w:eastAsia="Calibri" w:hAnsi="Helvetica"/>
          <w:lang w:eastAsia="en-GB"/>
        </w:rPr>
        <w:t xml:space="preserve"> more confident about getting an ‘ordinary’ low paid job during her year out.</w:t>
      </w:r>
    </w:p>
    <w:p w14:paraId="21DA1395" w14:textId="77777777" w:rsidR="00666147" w:rsidRDefault="00666147" w:rsidP="0055345A">
      <w:pPr>
        <w:spacing w:line="276" w:lineRule="auto"/>
        <w:jc w:val="both"/>
        <w:rPr>
          <w:rFonts w:ascii="Helvetica" w:eastAsia="Calibri" w:hAnsi="Helvetica"/>
          <w:lang w:eastAsia="en-GB"/>
        </w:rPr>
      </w:pPr>
    </w:p>
    <w:p w14:paraId="0157DF72" w14:textId="4D23ABC9" w:rsidR="00BB6FA3" w:rsidRPr="005D2DA5" w:rsidRDefault="00666147" w:rsidP="005D2DA5">
      <w:pPr>
        <w:spacing w:line="276" w:lineRule="auto"/>
        <w:jc w:val="both"/>
        <w:rPr>
          <w:rFonts w:ascii="Helvetica" w:eastAsia="Calibri" w:hAnsi="Helvetica"/>
          <w:lang w:eastAsia="en-GB"/>
        </w:rPr>
      </w:pPr>
      <w:r>
        <w:rPr>
          <w:rFonts w:ascii="Helvetica" w:eastAsia="Calibri" w:hAnsi="Helvetica"/>
          <w:lang w:eastAsia="en-GB"/>
        </w:rPr>
        <w:t xml:space="preserve">The second goal identified </w:t>
      </w:r>
      <w:r w:rsidR="005D2DA5">
        <w:rPr>
          <w:rFonts w:ascii="Helvetica" w:eastAsia="Calibri" w:hAnsi="Helvetica"/>
          <w:lang w:eastAsia="en-GB"/>
        </w:rPr>
        <w:t xml:space="preserve">in this category of graduate gap year was </w:t>
      </w:r>
      <w:r w:rsidR="005D2DA5">
        <w:rPr>
          <w:rFonts w:ascii="Helvetica" w:hAnsi="Helvetica"/>
          <w:lang w:val="en-US"/>
        </w:rPr>
        <w:t>t</w:t>
      </w:r>
      <w:r w:rsidR="00BB6FA3" w:rsidRPr="005D2DA5">
        <w:rPr>
          <w:rFonts w:ascii="Helvetica" w:hAnsi="Helvetica"/>
          <w:lang w:val="en-US"/>
        </w:rPr>
        <w:t xml:space="preserve">o save </w:t>
      </w:r>
      <w:r w:rsidR="005D2DA5">
        <w:rPr>
          <w:rFonts w:ascii="Helvetica" w:hAnsi="Helvetica"/>
          <w:lang w:val="en-US"/>
        </w:rPr>
        <w:t xml:space="preserve">money </w:t>
      </w:r>
      <w:r w:rsidR="00BB6FA3" w:rsidRPr="005D2DA5">
        <w:rPr>
          <w:rFonts w:ascii="Helvetica" w:hAnsi="Helvetica"/>
          <w:lang w:val="en-US"/>
        </w:rPr>
        <w:t>for travelling</w:t>
      </w:r>
      <w:r w:rsidR="00AC5DD2" w:rsidRPr="005D2DA5">
        <w:rPr>
          <w:rFonts w:ascii="Helvetica" w:hAnsi="Helvetica"/>
          <w:lang w:val="en-US"/>
        </w:rPr>
        <w:t xml:space="preserve"> </w:t>
      </w:r>
      <w:r w:rsidR="005D2DA5">
        <w:rPr>
          <w:rFonts w:ascii="Helvetica" w:hAnsi="Helvetica"/>
          <w:lang w:val="en-US"/>
        </w:rPr>
        <w:t>purposes, although only one student in the sample fitted this type and she was from a WP background and graduated in 2015 from the Post-1992 University:</w:t>
      </w:r>
    </w:p>
    <w:p w14:paraId="4B69D250" w14:textId="77777777" w:rsidR="00C52749" w:rsidRDefault="00C52749" w:rsidP="00C52749">
      <w:pPr>
        <w:pStyle w:val="ListParagraph"/>
        <w:spacing w:line="276" w:lineRule="auto"/>
        <w:ind w:left="1440"/>
        <w:jc w:val="both"/>
        <w:rPr>
          <w:rFonts w:ascii="Helvetica" w:hAnsi="Helvetica"/>
          <w:b/>
          <w:i/>
          <w:lang w:val="en-US"/>
        </w:rPr>
      </w:pPr>
    </w:p>
    <w:p w14:paraId="7D2A0A60" w14:textId="5D069486" w:rsidR="005948B4" w:rsidRDefault="005948B4" w:rsidP="005948B4">
      <w:pPr>
        <w:spacing w:line="276" w:lineRule="auto"/>
        <w:jc w:val="both"/>
        <w:rPr>
          <w:rFonts w:ascii="Helvetica" w:eastAsia="Calibri" w:hAnsi="Helvetica"/>
          <w:lang w:eastAsia="en-GB"/>
        </w:rPr>
      </w:pPr>
      <w:r>
        <w:rPr>
          <w:rFonts w:ascii="Helvetica" w:eastAsia="Calibri" w:hAnsi="Helvetica"/>
          <w:lang w:eastAsia="en-GB"/>
        </w:rPr>
        <w:t>“</w:t>
      </w:r>
      <w:r w:rsidRPr="005948B4">
        <w:rPr>
          <w:rFonts w:ascii="Helvetica" w:eastAsia="Calibri" w:hAnsi="Helvetica"/>
          <w:lang w:eastAsia="en-GB"/>
        </w:rPr>
        <w:t>I’m not thinking of starting my career for another two years.  I just want to take a few years out and travel. I’ve been looking at internships in America, like doing receptionist job</w:t>
      </w:r>
      <w:r>
        <w:rPr>
          <w:rFonts w:ascii="Helvetica" w:eastAsia="Calibri" w:hAnsi="Helvetica"/>
          <w:lang w:eastAsia="en-GB"/>
        </w:rPr>
        <w:t>s, hotel work, things like that</w:t>
      </w:r>
      <w:r w:rsidRPr="005948B4">
        <w:rPr>
          <w:rFonts w:ascii="Helvetica" w:eastAsia="Calibri" w:hAnsi="Helvetica"/>
          <w:lang w:eastAsia="en-GB"/>
        </w:rPr>
        <w:t>. I’m not sure I’m confident enough to start my career yet so I’m hoping that travelling might spark something off in my brain… I’ve got to work in a retail or low paid job for a few months, maybe a y</w:t>
      </w:r>
      <w:r w:rsidR="007D70D1">
        <w:rPr>
          <w:rFonts w:ascii="Helvetica" w:eastAsia="Calibri" w:hAnsi="Helvetica"/>
          <w:lang w:eastAsia="en-GB"/>
        </w:rPr>
        <w:t xml:space="preserve">ear so I’ve got money saved up.” </w:t>
      </w:r>
      <w:r>
        <w:rPr>
          <w:rFonts w:ascii="Helvetica" w:eastAsia="Calibri" w:hAnsi="Helvetica"/>
          <w:lang w:eastAsia="en-GB"/>
        </w:rPr>
        <w:t xml:space="preserve">(Sophie, </w:t>
      </w:r>
      <w:r w:rsidR="001B07B5">
        <w:rPr>
          <w:rFonts w:ascii="Helvetica" w:eastAsia="Calibri" w:hAnsi="Helvetica"/>
          <w:lang w:eastAsia="en-GB"/>
        </w:rPr>
        <w:t xml:space="preserve">Post-1992, WP, </w:t>
      </w:r>
      <w:r>
        <w:rPr>
          <w:rFonts w:ascii="Helvetica" w:eastAsia="Calibri" w:hAnsi="Helvetica"/>
          <w:lang w:eastAsia="en-GB"/>
        </w:rPr>
        <w:t>BA)</w:t>
      </w:r>
    </w:p>
    <w:p w14:paraId="70CBA670" w14:textId="77777777" w:rsidR="00EC2837" w:rsidRDefault="00EC2837" w:rsidP="005948B4">
      <w:pPr>
        <w:spacing w:line="276" w:lineRule="auto"/>
        <w:jc w:val="both"/>
        <w:rPr>
          <w:rFonts w:ascii="Helvetica" w:eastAsia="Calibri" w:hAnsi="Helvetica"/>
          <w:lang w:eastAsia="en-GB"/>
        </w:rPr>
      </w:pPr>
    </w:p>
    <w:p w14:paraId="26899424" w14:textId="3A71A6F9" w:rsidR="0081578E" w:rsidRDefault="0081578E" w:rsidP="005948B4">
      <w:pPr>
        <w:spacing w:line="276" w:lineRule="auto"/>
        <w:jc w:val="both"/>
        <w:rPr>
          <w:rFonts w:ascii="Helvetica" w:eastAsia="Calibri" w:hAnsi="Helvetica"/>
          <w:lang w:eastAsia="en-GB"/>
        </w:rPr>
      </w:pPr>
      <w:r>
        <w:rPr>
          <w:rFonts w:ascii="Helvetica" w:eastAsia="Calibri" w:hAnsi="Helvetica"/>
          <w:lang w:eastAsia="en-GB"/>
        </w:rPr>
        <w:t>Sophie ha</w:t>
      </w:r>
      <w:r w:rsidR="009E2C6D">
        <w:rPr>
          <w:rFonts w:ascii="Helvetica" w:eastAsia="Calibri" w:hAnsi="Helvetica"/>
          <w:lang w:eastAsia="en-GB"/>
        </w:rPr>
        <w:t>d</w:t>
      </w:r>
      <w:r>
        <w:rPr>
          <w:rFonts w:ascii="Helvetica" w:eastAsia="Calibri" w:hAnsi="Helvetica"/>
          <w:lang w:eastAsia="en-GB"/>
        </w:rPr>
        <w:t xml:space="preserve"> the aspiration to travel to North America to try to gain confidence and career inspiration whilst working temporary contracts in the service indust</w:t>
      </w:r>
      <w:r w:rsidR="009E2C6D">
        <w:rPr>
          <w:rFonts w:ascii="Helvetica" w:eastAsia="Calibri" w:hAnsi="Helvetica"/>
          <w:lang w:eastAsia="en-GB"/>
        </w:rPr>
        <w:t>ry over there</w:t>
      </w:r>
      <w:r>
        <w:rPr>
          <w:rFonts w:ascii="Helvetica" w:eastAsia="Calibri" w:hAnsi="Helvetica"/>
          <w:lang w:eastAsia="en-GB"/>
        </w:rPr>
        <w:t>, but she also need</w:t>
      </w:r>
      <w:r w:rsidR="009E2C6D">
        <w:rPr>
          <w:rFonts w:ascii="Helvetica" w:eastAsia="Calibri" w:hAnsi="Helvetica"/>
          <w:lang w:eastAsia="en-GB"/>
        </w:rPr>
        <w:t>ed</w:t>
      </w:r>
      <w:r>
        <w:rPr>
          <w:rFonts w:ascii="Helvetica" w:eastAsia="Calibri" w:hAnsi="Helvetica"/>
          <w:lang w:eastAsia="en-GB"/>
        </w:rPr>
        <w:t xml:space="preserve"> to take another year out prior to travelling in order to build up </w:t>
      </w:r>
      <w:r w:rsidR="009E2C6D">
        <w:rPr>
          <w:rFonts w:ascii="Helvetica" w:eastAsia="Calibri" w:hAnsi="Helvetica"/>
          <w:lang w:eastAsia="en-GB"/>
        </w:rPr>
        <w:t xml:space="preserve">financial </w:t>
      </w:r>
      <w:r>
        <w:rPr>
          <w:rFonts w:ascii="Helvetica" w:eastAsia="Calibri" w:hAnsi="Helvetica"/>
          <w:lang w:eastAsia="en-GB"/>
        </w:rPr>
        <w:t>savings.</w:t>
      </w:r>
    </w:p>
    <w:p w14:paraId="7FDA9388" w14:textId="77777777" w:rsidR="00570109" w:rsidRDefault="00570109" w:rsidP="005948B4">
      <w:pPr>
        <w:spacing w:line="276" w:lineRule="auto"/>
        <w:jc w:val="both"/>
        <w:rPr>
          <w:rFonts w:ascii="Helvetica" w:eastAsia="Calibri" w:hAnsi="Helvetica"/>
          <w:lang w:eastAsia="en-GB"/>
        </w:rPr>
      </w:pPr>
    </w:p>
    <w:p w14:paraId="2F183E17" w14:textId="356D16BF" w:rsidR="00BB6FA3" w:rsidRPr="00BB6FA3" w:rsidRDefault="00570109" w:rsidP="00570109">
      <w:pPr>
        <w:spacing w:line="276" w:lineRule="auto"/>
        <w:jc w:val="both"/>
        <w:rPr>
          <w:rFonts w:ascii="Helvetica" w:hAnsi="Helvetica"/>
          <w:b/>
          <w:i/>
          <w:lang w:val="en-US"/>
        </w:rPr>
      </w:pPr>
      <w:r>
        <w:rPr>
          <w:rFonts w:ascii="Helvetica" w:eastAsia="Calibri" w:hAnsi="Helvetica"/>
          <w:lang w:eastAsia="en-GB"/>
        </w:rPr>
        <w:t xml:space="preserve">The third goal identified in this category of graduate gap year was </w:t>
      </w:r>
      <w:r w:rsidR="001F127F">
        <w:rPr>
          <w:rFonts w:ascii="Helvetica" w:eastAsia="Calibri" w:hAnsi="Helvetica"/>
          <w:lang w:eastAsia="en-GB"/>
        </w:rPr>
        <w:t xml:space="preserve">students wanting </w:t>
      </w:r>
      <w:r>
        <w:rPr>
          <w:rFonts w:ascii="Helvetica" w:hAnsi="Helvetica"/>
          <w:lang w:val="en-US"/>
        </w:rPr>
        <w:t>t</w:t>
      </w:r>
      <w:r w:rsidRPr="005D2DA5">
        <w:rPr>
          <w:rFonts w:ascii="Helvetica" w:hAnsi="Helvetica"/>
          <w:lang w:val="en-US"/>
        </w:rPr>
        <w:t>o</w:t>
      </w:r>
      <w:r>
        <w:rPr>
          <w:rFonts w:ascii="Helvetica" w:hAnsi="Helvetica"/>
          <w:lang w:val="en-US"/>
        </w:rPr>
        <w:t xml:space="preserve"> increase the level of their</w:t>
      </w:r>
      <w:r w:rsidR="00BB6FA3" w:rsidRPr="00570109">
        <w:rPr>
          <w:rFonts w:ascii="Helvetica" w:hAnsi="Helvetica"/>
          <w:lang w:val="en-US"/>
        </w:rPr>
        <w:t xml:space="preserve"> bank balance</w:t>
      </w:r>
      <w:r>
        <w:rPr>
          <w:rFonts w:ascii="Helvetica" w:hAnsi="Helvetica"/>
          <w:lang w:val="en-US"/>
        </w:rPr>
        <w:t xml:space="preserve">. </w:t>
      </w:r>
      <w:r w:rsidR="00484571">
        <w:rPr>
          <w:rFonts w:ascii="Helvetica" w:hAnsi="Helvetica"/>
          <w:lang w:val="en-US"/>
        </w:rPr>
        <w:t xml:space="preserve">One of these students was graduating from the RG University and was from a WP background (Helen), the other </w:t>
      </w:r>
      <w:r w:rsidR="00973CBE">
        <w:rPr>
          <w:rFonts w:ascii="Helvetica" w:hAnsi="Helvetica"/>
          <w:lang w:val="en-US"/>
        </w:rPr>
        <w:t xml:space="preserve">five </w:t>
      </w:r>
      <w:r w:rsidR="00484571">
        <w:rPr>
          <w:rFonts w:ascii="Helvetica" w:hAnsi="Helvetica"/>
          <w:lang w:val="en-US"/>
        </w:rPr>
        <w:t>were graduating from the Post-1992 University</w:t>
      </w:r>
      <w:r w:rsidR="00072553">
        <w:rPr>
          <w:rFonts w:ascii="Helvetica" w:hAnsi="Helvetica"/>
          <w:lang w:val="en-US"/>
        </w:rPr>
        <w:t>. One was from a WP background (Veronika)</w:t>
      </w:r>
      <w:r w:rsidR="00484571">
        <w:rPr>
          <w:rFonts w:ascii="Helvetica" w:hAnsi="Helvetica"/>
          <w:lang w:val="en-US"/>
        </w:rPr>
        <w:t xml:space="preserve"> and </w:t>
      </w:r>
      <w:r w:rsidR="00072553">
        <w:rPr>
          <w:rFonts w:ascii="Helvetica" w:hAnsi="Helvetica"/>
          <w:lang w:val="en-US"/>
        </w:rPr>
        <w:t xml:space="preserve">the others </w:t>
      </w:r>
      <w:r w:rsidR="00484571">
        <w:rPr>
          <w:rFonts w:ascii="Helvetica" w:hAnsi="Helvetica"/>
          <w:lang w:val="en-US"/>
        </w:rPr>
        <w:t xml:space="preserve">were from non-WP backgrounds </w:t>
      </w:r>
      <w:r w:rsidR="00AC5DD2">
        <w:rPr>
          <w:rFonts w:ascii="Helvetica" w:hAnsi="Helvetica"/>
          <w:lang w:val="en-US"/>
        </w:rPr>
        <w:t>(Jamie, Adelle, Mark, Dan)</w:t>
      </w:r>
      <w:r w:rsidR="00484571">
        <w:rPr>
          <w:rFonts w:ascii="Helvetica" w:hAnsi="Helvetica"/>
          <w:lang w:val="en-US"/>
        </w:rPr>
        <w:t xml:space="preserve">. </w:t>
      </w:r>
    </w:p>
    <w:p w14:paraId="66E36C82" w14:textId="77777777" w:rsidR="00484571" w:rsidRDefault="00484571" w:rsidP="00484571">
      <w:pPr>
        <w:spacing w:line="276" w:lineRule="auto"/>
        <w:jc w:val="both"/>
        <w:rPr>
          <w:rFonts w:ascii="Helvetica" w:eastAsia="Calibri" w:hAnsi="Helvetica"/>
          <w:lang w:eastAsia="en-GB"/>
        </w:rPr>
      </w:pPr>
    </w:p>
    <w:p w14:paraId="7E21A7BA" w14:textId="50EEAE58" w:rsidR="00484571" w:rsidRDefault="00484571" w:rsidP="00484571">
      <w:pPr>
        <w:spacing w:line="276" w:lineRule="auto"/>
        <w:jc w:val="both"/>
        <w:rPr>
          <w:rFonts w:ascii="Helvetica" w:eastAsia="Calibri" w:hAnsi="Helvetica"/>
          <w:lang w:eastAsia="en-GB"/>
        </w:rPr>
      </w:pPr>
      <w:r>
        <w:rPr>
          <w:rFonts w:ascii="Helvetica" w:eastAsia="Calibri" w:hAnsi="Helvetica"/>
          <w:lang w:eastAsia="en-GB"/>
        </w:rPr>
        <w:t xml:space="preserve">Helen </w:t>
      </w:r>
      <w:r w:rsidR="001F127F">
        <w:rPr>
          <w:rFonts w:ascii="Helvetica" w:eastAsia="Calibri" w:hAnsi="Helvetica"/>
          <w:lang w:eastAsia="en-GB"/>
        </w:rPr>
        <w:t>was</w:t>
      </w:r>
      <w:r>
        <w:rPr>
          <w:rFonts w:ascii="Helvetica" w:eastAsia="Calibri" w:hAnsi="Helvetica"/>
          <w:lang w:eastAsia="en-GB"/>
        </w:rPr>
        <w:t xml:space="preserve"> keen to get full-time employment</w:t>
      </w:r>
      <w:r w:rsidR="004535BA">
        <w:rPr>
          <w:rFonts w:ascii="Helvetica" w:eastAsia="Calibri" w:hAnsi="Helvetica"/>
          <w:lang w:eastAsia="en-GB"/>
        </w:rPr>
        <w:t xml:space="preserve"> in the short-term as a </w:t>
      </w:r>
      <w:r w:rsidR="001F127F">
        <w:rPr>
          <w:rFonts w:ascii="Helvetica" w:eastAsia="Calibri" w:hAnsi="Helvetica"/>
          <w:lang w:eastAsia="en-GB"/>
        </w:rPr>
        <w:t>stopgap</w:t>
      </w:r>
      <w:r>
        <w:rPr>
          <w:rFonts w:ascii="Helvetica" w:eastAsia="Calibri" w:hAnsi="Helvetica"/>
          <w:lang w:eastAsia="en-GB"/>
        </w:rPr>
        <w:t xml:space="preserve"> in order to earn a regular wage and </w:t>
      </w:r>
      <w:r w:rsidR="001F127F">
        <w:rPr>
          <w:rFonts w:ascii="Helvetica" w:eastAsia="Calibri" w:hAnsi="Helvetica"/>
          <w:lang w:eastAsia="en-GB"/>
        </w:rPr>
        <w:t>was</w:t>
      </w:r>
      <w:r>
        <w:rPr>
          <w:rFonts w:ascii="Helvetica" w:eastAsia="Calibri" w:hAnsi="Helvetica"/>
          <w:lang w:eastAsia="en-GB"/>
        </w:rPr>
        <w:t xml:space="preserve"> not discerning about what sort of job this might be. She explain</w:t>
      </w:r>
      <w:r w:rsidR="001F127F">
        <w:rPr>
          <w:rFonts w:ascii="Helvetica" w:eastAsia="Calibri" w:hAnsi="Helvetica"/>
          <w:lang w:eastAsia="en-GB"/>
        </w:rPr>
        <w:t>ed</w:t>
      </w:r>
      <w:r>
        <w:rPr>
          <w:rFonts w:ascii="Helvetica" w:eastAsia="Calibri" w:hAnsi="Helvetica"/>
          <w:lang w:eastAsia="en-GB"/>
        </w:rPr>
        <w:t xml:space="preserve"> that she </w:t>
      </w:r>
      <w:r w:rsidR="001F127F">
        <w:rPr>
          <w:rFonts w:ascii="Helvetica" w:eastAsia="Calibri" w:hAnsi="Helvetica"/>
          <w:lang w:eastAsia="en-GB"/>
        </w:rPr>
        <w:t>was</w:t>
      </w:r>
      <w:r>
        <w:rPr>
          <w:rFonts w:ascii="Helvetica" w:eastAsia="Calibri" w:hAnsi="Helvetica"/>
          <w:lang w:eastAsia="en-GB"/>
        </w:rPr>
        <w:t xml:space="preserve"> more confident applying for low paid retail jobs as this </w:t>
      </w:r>
      <w:r w:rsidR="001F127F">
        <w:rPr>
          <w:rFonts w:ascii="Helvetica" w:eastAsia="Calibri" w:hAnsi="Helvetica"/>
          <w:lang w:eastAsia="en-GB"/>
        </w:rPr>
        <w:t>was</w:t>
      </w:r>
      <w:r>
        <w:rPr>
          <w:rFonts w:ascii="Helvetica" w:eastAsia="Calibri" w:hAnsi="Helvetica"/>
          <w:lang w:eastAsia="en-GB"/>
        </w:rPr>
        <w:t xml:space="preserve"> where her current work experience </w:t>
      </w:r>
      <w:r w:rsidR="001F127F">
        <w:rPr>
          <w:rFonts w:ascii="Helvetica" w:eastAsia="Calibri" w:hAnsi="Helvetica"/>
          <w:lang w:eastAsia="en-GB"/>
        </w:rPr>
        <w:t>lay</w:t>
      </w:r>
      <w:r>
        <w:rPr>
          <w:rFonts w:ascii="Helvetica" w:eastAsia="Calibri" w:hAnsi="Helvetica"/>
          <w:lang w:eastAsia="en-GB"/>
        </w:rPr>
        <w:t xml:space="preserve">: </w:t>
      </w:r>
    </w:p>
    <w:p w14:paraId="083BEDE2" w14:textId="77777777" w:rsidR="00484571" w:rsidRDefault="00484571" w:rsidP="00484571">
      <w:pPr>
        <w:spacing w:line="276" w:lineRule="auto"/>
        <w:jc w:val="both"/>
        <w:rPr>
          <w:rFonts w:ascii="Helvetica" w:eastAsia="Calibri" w:hAnsi="Helvetica"/>
          <w:lang w:eastAsia="en-GB"/>
        </w:rPr>
      </w:pPr>
    </w:p>
    <w:p w14:paraId="67D16382" w14:textId="68A4BA2D" w:rsidR="00484571" w:rsidRPr="00103693" w:rsidRDefault="00484571" w:rsidP="00484571">
      <w:pPr>
        <w:spacing w:line="276" w:lineRule="auto"/>
        <w:jc w:val="both"/>
        <w:rPr>
          <w:rFonts w:ascii="Helvetica" w:hAnsi="Helvetica"/>
          <w:b/>
          <w:lang w:val="en-US"/>
        </w:rPr>
      </w:pPr>
      <w:r>
        <w:rPr>
          <w:rFonts w:ascii="Helvetica" w:eastAsia="Calibri" w:hAnsi="Helvetica"/>
          <w:lang w:eastAsia="en-GB"/>
        </w:rPr>
        <w:t>“</w:t>
      </w:r>
      <w:r w:rsidRPr="00973A4B">
        <w:rPr>
          <w:rFonts w:ascii="Helvetica" w:eastAsia="Calibri" w:hAnsi="Helvetica"/>
          <w:lang w:eastAsia="en-GB"/>
        </w:rPr>
        <w:t>I’ve no idea</w:t>
      </w:r>
      <w:r>
        <w:rPr>
          <w:rFonts w:ascii="Helvetica" w:eastAsia="Calibri" w:hAnsi="Helvetica"/>
          <w:lang w:eastAsia="en-GB"/>
        </w:rPr>
        <w:t xml:space="preserve"> what I want to do when I graduate</w:t>
      </w:r>
      <w:r w:rsidRPr="00973A4B">
        <w:rPr>
          <w:rFonts w:ascii="Helvetica" w:eastAsia="Calibri" w:hAnsi="Helvetica"/>
          <w:lang w:eastAsia="en-GB"/>
        </w:rPr>
        <w:t xml:space="preserve">… I’ve worked for </w:t>
      </w:r>
      <w:r>
        <w:rPr>
          <w:rFonts w:ascii="Helvetica" w:eastAsia="Calibri" w:hAnsi="Helvetica"/>
          <w:lang w:eastAsia="en-GB"/>
        </w:rPr>
        <w:t>a supermarket</w:t>
      </w:r>
      <w:r w:rsidRPr="00973A4B">
        <w:rPr>
          <w:rFonts w:ascii="Helvetica" w:eastAsia="Calibri" w:hAnsi="Helvetica"/>
          <w:lang w:eastAsia="en-GB"/>
        </w:rPr>
        <w:t xml:space="preserve"> for four years now so I think that provide</w:t>
      </w:r>
      <w:r>
        <w:rPr>
          <w:rFonts w:ascii="Helvetica" w:eastAsia="Calibri" w:hAnsi="Helvetica"/>
          <w:lang w:eastAsia="en-GB"/>
        </w:rPr>
        <w:t>s</w:t>
      </w:r>
      <w:r w:rsidRPr="00973A4B">
        <w:rPr>
          <w:rFonts w:ascii="Helvetica" w:eastAsia="Calibri" w:hAnsi="Helvetica"/>
          <w:lang w:eastAsia="en-GB"/>
        </w:rPr>
        <w:t xml:space="preserve"> quite a good work experience </w:t>
      </w:r>
      <w:r>
        <w:rPr>
          <w:rFonts w:ascii="Helvetica" w:eastAsia="Calibri" w:hAnsi="Helvetica"/>
          <w:lang w:eastAsia="en-GB"/>
        </w:rPr>
        <w:t xml:space="preserve">… </w:t>
      </w:r>
      <w:r w:rsidRPr="00973A4B">
        <w:rPr>
          <w:rFonts w:ascii="Helvetica" w:eastAsia="Calibri" w:hAnsi="Helvetica"/>
          <w:lang w:eastAsia="en-GB"/>
        </w:rPr>
        <w:t xml:space="preserve">I mean I could stay in my current job </w:t>
      </w:r>
      <w:r w:rsidR="00072553">
        <w:rPr>
          <w:rFonts w:ascii="Helvetica" w:eastAsia="Calibri" w:hAnsi="Helvetica"/>
          <w:lang w:eastAsia="en-GB"/>
        </w:rPr>
        <w:t xml:space="preserve">[for a year] </w:t>
      </w:r>
      <w:r w:rsidRPr="00973A4B">
        <w:rPr>
          <w:rFonts w:ascii="Helvetica" w:eastAsia="Calibri" w:hAnsi="Helvetica"/>
          <w:lang w:eastAsia="en-GB"/>
        </w:rPr>
        <w:t xml:space="preserve">if I didn’t </w:t>
      </w:r>
      <w:r>
        <w:rPr>
          <w:rFonts w:ascii="Helvetica" w:eastAsia="Calibri" w:hAnsi="Helvetica"/>
          <w:lang w:eastAsia="en-GB"/>
        </w:rPr>
        <w:t>find anything after uni.</w:t>
      </w:r>
      <w:r w:rsidRPr="00973A4B">
        <w:rPr>
          <w:rFonts w:ascii="Helvetica" w:eastAsia="Calibri" w:hAnsi="Helvetica"/>
          <w:lang w:eastAsia="en-GB"/>
        </w:rPr>
        <w:t>”</w:t>
      </w:r>
      <w:r>
        <w:rPr>
          <w:rFonts w:ascii="Helvetica" w:eastAsia="Calibri" w:hAnsi="Helvetica"/>
          <w:lang w:eastAsia="en-GB"/>
        </w:rPr>
        <w:t xml:space="preserve"> (Helen, </w:t>
      </w:r>
      <w:r w:rsidR="00E7548F">
        <w:rPr>
          <w:rFonts w:ascii="Helvetica" w:eastAsia="Calibri" w:hAnsi="Helvetica"/>
          <w:lang w:eastAsia="en-GB"/>
        </w:rPr>
        <w:t xml:space="preserve">RG, WP, </w:t>
      </w:r>
      <w:r>
        <w:rPr>
          <w:rFonts w:ascii="Helvetica" w:eastAsia="Calibri" w:hAnsi="Helvetica"/>
          <w:lang w:eastAsia="en-GB"/>
        </w:rPr>
        <w:t>BSc)</w:t>
      </w:r>
    </w:p>
    <w:p w14:paraId="41FB8A18" w14:textId="77777777" w:rsidR="00B67AE7" w:rsidRDefault="00B67AE7" w:rsidP="00B0503D">
      <w:pPr>
        <w:spacing w:line="276" w:lineRule="auto"/>
        <w:jc w:val="both"/>
        <w:rPr>
          <w:rFonts w:ascii="Helvetica" w:eastAsia="Calibri" w:hAnsi="Helvetica"/>
          <w:lang w:eastAsia="en-GB"/>
        </w:rPr>
      </w:pPr>
    </w:p>
    <w:p w14:paraId="3585FFDE" w14:textId="35936365" w:rsidR="00CE439F" w:rsidRDefault="00CE439F" w:rsidP="00CE439F">
      <w:pPr>
        <w:spacing w:line="276" w:lineRule="auto"/>
        <w:jc w:val="both"/>
        <w:rPr>
          <w:rFonts w:ascii="Helvetica" w:eastAsia="Calibri" w:hAnsi="Helvetica"/>
          <w:lang w:eastAsia="en-GB"/>
        </w:rPr>
      </w:pPr>
      <w:r>
        <w:rPr>
          <w:rFonts w:ascii="Helvetica" w:eastAsia="Calibri" w:hAnsi="Helvetica"/>
          <w:lang w:eastAsia="en-GB"/>
        </w:rPr>
        <w:t xml:space="preserve">Veronika’s priority </w:t>
      </w:r>
      <w:r w:rsidR="001F127F">
        <w:rPr>
          <w:rFonts w:ascii="Helvetica" w:eastAsia="Calibri" w:hAnsi="Helvetica"/>
          <w:lang w:eastAsia="en-GB"/>
        </w:rPr>
        <w:t>was</w:t>
      </w:r>
      <w:r>
        <w:rPr>
          <w:rFonts w:ascii="Helvetica" w:eastAsia="Calibri" w:hAnsi="Helvetica"/>
          <w:lang w:eastAsia="en-GB"/>
        </w:rPr>
        <w:t xml:space="preserve"> to take a year </w:t>
      </w:r>
      <w:r w:rsidR="001F127F">
        <w:rPr>
          <w:rFonts w:ascii="Helvetica" w:eastAsia="Calibri" w:hAnsi="Helvetica"/>
          <w:lang w:eastAsia="en-GB"/>
        </w:rPr>
        <w:t xml:space="preserve">out </w:t>
      </w:r>
      <w:r>
        <w:rPr>
          <w:rFonts w:ascii="Helvetica" w:eastAsia="Calibri" w:hAnsi="Helvetica"/>
          <w:lang w:eastAsia="en-GB"/>
        </w:rPr>
        <w:t>to earn money in a low paid job, whilst gaining events management experience in her spare time. She was unable to gain this sector specific experience during her degree due to needing to earn money in her spare time to cover her university costs:</w:t>
      </w:r>
    </w:p>
    <w:p w14:paraId="04AD8E0A" w14:textId="77777777" w:rsidR="00CE439F" w:rsidRDefault="00CE439F" w:rsidP="00CE439F">
      <w:pPr>
        <w:spacing w:line="276" w:lineRule="auto"/>
        <w:jc w:val="both"/>
        <w:rPr>
          <w:rFonts w:ascii="Helvetica" w:eastAsia="Calibri" w:hAnsi="Helvetica"/>
          <w:lang w:eastAsia="en-GB"/>
        </w:rPr>
      </w:pPr>
    </w:p>
    <w:p w14:paraId="530E3E1C" w14:textId="13734933" w:rsidR="00072553" w:rsidRDefault="00CE439F" w:rsidP="00CE439F">
      <w:pPr>
        <w:spacing w:line="276" w:lineRule="auto"/>
        <w:jc w:val="both"/>
        <w:rPr>
          <w:rFonts w:ascii="Helvetica" w:eastAsia="Calibri" w:hAnsi="Helvetica"/>
          <w:lang w:eastAsia="en-GB"/>
        </w:rPr>
      </w:pPr>
      <w:r>
        <w:rPr>
          <w:rFonts w:ascii="Helvetica" w:eastAsia="Calibri" w:hAnsi="Helvetica"/>
          <w:lang w:eastAsia="en-GB"/>
        </w:rPr>
        <w:t xml:space="preserve"> </w:t>
      </w:r>
      <w:r w:rsidR="00A745D0">
        <w:rPr>
          <w:rFonts w:ascii="Helvetica" w:eastAsia="Calibri" w:hAnsi="Helvetica"/>
          <w:lang w:eastAsia="en-GB"/>
        </w:rPr>
        <w:t>“</w:t>
      </w:r>
      <w:r w:rsidR="00A745D0" w:rsidRPr="00A745D0">
        <w:rPr>
          <w:rFonts w:ascii="Helvetica" w:eastAsia="Calibri" w:hAnsi="Helvetica"/>
          <w:lang w:eastAsia="en-GB"/>
        </w:rPr>
        <w:t>I’ve got a part-time job at the minute</w:t>
      </w:r>
      <w:r w:rsidR="00A745D0">
        <w:rPr>
          <w:rFonts w:ascii="Helvetica" w:eastAsia="Calibri" w:hAnsi="Helvetica"/>
          <w:lang w:eastAsia="en-GB"/>
        </w:rPr>
        <w:t xml:space="preserve"> [working in a restaurant]</w:t>
      </w:r>
      <w:r w:rsidR="00A745D0" w:rsidRPr="00A745D0">
        <w:rPr>
          <w:rFonts w:ascii="Helvetica" w:eastAsia="Calibri" w:hAnsi="Helvetica"/>
          <w:lang w:eastAsia="en-GB"/>
        </w:rPr>
        <w:t xml:space="preserve"> and I’ve just got to go full-time </w:t>
      </w:r>
      <w:r w:rsidR="00A745D0">
        <w:rPr>
          <w:rFonts w:ascii="Helvetica" w:eastAsia="Calibri" w:hAnsi="Helvetica"/>
          <w:lang w:eastAsia="en-GB"/>
        </w:rPr>
        <w:t xml:space="preserve">for a year when I graduate </w:t>
      </w:r>
      <w:r w:rsidR="00A745D0" w:rsidRPr="00A745D0">
        <w:rPr>
          <w:rFonts w:ascii="Helvetica" w:eastAsia="Calibri" w:hAnsi="Helvetica"/>
          <w:lang w:eastAsia="en-GB"/>
        </w:rPr>
        <w:t>and look for opportunities to do events</w:t>
      </w:r>
      <w:r w:rsidR="00A745D0">
        <w:rPr>
          <w:rFonts w:ascii="Helvetica" w:eastAsia="Calibri" w:hAnsi="Helvetica"/>
          <w:lang w:eastAsia="en-GB"/>
        </w:rPr>
        <w:t xml:space="preserve"> management roles as like my side job</w:t>
      </w:r>
      <w:r>
        <w:rPr>
          <w:rFonts w:ascii="Helvetica" w:eastAsia="Calibri" w:hAnsi="Helvetica"/>
          <w:lang w:eastAsia="en-GB"/>
        </w:rPr>
        <w:t>.</w:t>
      </w:r>
      <w:r w:rsidR="00072553">
        <w:rPr>
          <w:rFonts w:ascii="Helvetica" w:eastAsia="Calibri" w:hAnsi="Helvetica"/>
          <w:lang w:eastAsia="en-GB"/>
        </w:rPr>
        <w:t>” (Veronika, Post-1992, WP, BA)</w:t>
      </w:r>
    </w:p>
    <w:p w14:paraId="4027D474" w14:textId="77777777" w:rsidR="00072553" w:rsidRDefault="00072553" w:rsidP="00B0503D">
      <w:pPr>
        <w:spacing w:line="276" w:lineRule="auto"/>
        <w:jc w:val="both"/>
        <w:rPr>
          <w:rFonts w:ascii="Helvetica" w:eastAsia="Calibri" w:hAnsi="Helvetica"/>
          <w:lang w:eastAsia="en-GB"/>
        </w:rPr>
      </w:pPr>
    </w:p>
    <w:p w14:paraId="1B9C10E8" w14:textId="3E7B1D5E" w:rsidR="00896D4E" w:rsidRDefault="0087177B" w:rsidP="00B0503D">
      <w:pPr>
        <w:spacing w:line="276" w:lineRule="auto"/>
        <w:jc w:val="both"/>
        <w:rPr>
          <w:rFonts w:ascii="Helvetica" w:eastAsia="Calibri" w:hAnsi="Helvetica"/>
          <w:lang w:eastAsia="en-GB"/>
        </w:rPr>
      </w:pPr>
      <w:r>
        <w:rPr>
          <w:rFonts w:ascii="Helvetica" w:eastAsia="Calibri" w:hAnsi="Helvetica"/>
          <w:lang w:eastAsia="en-GB"/>
        </w:rPr>
        <w:t xml:space="preserve">Jamie </w:t>
      </w:r>
      <w:r w:rsidR="001F127F">
        <w:rPr>
          <w:rFonts w:ascii="Helvetica" w:eastAsia="Calibri" w:hAnsi="Helvetica"/>
          <w:lang w:eastAsia="en-GB"/>
        </w:rPr>
        <w:t>wanted</w:t>
      </w:r>
      <w:r>
        <w:rPr>
          <w:rFonts w:ascii="Helvetica" w:eastAsia="Calibri" w:hAnsi="Helvetica"/>
          <w:lang w:eastAsia="en-GB"/>
        </w:rPr>
        <w:t xml:space="preserve"> a year out because he spent his final year focused on completing his coursework for his degree so he </w:t>
      </w:r>
      <w:r w:rsidR="001F127F">
        <w:rPr>
          <w:rFonts w:ascii="Helvetica" w:eastAsia="Calibri" w:hAnsi="Helvetica"/>
          <w:lang w:eastAsia="en-GB"/>
        </w:rPr>
        <w:t>had</w:t>
      </w:r>
      <w:r>
        <w:rPr>
          <w:rFonts w:ascii="Helvetica" w:eastAsia="Calibri" w:hAnsi="Helvetica"/>
          <w:lang w:eastAsia="en-GB"/>
        </w:rPr>
        <w:t xml:space="preserve"> not started to apply for jobs related to his degree and </w:t>
      </w:r>
      <w:r w:rsidR="001F127F">
        <w:rPr>
          <w:rFonts w:ascii="Helvetica" w:eastAsia="Calibri" w:hAnsi="Helvetica"/>
          <w:lang w:eastAsia="en-GB"/>
        </w:rPr>
        <w:t>was</w:t>
      </w:r>
      <w:r>
        <w:rPr>
          <w:rFonts w:ascii="Helvetica" w:eastAsia="Calibri" w:hAnsi="Helvetica"/>
          <w:lang w:eastAsia="en-GB"/>
        </w:rPr>
        <w:t xml:space="preserve"> under immediate financial pressure to </w:t>
      </w:r>
      <w:r w:rsidR="001F127F">
        <w:rPr>
          <w:rFonts w:ascii="Helvetica" w:eastAsia="Calibri" w:hAnsi="Helvetica"/>
          <w:lang w:eastAsia="en-GB"/>
        </w:rPr>
        <w:t>find</w:t>
      </w:r>
      <w:r>
        <w:rPr>
          <w:rFonts w:ascii="Helvetica" w:eastAsia="Calibri" w:hAnsi="Helvetica"/>
          <w:lang w:eastAsia="en-GB"/>
        </w:rPr>
        <w:t xml:space="preserve"> paid employment:</w:t>
      </w:r>
    </w:p>
    <w:p w14:paraId="4D415A7D" w14:textId="77777777" w:rsidR="00896D4E" w:rsidRDefault="00896D4E" w:rsidP="00B0503D">
      <w:pPr>
        <w:spacing w:line="276" w:lineRule="auto"/>
        <w:jc w:val="both"/>
        <w:rPr>
          <w:rFonts w:ascii="Helvetica" w:eastAsia="Calibri" w:hAnsi="Helvetica"/>
          <w:lang w:eastAsia="en-GB"/>
        </w:rPr>
      </w:pPr>
    </w:p>
    <w:p w14:paraId="0982D020" w14:textId="3DF768AE" w:rsidR="00BB6FA3" w:rsidRDefault="00DE2C22" w:rsidP="00B0503D">
      <w:pPr>
        <w:spacing w:line="276" w:lineRule="auto"/>
        <w:jc w:val="both"/>
        <w:rPr>
          <w:rFonts w:ascii="Helvetica" w:eastAsia="Calibri" w:hAnsi="Helvetica"/>
          <w:lang w:eastAsia="en-GB"/>
        </w:rPr>
      </w:pPr>
      <w:r>
        <w:rPr>
          <w:rFonts w:ascii="Helvetica" w:eastAsia="Calibri" w:hAnsi="Helvetica"/>
          <w:lang w:eastAsia="en-GB"/>
        </w:rPr>
        <w:t>“</w:t>
      </w:r>
      <w:r w:rsidRPr="00B9217D">
        <w:rPr>
          <w:rFonts w:ascii="Helvetica" w:eastAsia="Calibri" w:hAnsi="Helvetica"/>
          <w:lang w:eastAsia="en-GB"/>
        </w:rPr>
        <w:t xml:space="preserve">I haven’t actually applied for jobs because I’ve been focussing on finishing my </w:t>
      </w:r>
      <w:r>
        <w:rPr>
          <w:rFonts w:ascii="Helvetica" w:eastAsia="Calibri" w:hAnsi="Helvetica"/>
          <w:lang w:eastAsia="en-GB"/>
        </w:rPr>
        <w:t xml:space="preserve">[university] </w:t>
      </w:r>
      <w:r w:rsidRPr="00B9217D">
        <w:rPr>
          <w:rFonts w:ascii="Helvetica" w:eastAsia="Calibri" w:hAnsi="Helvetica"/>
          <w:lang w:eastAsia="en-GB"/>
        </w:rPr>
        <w:t>work</w:t>
      </w:r>
      <w:r>
        <w:rPr>
          <w:rFonts w:ascii="Helvetica" w:eastAsia="Calibri" w:hAnsi="Helvetica"/>
          <w:lang w:eastAsia="en-GB"/>
        </w:rPr>
        <w:t xml:space="preserve">… </w:t>
      </w:r>
      <w:r w:rsidRPr="00B9217D">
        <w:rPr>
          <w:rFonts w:ascii="Helvetica" w:eastAsia="Calibri" w:hAnsi="Helvetica"/>
          <w:lang w:eastAsia="en-GB"/>
        </w:rPr>
        <w:t>I feel confident about my skills and stuff</w:t>
      </w:r>
      <w:r>
        <w:rPr>
          <w:rFonts w:ascii="Helvetica" w:eastAsia="Calibri" w:hAnsi="Helvetica"/>
          <w:lang w:eastAsia="en-GB"/>
        </w:rPr>
        <w:t>…</w:t>
      </w:r>
      <w:r w:rsidRPr="00B9217D">
        <w:rPr>
          <w:rFonts w:ascii="Helvetica" w:eastAsia="Calibri" w:hAnsi="Helvetica"/>
          <w:lang w:eastAsia="en-GB"/>
        </w:rPr>
        <w:t xml:space="preserve"> I’ve had jobs but it’s not been like what I want</w:t>
      </w:r>
      <w:r>
        <w:rPr>
          <w:rFonts w:ascii="Helvetica" w:eastAsia="Calibri" w:hAnsi="Helvetica"/>
          <w:lang w:eastAsia="en-GB"/>
        </w:rPr>
        <w:t xml:space="preserve"> to do for the rest of my life… </w:t>
      </w:r>
      <w:r w:rsidRPr="00B9217D">
        <w:rPr>
          <w:rFonts w:ascii="Helvetica" w:eastAsia="Calibri" w:hAnsi="Helvetica"/>
          <w:lang w:eastAsia="en-GB"/>
        </w:rPr>
        <w:t>I need to get earning money as soon as possible because I come from quite a poor family so, without the student loan, I’m going to be needing something immediately</w:t>
      </w:r>
      <w:r>
        <w:rPr>
          <w:rFonts w:ascii="Helvetica" w:eastAsia="Calibri" w:hAnsi="Helvetica"/>
          <w:lang w:eastAsia="en-GB"/>
        </w:rPr>
        <w:t xml:space="preserve">.” (Jamie, </w:t>
      </w:r>
      <w:r w:rsidR="00E7548F">
        <w:rPr>
          <w:rFonts w:ascii="Helvetica" w:eastAsia="Calibri" w:hAnsi="Helvetica"/>
          <w:lang w:eastAsia="en-GB"/>
        </w:rPr>
        <w:t xml:space="preserve">Post-1992, Non-WP, </w:t>
      </w:r>
      <w:r>
        <w:rPr>
          <w:rFonts w:ascii="Helvetica" w:eastAsia="Calibri" w:hAnsi="Helvetica"/>
          <w:lang w:eastAsia="en-GB"/>
        </w:rPr>
        <w:t>BSc)</w:t>
      </w:r>
    </w:p>
    <w:p w14:paraId="65315995" w14:textId="77777777" w:rsidR="00EE78D0" w:rsidRDefault="00EE78D0" w:rsidP="00EE78D0">
      <w:pPr>
        <w:spacing w:line="276" w:lineRule="auto"/>
        <w:jc w:val="both"/>
        <w:rPr>
          <w:rFonts w:ascii="Helvetica" w:eastAsia="Calibri" w:hAnsi="Helvetica"/>
          <w:lang w:eastAsia="en-GB"/>
        </w:rPr>
      </w:pPr>
    </w:p>
    <w:p w14:paraId="5D4BE878" w14:textId="3D06B347" w:rsidR="0087177B" w:rsidRDefault="001F127F" w:rsidP="00EE78D0">
      <w:pPr>
        <w:spacing w:line="276" w:lineRule="auto"/>
        <w:jc w:val="both"/>
        <w:rPr>
          <w:rFonts w:ascii="Helvetica" w:eastAsia="Calibri" w:hAnsi="Helvetica"/>
          <w:lang w:eastAsia="en-GB"/>
        </w:rPr>
      </w:pPr>
      <w:r>
        <w:rPr>
          <w:rFonts w:ascii="Helvetica" w:eastAsia="Calibri" w:hAnsi="Helvetica"/>
          <w:lang w:eastAsia="en-GB"/>
        </w:rPr>
        <w:t>Mark had</w:t>
      </w:r>
      <w:r w:rsidR="0087177B">
        <w:rPr>
          <w:rFonts w:ascii="Helvetica" w:eastAsia="Calibri" w:hAnsi="Helvetica"/>
          <w:lang w:eastAsia="en-GB"/>
        </w:rPr>
        <w:t xml:space="preserve"> also not yet applied for graduate jobs in his field of study. He </w:t>
      </w:r>
      <w:r>
        <w:rPr>
          <w:rFonts w:ascii="Helvetica" w:eastAsia="Calibri" w:hAnsi="Helvetica"/>
          <w:lang w:eastAsia="en-GB"/>
        </w:rPr>
        <w:t>was</w:t>
      </w:r>
      <w:r w:rsidR="0087177B">
        <w:rPr>
          <w:rFonts w:ascii="Helvetica" w:eastAsia="Calibri" w:hAnsi="Helvetica"/>
          <w:lang w:eastAsia="en-GB"/>
        </w:rPr>
        <w:t xml:space="preserve"> planning to become an hourly paid care worker to ensure that he </w:t>
      </w:r>
      <w:r>
        <w:rPr>
          <w:rFonts w:ascii="Helvetica" w:eastAsia="Calibri" w:hAnsi="Helvetica"/>
          <w:lang w:eastAsia="en-GB"/>
        </w:rPr>
        <w:t>was earning</w:t>
      </w:r>
      <w:r w:rsidR="0087177B">
        <w:rPr>
          <w:rFonts w:ascii="Helvetica" w:eastAsia="Calibri" w:hAnsi="Helvetica"/>
          <w:lang w:eastAsia="en-GB"/>
        </w:rPr>
        <w:t xml:space="preserve"> money as soon as</w:t>
      </w:r>
      <w:r>
        <w:rPr>
          <w:rFonts w:ascii="Helvetica" w:eastAsia="Calibri" w:hAnsi="Helvetica"/>
          <w:lang w:eastAsia="en-GB"/>
        </w:rPr>
        <w:t xml:space="preserve"> he graduates. He also expressed</w:t>
      </w:r>
      <w:r w:rsidR="0087177B">
        <w:rPr>
          <w:rFonts w:ascii="Helvetica" w:eastAsia="Calibri" w:hAnsi="Helvetica"/>
          <w:lang w:eastAsia="en-GB"/>
        </w:rPr>
        <w:t xml:space="preserve"> concern that his degree </w:t>
      </w:r>
      <w:r>
        <w:rPr>
          <w:rFonts w:ascii="Helvetica" w:eastAsia="Calibri" w:hAnsi="Helvetica"/>
          <w:lang w:eastAsia="en-GB"/>
        </w:rPr>
        <w:t>would</w:t>
      </w:r>
      <w:r w:rsidR="0087177B">
        <w:rPr>
          <w:rFonts w:ascii="Helvetica" w:eastAsia="Calibri" w:hAnsi="Helvetica"/>
          <w:lang w:eastAsia="en-GB"/>
        </w:rPr>
        <w:t xml:space="preserve"> not give him an advantage in the labour market and he communicate</w:t>
      </w:r>
      <w:r>
        <w:rPr>
          <w:rFonts w:ascii="Helvetica" w:eastAsia="Calibri" w:hAnsi="Helvetica"/>
          <w:lang w:eastAsia="en-GB"/>
        </w:rPr>
        <w:t>d</w:t>
      </w:r>
      <w:r w:rsidR="0087177B">
        <w:rPr>
          <w:rFonts w:ascii="Helvetica" w:eastAsia="Calibri" w:hAnsi="Helvetica"/>
          <w:lang w:eastAsia="en-GB"/>
        </w:rPr>
        <w:t xml:space="preserve"> financial anxiety about the future in relation to living costs, housing and postgraduate study.</w:t>
      </w:r>
    </w:p>
    <w:p w14:paraId="5B9E2706" w14:textId="77777777" w:rsidR="0087177B" w:rsidRDefault="0087177B" w:rsidP="00EE78D0">
      <w:pPr>
        <w:spacing w:line="276" w:lineRule="auto"/>
        <w:jc w:val="both"/>
        <w:rPr>
          <w:rFonts w:ascii="Helvetica" w:eastAsia="Calibri" w:hAnsi="Helvetica"/>
          <w:lang w:eastAsia="en-GB"/>
        </w:rPr>
      </w:pPr>
    </w:p>
    <w:p w14:paraId="3C1FBD12" w14:textId="4D0A4462" w:rsidR="00EE78D0" w:rsidRPr="00DE2C22" w:rsidRDefault="00EE78D0" w:rsidP="00EE78D0">
      <w:pPr>
        <w:spacing w:line="276" w:lineRule="auto"/>
        <w:jc w:val="both"/>
        <w:rPr>
          <w:rFonts w:ascii="Helvetica" w:hAnsi="Helvetica"/>
          <w:b/>
          <w:lang w:val="en-US"/>
        </w:rPr>
      </w:pPr>
      <w:r>
        <w:rPr>
          <w:rFonts w:ascii="Helvetica" w:eastAsia="Calibri" w:hAnsi="Helvetica"/>
          <w:lang w:eastAsia="en-GB"/>
        </w:rPr>
        <w:t>“</w:t>
      </w:r>
      <w:r w:rsidRPr="009129C3">
        <w:rPr>
          <w:rFonts w:ascii="Helvetica" w:eastAsia="Calibri" w:hAnsi="Helvetica"/>
          <w:lang w:eastAsia="en-GB"/>
        </w:rPr>
        <w:t xml:space="preserve">I’m not [applying for </w:t>
      </w:r>
      <w:r>
        <w:rPr>
          <w:rFonts w:ascii="Helvetica" w:eastAsia="Calibri" w:hAnsi="Helvetica"/>
          <w:lang w:eastAsia="en-GB"/>
        </w:rPr>
        <w:t xml:space="preserve">graduate </w:t>
      </w:r>
      <w:r w:rsidRPr="009129C3">
        <w:rPr>
          <w:rFonts w:ascii="Helvetica" w:eastAsia="Calibri" w:hAnsi="Helvetica"/>
          <w:lang w:eastAsia="en-GB"/>
        </w:rPr>
        <w:t>jobs] at the moment</w:t>
      </w:r>
      <w:r>
        <w:rPr>
          <w:rFonts w:ascii="Helvetica" w:eastAsia="Calibri" w:hAnsi="Helvetica"/>
          <w:lang w:eastAsia="en-GB"/>
        </w:rPr>
        <w:t>…</w:t>
      </w:r>
      <w:r w:rsidRPr="009129C3">
        <w:rPr>
          <w:rFonts w:ascii="Helvetica" w:eastAsia="Calibri" w:hAnsi="Helvetica"/>
          <w:lang w:eastAsia="en-GB"/>
        </w:rPr>
        <w:t xml:space="preserve"> I’m really just looking for</w:t>
      </w:r>
      <w:r>
        <w:rPr>
          <w:rFonts w:ascii="Helvetica" w:eastAsia="Calibri" w:hAnsi="Helvetica"/>
          <w:lang w:eastAsia="en-GB"/>
        </w:rPr>
        <w:t>,</w:t>
      </w:r>
      <w:r w:rsidRPr="009129C3">
        <w:rPr>
          <w:rFonts w:ascii="Helvetica" w:eastAsia="Calibri" w:hAnsi="Helvetica"/>
          <w:lang w:eastAsia="en-GB"/>
        </w:rPr>
        <w:t xml:space="preserve"> you know, care jobs maybe</w:t>
      </w:r>
      <w:r>
        <w:rPr>
          <w:rFonts w:ascii="Helvetica" w:eastAsia="Calibri" w:hAnsi="Helvetica"/>
          <w:lang w:eastAsia="en-GB"/>
        </w:rPr>
        <w:t>,</w:t>
      </w:r>
      <w:r w:rsidRPr="009129C3">
        <w:rPr>
          <w:rFonts w:ascii="Helvetica" w:eastAsia="Calibri" w:hAnsi="Helvetica"/>
          <w:lang w:eastAsia="en-GB"/>
        </w:rPr>
        <w:t xml:space="preserve"> just to get something coming in</w:t>
      </w:r>
      <w:r>
        <w:rPr>
          <w:rFonts w:ascii="Helvetica" w:eastAsia="Calibri" w:hAnsi="Helvetica"/>
          <w:lang w:eastAsia="en-GB"/>
        </w:rPr>
        <w:t xml:space="preserve">… </w:t>
      </w:r>
      <w:r w:rsidRPr="009129C3">
        <w:rPr>
          <w:rFonts w:ascii="Helvetica" w:eastAsia="Calibri" w:hAnsi="Helvetica"/>
          <w:lang w:eastAsia="en-GB"/>
        </w:rPr>
        <w:t>I just fancy a year off from education</w:t>
      </w:r>
      <w:r>
        <w:rPr>
          <w:rFonts w:ascii="Helvetica" w:eastAsia="Calibri" w:hAnsi="Helvetica"/>
          <w:lang w:eastAsia="en-GB"/>
        </w:rPr>
        <w:t xml:space="preserve">... </w:t>
      </w:r>
      <w:r w:rsidRPr="006C5DA2">
        <w:rPr>
          <w:rFonts w:ascii="Helvetica" w:eastAsia="Calibri" w:hAnsi="Helvetica"/>
          <w:lang w:eastAsia="en-GB"/>
        </w:rPr>
        <w:t xml:space="preserve"> I don’t feel like I’ve got as much of an advantage on those who don’t go to university, as much as say ten years ag</w:t>
      </w:r>
      <w:r>
        <w:rPr>
          <w:rFonts w:ascii="Helvetica" w:eastAsia="Calibri" w:hAnsi="Helvetica"/>
          <w:lang w:eastAsia="en-GB"/>
        </w:rPr>
        <w:t xml:space="preserve">o… </w:t>
      </w:r>
      <w:r w:rsidRPr="006C5DA2">
        <w:rPr>
          <w:rFonts w:ascii="Helvetica" w:eastAsia="Calibri" w:hAnsi="Helvetica"/>
          <w:lang w:eastAsia="en-GB"/>
        </w:rPr>
        <w:t xml:space="preserve">I just don’t think there’s an availability of jobs. </w:t>
      </w:r>
      <w:r>
        <w:rPr>
          <w:rFonts w:ascii="Helvetica" w:eastAsia="Calibri" w:hAnsi="Helvetica"/>
          <w:lang w:eastAsia="en-GB"/>
        </w:rPr>
        <w:t>W</w:t>
      </w:r>
      <w:r w:rsidRPr="00086943">
        <w:rPr>
          <w:rFonts w:ascii="Helvetica" w:eastAsia="Calibri" w:hAnsi="Helvetica"/>
          <w:lang w:eastAsia="en-GB"/>
        </w:rPr>
        <w:t>hen I start looking at the costs of living away somewhere or payi</w:t>
      </w:r>
      <w:r>
        <w:rPr>
          <w:rFonts w:ascii="Helvetica" w:eastAsia="Calibri" w:hAnsi="Helvetica"/>
          <w:lang w:eastAsia="en-GB"/>
        </w:rPr>
        <w:t>ng for a house or paying for a M</w:t>
      </w:r>
      <w:r w:rsidRPr="00086943">
        <w:rPr>
          <w:rFonts w:ascii="Helvetica" w:eastAsia="Calibri" w:hAnsi="Helvetica"/>
          <w:lang w:eastAsia="en-GB"/>
        </w:rPr>
        <w:t>asters, then I start panicking</w:t>
      </w:r>
      <w:r>
        <w:rPr>
          <w:rFonts w:ascii="Helvetica" w:eastAsia="Calibri" w:hAnsi="Helvetica"/>
          <w:lang w:eastAsia="en-GB"/>
        </w:rPr>
        <w:t>.” (Mark, Post-1992, Non-WP, BA)</w:t>
      </w:r>
    </w:p>
    <w:p w14:paraId="796BB224" w14:textId="77777777" w:rsidR="00EE78D0" w:rsidRDefault="00EE78D0" w:rsidP="00EE78D0">
      <w:pPr>
        <w:spacing w:line="276" w:lineRule="auto"/>
        <w:jc w:val="both"/>
        <w:rPr>
          <w:rFonts w:ascii="Helvetica" w:eastAsia="Calibri" w:hAnsi="Helvetica"/>
          <w:lang w:eastAsia="en-GB"/>
        </w:rPr>
      </w:pPr>
    </w:p>
    <w:p w14:paraId="61778338" w14:textId="250B5A6F" w:rsidR="0087177B" w:rsidRDefault="00944EF1" w:rsidP="00EE78D0">
      <w:pPr>
        <w:spacing w:line="276" w:lineRule="auto"/>
        <w:jc w:val="both"/>
        <w:rPr>
          <w:rFonts w:ascii="Helvetica" w:eastAsia="Calibri" w:hAnsi="Helvetica"/>
          <w:lang w:eastAsia="en-GB"/>
        </w:rPr>
      </w:pPr>
      <w:r>
        <w:rPr>
          <w:rFonts w:ascii="Helvetica" w:eastAsia="Calibri" w:hAnsi="Helvetica"/>
          <w:lang w:eastAsia="en-GB"/>
        </w:rPr>
        <w:t xml:space="preserve">Dan and Adelle </w:t>
      </w:r>
      <w:r w:rsidR="001F127F">
        <w:rPr>
          <w:rFonts w:ascii="Helvetica" w:eastAsia="Calibri" w:hAnsi="Helvetica"/>
          <w:lang w:eastAsia="en-GB"/>
        </w:rPr>
        <w:t>were</w:t>
      </w:r>
      <w:r>
        <w:rPr>
          <w:rFonts w:ascii="Helvetica" w:eastAsia="Calibri" w:hAnsi="Helvetica"/>
          <w:lang w:eastAsia="en-GB"/>
        </w:rPr>
        <w:t xml:space="preserve"> both focused on finding a way to save money in order to build up deposit</w:t>
      </w:r>
      <w:r w:rsidR="001F127F">
        <w:rPr>
          <w:rFonts w:ascii="Helvetica" w:eastAsia="Calibri" w:hAnsi="Helvetica"/>
          <w:lang w:eastAsia="en-GB"/>
        </w:rPr>
        <w:t>s</w:t>
      </w:r>
      <w:r>
        <w:rPr>
          <w:rFonts w:ascii="Helvetica" w:eastAsia="Calibri" w:hAnsi="Helvetica"/>
          <w:lang w:eastAsia="en-GB"/>
        </w:rPr>
        <w:t xml:space="preserve"> to buy house</w:t>
      </w:r>
      <w:r w:rsidR="001F127F">
        <w:rPr>
          <w:rFonts w:ascii="Helvetica" w:eastAsia="Calibri" w:hAnsi="Helvetica"/>
          <w:lang w:eastAsia="en-GB"/>
        </w:rPr>
        <w:t>s</w:t>
      </w:r>
      <w:r>
        <w:rPr>
          <w:rFonts w:ascii="Helvetica" w:eastAsia="Calibri" w:hAnsi="Helvetica"/>
          <w:lang w:eastAsia="en-GB"/>
        </w:rPr>
        <w:t xml:space="preserve"> as soon as they graduate</w:t>
      </w:r>
      <w:r w:rsidR="001F127F">
        <w:rPr>
          <w:rFonts w:ascii="Helvetica" w:eastAsia="Calibri" w:hAnsi="Helvetica"/>
          <w:lang w:eastAsia="en-GB"/>
        </w:rPr>
        <w:t>d</w:t>
      </w:r>
      <w:r>
        <w:rPr>
          <w:rFonts w:ascii="Helvetica" w:eastAsia="Calibri" w:hAnsi="Helvetica"/>
          <w:lang w:eastAsia="en-GB"/>
        </w:rPr>
        <w:t>. In their interviews it felt like the initial graduate gap year was likely to extend into the future, particularly if a regular non-graduate wage provided the means to get onto the housing ladder. Dan crave</w:t>
      </w:r>
      <w:r w:rsidR="001F127F">
        <w:rPr>
          <w:rFonts w:ascii="Helvetica" w:eastAsia="Calibri" w:hAnsi="Helvetica"/>
          <w:lang w:eastAsia="en-GB"/>
        </w:rPr>
        <w:t>d</w:t>
      </w:r>
      <w:r>
        <w:rPr>
          <w:rFonts w:ascii="Helvetica" w:eastAsia="Calibri" w:hAnsi="Helvetica"/>
          <w:lang w:eastAsia="en-GB"/>
        </w:rPr>
        <w:t xml:space="preserve"> security and plan</w:t>
      </w:r>
      <w:r w:rsidR="001F127F">
        <w:rPr>
          <w:rFonts w:ascii="Helvetica" w:eastAsia="Calibri" w:hAnsi="Helvetica"/>
          <w:lang w:eastAsia="en-GB"/>
        </w:rPr>
        <w:t>ned</w:t>
      </w:r>
      <w:r>
        <w:rPr>
          <w:rFonts w:ascii="Helvetica" w:eastAsia="Calibri" w:hAnsi="Helvetica"/>
          <w:lang w:eastAsia="en-GB"/>
        </w:rPr>
        <w:t xml:space="preserve"> to move back to the family home and get ‘the first normal job’ he c</w:t>
      </w:r>
      <w:r w:rsidR="001F127F">
        <w:rPr>
          <w:rFonts w:ascii="Helvetica" w:eastAsia="Calibri" w:hAnsi="Helvetica"/>
          <w:lang w:eastAsia="en-GB"/>
        </w:rPr>
        <w:t>ould</w:t>
      </w:r>
      <w:r>
        <w:rPr>
          <w:rFonts w:ascii="Helvetica" w:eastAsia="Calibri" w:hAnsi="Helvetica"/>
          <w:lang w:eastAsia="en-GB"/>
        </w:rPr>
        <w:t xml:space="preserve">: </w:t>
      </w:r>
    </w:p>
    <w:p w14:paraId="40F1E2BF" w14:textId="77777777" w:rsidR="0087177B" w:rsidRDefault="0087177B" w:rsidP="00EE78D0">
      <w:pPr>
        <w:spacing w:line="276" w:lineRule="auto"/>
        <w:jc w:val="both"/>
        <w:rPr>
          <w:rFonts w:ascii="Helvetica" w:eastAsia="Calibri" w:hAnsi="Helvetica"/>
          <w:lang w:eastAsia="en-GB"/>
        </w:rPr>
      </w:pPr>
    </w:p>
    <w:p w14:paraId="68E6E74B" w14:textId="1C0C5E97" w:rsidR="00EE78D0" w:rsidRDefault="00EE78D0" w:rsidP="00EE78D0">
      <w:pPr>
        <w:spacing w:line="276" w:lineRule="auto"/>
        <w:jc w:val="both"/>
        <w:rPr>
          <w:rFonts w:ascii="Helvetica" w:eastAsia="Calibri" w:hAnsi="Helvetica"/>
          <w:lang w:eastAsia="en-GB"/>
        </w:rPr>
      </w:pPr>
      <w:r>
        <w:rPr>
          <w:rFonts w:ascii="Helvetica" w:eastAsia="Calibri" w:hAnsi="Helvetica"/>
          <w:lang w:eastAsia="en-GB"/>
        </w:rPr>
        <w:t xml:space="preserve">“Being </w:t>
      </w:r>
      <w:r w:rsidRPr="00040DD7">
        <w:rPr>
          <w:rFonts w:ascii="Helvetica" w:eastAsia="Calibri" w:hAnsi="Helvetica"/>
          <w:lang w:eastAsia="en-GB"/>
        </w:rPr>
        <w:t>realistic I see myself working in the first normal job that I can get my hands on</w:t>
      </w:r>
      <w:r>
        <w:rPr>
          <w:rFonts w:ascii="Helvetica" w:eastAsia="Calibri" w:hAnsi="Helvetica"/>
          <w:lang w:eastAsia="en-GB"/>
        </w:rPr>
        <w:t xml:space="preserve">… </w:t>
      </w:r>
      <w:r w:rsidRPr="00D53892">
        <w:rPr>
          <w:rFonts w:ascii="Helvetica" w:eastAsia="Calibri" w:hAnsi="Helvetica"/>
          <w:lang w:eastAsia="en-GB"/>
        </w:rPr>
        <w:t>I haven’t had a fixed job for the three years that I’ve been studying… now</w:t>
      </w:r>
      <w:r>
        <w:rPr>
          <w:rFonts w:ascii="Helvetica" w:eastAsia="Calibri" w:hAnsi="Helvetica"/>
          <w:lang w:eastAsia="en-GB"/>
        </w:rPr>
        <w:t xml:space="preserve"> I’d like a fixed reliable wage… </w:t>
      </w:r>
      <w:r w:rsidRPr="00D53892">
        <w:rPr>
          <w:rFonts w:ascii="Helvetica" w:eastAsia="Calibri" w:hAnsi="Helvetica"/>
          <w:lang w:eastAsia="en-GB"/>
        </w:rPr>
        <w:t>I need to keep my bank level up</w:t>
      </w:r>
      <w:r>
        <w:rPr>
          <w:rFonts w:ascii="Helvetica" w:eastAsia="Calibri" w:hAnsi="Helvetica"/>
          <w:lang w:eastAsia="en-GB"/>
        </w:rPr>
        <w:t>…</w:t>
      </w:r>
      <w:r w:rsidRPr="00D53892">
        <w:rPr>
          <w:rFonts w:ascii="Helvetica" w:eastAsia="Calibri" w:hAnsi="Helvetica"/>
          <w:lang w:eastAsia="en-GB"/>
        </w:rPr>
        <w:t xml:space="preserve"> </w:t>
      </w:r>
      <w:r>
        <w:rPr>
          <w:rFonts w:ascii="Helvetica" w:eastAsia="Calibri" w:hAnsi="Helvetica"/>
          <w:lang w:eastAsia="en-GB"/>
        </w:rPr>
        <w:t>T</w:t>
      </w:r>
      <w:r w:rsidRPr="00D53892">
        <w:rPr>
          <w:rFonts w:ascii="Helvetica" w:eastAsia="Calibri" w:hAnsi="Helvetica"/>
          <w:lang w:eastAsia="en-GB"/>
        </w:rPr>
        <w:t xml:space="preserve">he plan is to move back home to live with parents and find my first full-time job to save up for the deposit on a house… </w:t>
      </w:r>
      <w:r>
        <w:rPr>
          <w:rFonts w:ascii="Helvetica" w:eastAsia="Calibri" w:hAnsi="Helvetica"/>
          <w:lang w:eastAsia="en-GB"/>
        </w:rPr>
        <w:t xml:space="preserve">I just need to be secure </w:t>
      </w:r>
      <w:r w:rsidRPr="005A12ED">
        <w:rPr>
          <w:rFonts w:ascii="Helvetica" w:eastAsia="Calibri" w:hAnsi="Helvetica"/>
          <w:lang w:eastAsia="en-GB"/>
        </w:rPr>
        <w:t>at the moment rather than being a freelance creative kid.”</w:t>
      </w:r>
      <w:r>
        <w:rPr>
          <w:rFonts w:ascii="Helvetica" w:eastAsia="Calibri" w:hAnsi="Helvetica"/>
          <w:lang w:eastAsia="en-GB"/>
        </w:rPr>
        <w:t xml:space="preserve"> (Dan, </w:t>
      </w:r>
      <w:r w:rsidR="00E7548F">
        <w:rPr>
          <w:rFonts w:ascii="Helvetica" w:eastAsia="Calibri" w:hAnsi="Helvetica"/>
          <w:lang w:eastAsia="en-GB"/>
        </w:rPr>
        <w:t xml:space="preserve">Post-1992, Non-WP, </w:t>
      </w:r>
      <w:r>
        <w:rPr>
          <w:rFonts w:ascii="Helvetica" w:eastAsia="Calibri" w:hAnsi="Helvetica"/>
          <w:lang w:eastAsia="en-GB"/>
        </w:rPr>
        <w:t>BSc)</w:t>
      </w:r>
    </w:p>
    <w:p w14:paraId="7BA075B1" w14:textId="77777777" w:rsidR="00DE2C22" w:rsidRDefault="00DE2C22" w:rsidP="00B0503D">
      <w:pPr>
        <w:spacing w:line="276" w:lineRule="auto"/>
        <w:jc w:val="both"/>
        <w:rPr>
          <w:rFonts w:ascii="Helvetica" w:eastAsia="Calibri" w:hAnsi="Helvetica"/>
          <w:lang w:eastAsia="en-GB"/>
        </w:rPr>
      </w:pPr>
    </w:p>
    <w:p w14:paraId="1C77E829" w14:textId="29494903" w:rsidR="00944EF1" w:rsidRDefault="00944EF1" w:rsidP="00B0503D">
      <w:pPr>
        <w:spacing w:line="276" w:lineRule="auto"/>
        <w:jc w:val="both"/>
        <w:rPr>
          <w:rFonts w:ascii="Helvetica" w:eastAsia="Calibri" w:hAnsi="Helvetica"/>
          <w:lang w:eastAsia="en-GB"/>
        </w:rPr>
      </w:pPr>
      <w:r>
        <w:rPr>
          <w:rFonts w:ascii="Helvetica" w:eastAsia="Calibri" w:hAnsi="Helvetica"/>
          <w:lang w:eastAsia="en-GB"/>
        </w:rPr>
        <w:t>Adelle lived at home whilst studying so she want</w:t>
      </w:r>
      <w:r w:rsidR="001F127F">
        <w:rPr>
          <w:rFonts w:ascii="Helvetica" w:eastAsia="Calibri" w:hAnsi="Helvetica"/>
          <w:lang w:eastAsia="en-GB"/>
        </w:rPr>
        <w:t>ed</w:t>
      </w:r>
      <w:r>
        <w:rPr>
          <w:rFonts w:ascii="Helvetica" w:eastAsia="Calibri" w:hAnsi="Helvetica"/>
          <w:lang w:eastAsia="en-GB"/>
        </w:rPr>
        <w:t xml:space="preserve"> her graduate gap year to give her more independence from her family. She also communicate</w:t>
      </w:r>
      <w:r w:rsidR="001F127F">
        <w:rPr>
          <w:rFonts w:ascii="Helvetica" w:eastAsia="Calibri" w:hAnsi="Helvetica"/>
          <w:lang w:eastAsia="en-GB"/>
        </w:rPr>
        <w:t>d</w:t>
      </w:r>
      <w:r>
        <w:rPr>
          <w:rFonts w:ascii="Helvetica" w:eastAsia="Calibri" w:hAnsi="Helvetica"/>
          <w:lang w:eastAsia="en-GB"/>
        </w:rPr>
        <w:t xml:space="preserve"> scepticism about the graduate job market. It is clear that her </w:t>
      </w:r>
      <w:r w:rsidR="007C4F01">
        <w:rPr>
          <w:rFonts w:ascii="Helvetica" w:eastAsia="Calibri" w:hAnsi="Helvetica"/>
          <w:lang w:eastAsia="en-GB"/>
        </w:rPr>
        <w:t xml:space="preserve">goal </w:t>
      </w:r>
      <w:r w:rsidR="001F127F">
        <w:rPr>
          <w:rFonts w:ascii="Helvetica" w:eastAsia="Calibri" w:hAnsi="Helvetica"/>
          <w:lang w:eastAsia="en-GB"/>
        </w:rPr>
        <w:t>was</w:t>
      </w:r>
      <w:r w:rsidR="007C4F01">
        <w:rPr>
          <w:rFonts w:ascii="Helvetica" w:eastAsia="Calibri" w:hAnsi="Helvetica"/>
          <w:lang w:eastAsia="en-GB"/>
        </w:rPr>
        <w:t xml:space="preserve"> to get into a financial position where she </w:t>
      </w:r>
      <w:r w:rsidR="001F127F">
        <w:rPr>
          <w:rFonts w:ascii="Helvetica" w:eastAsia="Calibri" w:hAnsi="Helvetica"/>
          <w:lang w:eastAsia="en-GB"/>
        </w:rPr>
        <w:t>could</w:t>
      </w:r>
      <w:r w:rsidR="007C4F01">
        <w:rPr>
          <w:rFonts w:ascii="Helvetica" w:eastAsia="Calibri" w:hAnsi="Helvetica"/>
          <w:lang w:eastAsia="en-GB"/>
        </w:rPr>
        <w:t xml:space="preserve"> buy a house:</w:t>
      </w:r>
    </w:p>
    <w:p w14:paraId="3F121DAC" w14:textId="77777777" w:rsidR="00944EF1" w:rsidRDefault="00944EF1" w:rsidP="00B0503D">
      <w:pPr>
        <w:spacing w:line="276" w:lineRule="auto"/>
        <w:jc w:val="both"/>
        <w:rPr>
          <w:rFonts w:ascii="Helvetica" w:eastAsia="Calibri" w:hAnsi="Helvetica"/>
          <w:lang w:eastAsia="en-GB"/>
        </w:rPr>
      </w:pPr>
    </w:p>
    <w:p w14:paraId="36B08CD9" w14:textId="08F6E703" w:rsidR="00DE2C22" w:rsidRPr="00EE78D0" w:rsidRDefault="00DE2C22" w:rsidP="00B0503D">
      <w:pPr>
        <w:spacing w:line="276" w:lineRule="auto"/>
        <w:jc w:val="both"/>
        <w:rPr>
          <w:rFonts w:ascii="Helvetica" w:eastAsia="Calibri" w:hAnsi="Helvetica"/>
          <w:lang w:eastAsia="en-GB"/>
        </w:rPr>
      </w:pPr>
      <w:r>
        <w:rPr>
          <w:rFonts w:ascii="Helvetica" w:eastAsia="Calibri" w:hAnsi="Helvetica"/>
          <w:lang w:eastAsia="en-GB"/>
        </w:rPr>
        <w:t>“</w:t>
      </w:r>
      <w:r w:rsidRPr="00120D67">
        <w:rPr>
          <w:rFonts w:ascii="Helvetica" w:eastAsia="Calibri" w:hAnsi="Helvetica"/>
          <w:lang w:eastAsia="en-GB"/>
        </w:rPr>
        <w:t xml:space="preserve">I’d like to work for a </w:t>
      </w:r>
      <w:r>
        <w:rPr>
          <w:rFonts w:ascii="Helvetica" w:eastAsia="Calibri" w:hAnsi="Helvetica"/>
          <w:lang w:eastAsia="en-GB"/>
        </w:rPr>
        <w:t xml:space="preserve">charity </w:t>
      </w:r>
      <w:r w:rsidR="00944EF1">
        <w:rPr>
          <w:rFonts w:ascii="Helvetica" w:eastAsia="Calibri" w:hAnsi="Helvetica"/>
          <w:lang w:eastAsia="en-GB"/>
        </w:rPr>
        <w:t>for a year</w:t>
      </w:r>
      <w:r>
        <w:rPr>
          <w:rFonts w:ascii="Helvetica" w:eastAsia="Calibri" w:hAnsi="Helvetica"/>
          <w:lang w:eastAsia="en-GB"/>
        </w:rPr>
        <w:t xml:space="preserve">… I need to start looking… </w:t>
      </w:r>
      <w:r w:rsidRPr="00120D67">
        <w:rPr>
          <w:rFonts w:ascii="Helvetica" w:eastAsia="Calibri" w:hAnsi="Helvetica"/>
          <w:lang w:eastAsia="en-GB"/>
        </w:rPr>
        <w:t>I just want to start working now and live a</w:t>
      </w:r>
      <w:r w:rsidR="00EE78D0">
        <w:rPr>
          <w:rFonts w:ascii="Helvetica" w:eastAsia="Calibri" w:hAnsi="Helvetica"/>
          <w:lang w:eastAsia="en-GB"/>
        </w:rPr>
        <w:t>way from home and have a change</w:t>
      </w:r>
      <w:r w:rsidR="00E90164">
        <w:rPr>
          <w:rFonts w:ascii="Helvetica" w:eastAsia="Calibri" w:hAnsi="Helvetica"/>
          <w:lang w:eastAsia="en-GB"/>
        </w:rPr>
        <w:t xml:space="preserve">… </w:t>
      </w:r>
      <w:r w:rsidRPr="00120D67">
        <w:rPr>
          <w:rFonts w:ascii="Helvetica" w:eastAsia="Calibri" w:hAnsi="Helvetica"/>
          <w:lang w:eastAsia="en-GB"/>
        </w:rPr>
        <w:t>I feel like graduate jobs aren’t all they’re made out to be or they’re not as common as they make out. So I’m like, where do I go from here, will it get me anywhere towards the deposit for a house?”</w:t>
      </w:r>
      <w:r w:rsidR="00E90164">
        <w:rPr>
          <w:rFonts w:ascii="Helvetica" w:eastAsia="Calibri" w:hAnsi="Helvetica"/>
          <w:lang w:eastAsia="en-GB"/>
        </w:rPr>
        <w:t xml:space="preserve"> (Adelle, </w:t>
      </w:r>
      <w:r w:rsidR="001706F1">
        <w:rPr>
          <w:rFonts w:ascii="Helvetica" w:eastAsia="Calibri" w:hAnsi="Helvetica"/>
          <w:lang w:eastAsia="en-GB"/>
        </w:rPr>
        <w:t xml:space="preserve">Post-1992, Non-WP, </w:t>
      </w:r>
      <w:r w:rsidR="00E90164">
        <w:rPr>
          <w:rFonts w:ascii="Helvetica" w:eastAsia="Calibri" w:hAnsi="Helvetica"/>
          <w:lang w:eastAsia="en-GB"/>
        </w:rPr>
        <w:t>BSc)</w:t>
      </w:r>
    </w:p>
    <w:p w14:paraId="76E803F2" w14:textId="77777777" w:rsidR="007227A3" w:rsidRDefault="007227A3" w:rsidP="00B0503D">
      <w:pPr>
        <w:spacing w:line="276" w:lineRule="auto"/>
        <w:jc w:val="both"/>
        <w:rPr>
          <w:rFonts w:ascii="Helvetica" w:hAnsi="Helvetica"/>
          <w:lang w:val="en-US"/>
        </w:rPr>
      </w:pPr>
    </w:p>
    <w:p w14:paraId="1318E93C" w14:textId="77777777" w:rsidR="00BB6FA3" w:rsidRDefault="00BB6FA3" w:rsidP="00B0503D">
      <w:pPr>
        <w:spacing w:line="276" w:lineRule="auto"/>
        <w:jc w:val="both"/>
        <w:rPr>
          <w:rFonts w:ascii="Helvetica" w:hAnsi="Helvetica"/>
          <w:lang w:val="en-US"/>
        </w:rPr>
      </w:pPr>
    </w:p>
    <w:p w14:paraId="5E36F35E" w14:textId="77580425" w:rsidR="00493797" w:rsidRPr="00B74EF4" w:rsidRDefault="00C815D6" w:rsidP="00B0503D">
      <w:pPr>
        <w:spacing w:line="276" w:lineRule="auto"/>
        <w:jc w:val="both"/>
        <w:rPr>
          <w:rFonts w:ascii="Helvetica" w:hAnsi="Helvetica"/>
          <w:b/>
          <w:lang w:val="en-US"/>
        </w:rPr>
      </w:pPr>
      <w:r w:rsidRPr="00C815D6">
        <w:rPr>
          <w:rFonts w:ascii="Helvetica" w:hAnsi="Helvetica"/>
          <w:b/>
          <w:lang w:val="en-US"/>
        </w:rPr>
        <w:t>Reflection on</w:t>
      </w:r>
      <w:r w:rsidR="006774EB" w:rsidRPr="00C815D6">
        <w:rPr>
          <w:rFonts w:ascii="Helvetica" w:hAnsi="Helvetica"/>
          <w:b/>
          <w:lang w:val="en-US"/>
        </w:rPr>
        <w:t xml:space="preserve"> graduate</w:t>
      </w:r>
      <w:r w:rsidR="00493797" w:rsidRPr="00C815D6">
        <w:rPr>
          <w:rFonts w:ascii="Helvetica" w:hAnsi="Helvetica"/>
          <w:b/>
          <w:lang w:val="en-US"/>
        </w:rPr>
        <w:t xml:space="preserve"> gap year</w:t>
      </w:r>
      <w:r w:rsidRPr="00C815D6">
        <w:rPr>
          <w:rFonts w:ascii="Helvetica" w:hAnsi="Helvetica"/>
          <w:b/>
          <w:lang w:val="en-US"/>
        </w:rPr>
        <w:t>s</w:t>
      </w:r>
    </w:p>
    <w:p w14:paraId="0257495B" w14:textId="77777777" w:rsidR="00C815D6" w:rsidRDefault="00C815D6" w:rsidP="00C815D6">
      <w:pPr>
        <w:spacing w:line="276" w:lineRule="auto"/>
        <w:jc w:val="both"/>
        <w:rPr>
          <w:rFonts w:ascii="Helvetica" w:hAnsi="Helvetica"/>
          <w:lang w:val="en-US"/>
        </w:rPr>
      </w:pPr>
    </w:p>
    <w:p w14:paraId="18D45803" w14:textId="12873AF9" w:rsidR="00D8599F" w:rsidRDefault="00D8599F" w:rsidP="00D8599F">
      <w:pPr>
        <w:spacing w:line="276" w:lineRule="auto"/>
        <w:jc w:val="both"/>
        <w:rPr>
          <w:rFonts w:ascii="Helvetica" w:hAnsi="Helvetica"/>
          <w:lang w:val="en-US"/>
        </w:rPr>
      </w:pPr>
      <w:r>
        <w:rPr>
          <w:rFonts w:ascii="Helvetica" w:hAnsi="Helvetica"/>
          <w:lang w:val="en-US"/>
        </w:rPr>
        <w:t xml:space="preserve">It turns out that </w:t>
      </w:r>
      <w:r w:rsidRPr="00B0503D">
        <w:rPr>
          <w:rFonts w:ascii="Helvetica" w:hAnsi="Helvetica"/>
          <w:lang w:val="en-US"/>
        </w:rPr>
        <w:t xml:space="preserve">Holmlund et al.’s (2008) typology </w:t>
      </w:r>
      <w:r>
        <w:rPr>
          <w:rFonts w:ascii="Helvetica" w:hAnsi="Helvetica"/>
          <w:lang w:val="en-US"/>
        </w:rPr>
        <w:t xml:space="preserve">of pre-university gap years is a </w:t>
      </w:r>
      <w:r w:rsidRPr="00B0503D">
        <w:rPr>
          <w:rFonts w:ascii="Helvetica" w:hAnsi="Helvetica"/>
          <w:lang w:val="en-US"/>
        </w:rPr>
        <w:t xml:space="preserve">useful starting point </w:t>
      </w:r>
      <w:r>
        <w:rPr>
          <w:rFonts w:ascii="Helvetica" w:hAnsi="Helvetica"/>
          <w:lang w:val="en-US"/>
        </w:rPr>
        <w:t xml:space="preserve">when thinking about the nature and purpose of the phenomenon of graduate gap years. Indeed, three of their categories map neatly to those of graduate gap year takers (see Table </w:t>
      </w:r>
      <w:r w:rsidR="0008415C">
        <w:rPr>
          <w:rFonts w:ascii="Helvetica" w:hAnsi="Helvetica"/>
          <w:lang w:val="en-US"/>
        </w:rPr>
        <w:t>3</w:t>
      </w:r>
      <w:r>
        <w:rPr>
          <w:rFonts w:ascii="Helvetica" w:hAnsi="Helvetica"/>
          <w:lang w:val="en-US"/>
        </w:rPr>
        <w:t xml:space="preserve"> below).</w:t>
      </w:r>
    </w:p>
    <w:p w14:paraId="521E25BB" w14:textId="5C746FE2" w:rsidR="00D8599F" w:rsidRPr="001F127F" w:rsidRDefault="00D8599F" w:rsidP="00D8599F">
      <w:pPr>
        <w:spacing w:line="276" w:lineRule="auto"/>
        <w:jc w:val="both"/>
        <w:rPr>
          <w:rFonts w:ascii="Helvetica" w:hAnsi="Helvetica"/>
          <w:b/>
          <w:lang w:val="en-US"/>
        </w:rPr>
      </w:pPr>
    </w:p>
    <w:tbl>
      <w:tblPr>
        <w:tblStyle w:val="TableGrid"/>
        <w:tblW w:w="0" w:type="auto"/>
        <w:tblLook w:val="04A0" w:firstRow="1" w:lastRow="0" w:firstColumn="1" w:lastColumn="0" w:noHBand="0" w:noVBand="1"/>
      </w:tblPr>
      <w:tblGrid>
        <w:gridCol w:w="4258"/>
        <w:gridCol w:w="4258"/>
      </w:tblGrid>
      <w:tr w:rsidR="001F127F" w14:paraId="0F352E77" w14:textId="77777777" w:rsidTr="001F127F">
        <w:tc>
          <w:tcPr>
            <w:tcW w:w="8516" w:type="dxa"/>
            <w:gridSpan w:val="2"/>
          </w:tcPr>
          <w:p w14:paraId="1DBA4D53" w14:textId="38C0D2CC" w:rsidR="001F127F" w:rsidRPr="00AE708D" w:rsidRDefault="001F127F" w:rsidP="00D8599F">
            <w:pPr>
              <w:spacing w:line="276" w:lineRule="auto"/>
              <w:jc w:val="both"/>
              <w:rPr>
                <w:rFonts w:ascii="Helvetica" w:hAnsi="Helvetica"/>
                <w:b/>
                <w:lang w:val="en-US"/>
              </w:rPr>
            </w:pPr>
            <w:r w:rsidRPr="001F127F">
              <w:rPr>
                <w:rFonts w:ascii="Helvetica" w:hAnsi="Helvetica"/>
                <w:b/>
                <w:lang w:val="en-US"/>
              </w:rPr>
              <w:t>Table 3: A comparison of pre-university and graduate gap year types</w:t>
            </w:r>
          </w:p>
        </w:tc>
      </w:tr>
      <w:tr w:rsidR="00D8599F" w14:paraId="5675E7F7" w14:textId="77777777" w:rsidTr="00D8599F">
        <w:tc>
          <w:tcPr>
            <w:tcW w:w="4258" w:type="dxa"/>
          </w:tcPr>
          <w:p w14:paraId="699A4E00" w14:textId="77777777" w:rsidR="00D8599F" w:rsidRPr="00AE708D" w:rsidRDefault="00D8599F" w:rsidP="00D8599F">
            <w:pPr>
              <w:spacing w:line="276" w:lineRule="auto"/>
              <w:jc w:val="both"/>
              <w:rPr>
                <w:rFonts w:ascii="Helvetica" w:hAnsi="Helvetica"/>
                <w:b/>
                <w:lang w:val="en-US"/>
              </w:rPr>
            </w:pPr>
            <w:r w:rsidRPr="00AE708D">
              <w:rPr>
                <w:rFonts w:ascii="Helvetica" w:hAnsi="Helvetica"/>
                <w:b/>
                <w:lang w:val="en-US"/>
              </w:rPr>
              <w:t>Pre-university gap year type</w:t>
            </w:r>
          </w:p>
          <w:p w14:paraId="5FAF3263" w14:textId="77777777" w:rsidR="00D8599F" w:rsidRPr="00AE708D" w:rsidRDefault="00D8599F" w:rsidP="00D8599F">
            <w:pPr>
              <w:spacing w:line="276" w:lineRule="auto"/>
              <w:jc w:val="both"/>
              <w:rPr>
                <w:rFonts w:ascii="Helvetica" w:hAnsi="Helvetica"/>
                <w:b/>
                <w:lang w:val="en-US"/>
              </w:rPr>
            </w:pPr>
            <w:r w:rsidRPr="00AE708D">
              <w:rPr>
                <w:rFonts w:ascii="Helvetica" w:hAnsi="Helvetica"/>
                <w:b/>
                <w:lang w:val="en-US"/>
              </w:rPr>
              <w:t>(Holmlund et al.’ 2008)</w:t>
            </w:r>
          </w:p>
        </w:tc>
        <w:tc>
          <w:tcPr>
            <w:tcW w:w="4258" w:type="dxa"/>
          </w:tcPr>
          <w:p w14:paraId="5F2CD861" w14:textId="77777777" w:rsidR="00D8599F" w:rsidRPr="00AE708D" w:rsidRDefault="00D8599F" w:rsidP="00D8599F">
            <w:pPr>
              <w:spacing w:line="276" w:lineRule="auto"/>
              <w:jc w:val="both"/>
              <w:rPr>
                <w:rFonts w:ascii="Helvetica" w:hAnsi="Helvetica"/>
                <w:b/>
                <w:lang w:val="en-US"/>
              </w:rPr>
            </w:pPr>
            <w:r w:rsidRPr="00AE708D">
              <w:rPr>
                <w:rFonts w:ascii="Helvetica" w:hAnsi="Helvetica"/>
                <w:b/>
                <w:lang w:val="en-US"/>
              </w:rPr>
              <w:t>Graduate gap year type</w:t>
            </w:r>
          </w:p>
        </w:tc>
      </w:tr>
      <w:tr w:rsidR="00D8599F" w14:paraId="526405DE" w14:textId="77777777" w:rsidTr="00D8599F">
        <w:tc>
          <w:tcPr>
            <w:tcW w:w="4258" w:type="dxa"/>
          </w:tcPr>
          <w:p w14:paraId="0450C9B3" w14:textId="77777777" w:rsidR="00D8599F" w:rsidRDefault="00D8599F" w:rsidP="00D8599F">
            <w:pPr>
              <w:spacing w:line="276" w:lineRule="auto"/>
              <w:jc w:val="both"/>
              <w:rPr>
                <w:rFonts w:ascii="Helvetica" w:hAnsi="Helvetica"/>
                <w:lang w:val="en-US"/>
              </w:rPr>
            </w:pPr>
            <w:r w:rsidRPr="00B0503D">
              <w:rPr>
                <w:rFonts w:ascii="Helvetica" w:hAnsi="Helvetica"/>
                <w:lang w:val="en-US"/>
              </w:rPr>
              <w:t>Those where individuals develop specific skills.</w:t>
            </w:r>
          </w:p>
        </w:tc>
        <w:tc>
          <w:tcPr>
            <w:tcW w:w="4258" w:type="dxa"/>
          </w:tcPr>
          <w:p w14:paraId="2A5678C6" w14:textId="77777777" w:rsidR="00D8599F" w:rsidRDefault="00D8599F" w:rsidP="00D8599F">
            <w:pPr>
              <w:spacing w:line="276" w:lineRule="auto"/>
              <w:jc w:val="both"/>
              <w:rPr>
                <w:rFonts w:ascii="Helvetica" w:hAnsi="Helvetica"/>
                <w:lang w:val="en-US"/>
              </w:rPr>
            </w:pPr>
            <w:r>
              <w:rPr>
                <w:rFonts w:ascii="Helvetica" w:hAnsi="Helvetica"/>
                <w:lang w:val="en-US"/>
              </w:rPr>
              <w:t>Those where individuals build up work experience.</w:t>
            </w:r>
          </w:p>
        </w:tc>
      </w:tr>
      <w:tr w:rsidR="00D8599F" w14:paraId="52AAC7C4" w14:textId="77777777" w:rsidTr="00D8599F">
        <w:tc>
          <w:tcPr>
            <w:tcW w:w="4258" w:type="dxa"/>
          </w:tcPr>
          <w:p w14:paraId="6241E97E" w14:textId="77777777" w:rsidR="00D8599F" w:rsidRDefault="00D8599F" w:rsidP="00D8599F">
            <w:pPr>
              <w:spacing w:line="276" w:lineRule="auto"/>
              <w:jc w:val="both"/>
              <w:rPr>
                <w:rFonts w:ascii="Helvetica" w:hAnsi="Helvetica"/>
                <w:lang w:val="en-US"/>
              </w:rPr>
            </w:pPr>
            <w:r w:rsidRPr="00B0503D">
              <w:rPr>
                <w:rFonts w:ascii="Helvetica" w:hAnsi="Helvetica"/>
                <w:lang w:val="en-US"/>
              </w:rPr>
              <w:t>Those where individuals learn about their broader preferences and/or abilities</w:t>
            </w:r>
          </w:p>
        </w:tc>
        <w:tc>
          <w:tcPr>
            <w:tcW w:w="4258" w:type="dxa"/>
          </w:tcPr>
          <w:p w14:paraId="15A76A6E" w14:textId="77777777" w:rsidR="00D8599F" w:rsidRDefault="00D8599F" w:rsidP="00D8599F">
            <w:pPr>
              <w:spacing w:line="276" w:lineRule="auto"/>
              <w:jc w:val="both"/>
              <w:rPr>
                <w:rFonts w:ascii="Helvetica" w:hAnsi="Helvetica"/>
                <w:lang w:val="en-US"/>
              </w:rPr>
            </w:pPr>
            <w:r>
              <w:rPr>
                <w:rFonts w:ascii="Helvetica" w:hAnsi="Helvetica"/>
                <w:lang w:val="en-US"/>
              </w:rPr>
              <w:t>Those where individuals work out their next steps.</w:t>
            </w:r>
          </w:p>
        </w:tc>
      </w:tr>
      <w:tr w:rsidR="00D8599F" w14:paraId="24478F4A" w14:textId="77777777" w:rsidTr="00D8599F">
        <w:tc>
          <w:tcPr>
            <w:tcW w:w="4258" w:type="dxa"/>
          </w:tcPr>
          <w:p w14:paraId="7CBE80D1" w14:textId="77777777" w:rsidR="00D8599F" w:rsidRDefault="00D8599F" w:rsidP="00D8599F">
            <w:pPr>
              <w:spacing w:line="276" w:lineRule="auto"/>
              <w:jc w:val="both"/>
              <w:rPr>
                <w:rFonts w:ascii="Helvetica" w:hAnsi="Helvetica"/>
                <w:lang w:val="en-US"/>
              </w:rPr>
            </w:pPr>
            <w:r w:rsidRPr="00B0503D">
              <w:rPr>
                <w:rFonts w:ascii="Helvetica" w:hAnsi="Helvetica"/>
                <w:lang w:val="en-US"/>
              </w:rPr>
              <w:t>Those where individuals take an extended break or holiday</w:t>
            </w:r>
          </w:p>
        </w:tc>
        <w:tc>
          <w:tcPr>
            <w:tcW w:w="4258" w:type="dxa"/>
          </w:tcPr>
          <w:p w14:paraId="3360D13B" w14:textId="77777777" w:rsidR="00D8599F" w:rsidRDefault="00D8599F" w:rsidP="00D8599F">
            <w:pPr>
              <w:spacing w:line="276" w:lineRule="auto"/>
              <w:jc w:val="both"/>
              <w:rPr>
                <w:rFonts w:ascii="Helvetica" w:hAnsi="Helvetica"/>
                <w:lang w:val="en-US"/>
              </w:rPr>
            </w:pPr>
            <w:r>
              <w:rPr>
                <w:rFonts w:ascii="Helvetica" w:hAnsi="Helvetica"/>
                <w:lang w:val="en-US"/>
              </w:rPr>
              <w:t>Those where individuals take a break.</w:t>
            </w:r>
          </w:p>
        </w:tc>
      </w:tr>
      <w:tr w:rsidR="00E23F51" w14:paraId="606BA842" w14:textId="77777777" w:rsidTr="00D8599F">
        <w:tc>
          <w:tcPr>
            <w:tcW w:w="4258" w:type="dxa"/>
          </w:tcPr>
          <w:p w14:paraId="481CFA00" w14:textId="77777777" w:rsidR="00E23F51" w:rsidRPr="00B0503D" w:rsidRDefault="00E23F51" w:rsidP="00D8599F">
            <w:pPr>
              <w:spacing w:line="276" w:lineRule="auto"/>
              <w:jc w:val="both"/>
              <w:rPr>
                <w:rFonts w:ascii="Helvetica" w:hAnsi="Helvetica"/>
                <w:lang w:val="en-US"/>
              </w:rPr>
            </w:pPr>
          </w:p>
        </w:tc>
        <w:tc>
          <w:tcPr>
            <w:tcW w:w="4258" w:type="dxa"/>
          </w:tcPr>
          <w:p w14:paraId="1AAFAC24" w14:textId="17B5D5D5" w:rsidR="00E23F51" w:rsidRDefault="00E23F51" w:rsidP="00D8599F">
            <w:pPr>
              <w:spacing w:line="276" w:lineRule="auto"/>
              <w:jc w:val="both"/>
              <w:rPr>
                <w:rFonts w:ascii="Helvetica" w:hAnsi="Helvetica"/>
                <w:lang w:val="en-US"/>
              </w:rPr>
            </w:pPr>
            <w:r>
              <w:rPr>
                <w:rFonts w:ascii="Helvetica" w:hAnsi="Helvetica"/>
                <w:lang w:val="en-US"/>
              </w:rPr>
              <w:t>Those where individuals get ‘ordinary work’ to earn money.</w:t>
            </w:r>
          </w:p>
        </w:tc>
      </w:tr>
    </w:tbl>
    <w:p w14:paraId="6850CEF7" w14:textId="77777777" w:rsidR="00D8599F" w:rsidRDefault="00D8599F" w:rsidP="00D8599F">
      <w:pPr>
        <w:spacing w:line="276" w:lineRule="auto"/>
        <w:jc w:val="both"/>
        <w:rPr>
          <w:rFonts w:ascii="Helvetica" w:hAnsi="Helvetica"/>
          <w:lang w:val="en-US"/>
        </w:rPr>
      </w:pPr>
    </w:p>
    <w:p w14:paraId="7F20C5B3" w14:textId="5863BA25" w:rsidR="00D8599F" w:rsidRPr="006E50C6" w:rsidRDefault="00D8599F" w:rsidP="00D8599F">
      <w:pPr>
        <w:spacing w:line="276" w:lineRule="auto"/>
        <w:jc w:val="both"/>
        <w:rPr>
          <w:rFonts w:ascii="Helvetica" w:hAnsi="Helvetica"/>
          <w:lang w:val="en-US"/>
        </w:rPr>
      </w:pPr>
      <w:r>
        <w:rPr>
          <w:rFonts w:ascii="Helvetica" w:hAnsi="Helvetica"/>
          <w:lang w:val="en-US"/>
        </w:rPr>
        <w:t xml:space="preserve">However, the fourth graduate gap year category, as presented in this chapter, is quite different in nature and purpose to those described by Holmlund et al. and also Bradley and Waller (2018). </w:t>
      </w:r>
      <w:r w:rsidR="00E33832">
        <w:rPr>
          <w:rFonts w:ascii="Helvetica" w:hAnsi="Helvetica"/>
          <w:lang w:val="en-US"/>
        </w:rPr>
        <w:t xml:space="preserve">It was </w:t>
      </w:r>
      <w:r>
        <w:rPr>
          <w:rFonts w:ascii="Helvetica" w:hAnsi="Helvetica"/>
          <w:lang w:val="en-US"/>
        </w:rPr>
        <w:t xml:space="preserve">only experienced by the graduates of 2015 (higher fees) and involved taking a graduate gap year in order to </w:t>
      </w:r>
      <w:r w:rsidRPr="00B0503D">
        <w:rPr>
          <w:rFonts w:ascii="Helvetica" w:hAnsi="Helvetica"/>
          <w:lang w:val="en-US"/>
        </w:rPr>
        <w:t>generat</w:t>
      </w:r>
      <w:r>
        <w:rPr>
          <w:rFonts w:ascii="Helvetica" w:hAnsi="Helvetica"/>
          <w:lang w:val="en-US"/>
        </w:rPr>
        <w:t>e</w:t>
      </w:r>
      <w:r w:rsidRPr="00B0503D">
        <w:rPr>
          <w:rFonts w:ascii="Helvetica" w:hAnsi="Helvetica"/>
          <w:lang w:val="en-US"/>
        </w:rPr>
        <w:t xml:space="preserve"> financial capital</w:t>
      </w:r>
      <w:r>
        <w:rPr>
          <w:rFonts w:ascii="Helvetica" w:hAnsi="Helvetica"/>
          <w:lang w:val="en-US"/>
        </w:rPr>
        <w:t xml:space="preserve"> urgently</w:t>
      </w:r>
      <w:r w:rsidR="00E23F51">
        <w:rPr>
          <w:rFonts w:ascii="Helvetica" w:hAnsi="Helvetica"/>
          <w:lang w:val="en-US"/>
        </w:rPr>
        <w:t>, which prompts them to make compromises about the type of work they will pursue after graduation</w:t>
      </w:r>
      <w:r w:rsidRPr="00B0503D">
        <w:rPr>
          <w:rFonts w:ascii="Helvetica" w:hAnsi="Helvetica"/>
          <w:lang w:val="en-US"/>
        </w:rPr>
        <w:t>.</w:t>
      </w:r>
      <w:r>
        <w:rPr>
          <w:rFonts w:ascii="Helvetica" w:hAnsi="Helvetica"/>
          <w:lang w:val="en-US"/>
        </w:rPr>
        <w:t xml:space="preserve"> This may suggest that graduate transitions in a climate of higher university fees and student debt are being marked by both austerity and precarity.</w:t>
      </w:r>
      <w:r w:rsidR="00E33832">
        <w:rPr>
          <w:rFonts w:ascii="Helvetica" w:hAnsi="Helvetica"/>
          <w:lang w:val="en-US"/>
        </w:rPr>
        <w:t xml:space="preserve"> It was notable that</w:t>
      </w:r>
      <w:r w:rsidR="00E33832" w:rsidRPr="00E33832">
        <w:rPr>
          <w:rFonts w:ascii="Helvetica" w:hAnsi="Helvetica"/>
          <w:lang w:val="en-US"/>
        </w:rPr>
        <w:t xml:space="preserve"> </w:t>
      </w:r>
      <w:r w:rsidR="00E33832">
        <w:rPr>
          <w:rFonts w:ascii="Helvetica" w:hAnsi="Helvetica"/>
          <w:lang w:val="en-US"/>
        </w:rPr>
        <w:t xml:space="preserve">students from non-WP backgrounds at the RG institution did not experience this final category. Thus </w:t>
      </w:r>
      <w:r w:rsidR="00AC1EF3">
        <w:rPr>
          <w:rFonts w:ascii="Helvetica" w:hAnsi="Helvetica"/>
          <w:lang w:val="en-US"/>
        </w:rPr>
        <w:t xml:space="preserve">the </w:t>
      </w:r>
      <w:r w:rsidR="00E33832">
        <w:rPr>
          <w:rFonts w:ascii="Helvetica" w:hAnsi="Helvetica"/>
          <w:lang w:val="en-US"/>
        </w:rPr>
        <w:t>feeling of financial stress w</w:t>
      </w:r>
      <w:r w:rsidR="00AC1EF3">
        <w:rPr>
          <w:rFonts w:ascii="Helvetica" w:hAnsi="Helvetica"/>
          <w:lang w:val="en-US"/>
        </w:rPr>
        <w:t xml:space="preserve">as only an issue for students from WP backgrounds and for some </w:t>
      </w:r>
      <w:r w:rsidR="001F127F">
        <w:rPr>
          <w:rFonts w:ascii="Helvetica" w:hAnsi="Helvetica"/>
          <w:lang w:val="en-US"/>
        </w:rPr>
        <w:t xml:space="preserve">of </w:t>
      </w:r>
      <w:r w:rsidR="00AC1EF3">
        <w:rPr>
          <w:rFonts w:ascii="Helvetica" w:hAnsi="Helvetica"/>
          <w:lang w:val="en-US"/>
        </w:rPr>
        <w:t>those at the Post-1992 institution from non-WP</w:t>
      </w:r>
      <w:r w:rsidR="00E33832">
        <w:rPr>
          <w:rFonts w:ascii="Helvetica" w:hAnsi="Helvetica"/>
          <w:lang w:val="en-US"/>
        </w:rPr>
        <w:t xml:space="preserve"> </w:t>
      </w:r>
      <w:r w:rsidR="00AC1EF3">
        <w:rPr>
          <w:rFonts w:ascii="Helvetica" w:hAnsi="Helvetica"/>
          <w:lang w:val="en-US"/>
        </w:rPr>
        <w:t xml:space="preserve">backgrounds, perhaps speaking to the anxieties they felt concerning the lower institutional status of their university.  </w:t>
      </w:r>
    </w:p>
    <w:p w14:paraId="490325F7" w14:textId="77777777" w:rsidR="00D8599F" w:rsidRDefault="00D8599F" w:rsidP="00C815D6">
      <w:pPr>
        <w:spacing w:line="276" w:lineRule="auto"/>
        <w:jc w:val="both"/>
        <w:rPr>
          <w:rFonts w:ascii="Helvetica" w:hAnsi="Helvetica"/>
          <w:lang w:val="en-US"/>
        </w:rPr>
      </w:pPr>
    </w:p>
    <w:p w14:paraId="45820BAF" w14:textId="5C61B9C7" w:rsidR="00C815D6" w:rsidRPr="00BB6FA3" w:rsidRDefault="00C815D6" w:rsidP="00C815D6">
      <w:pPr>
        <w:spacing w:line="276" w:lineRule="auto"/>
        <w:jc w:val="both"/>
        <w:rPr>
          <w:rFonts w:ascii="Helvetica" w:hAnsi="Helvetica"/>
          <w:lang w:val="en-US"/>
        </w:rPr>
      </w:pPr>
      <w:r>
        <w:rPr>
          <w:rFonts w:ascii="Helvetica" w:hAnsi="Helvetica"/>
          <w:lang w:val="en-US"/>
        </w:rPr>
        <w:t xml:space="preserve">As with pre-university </w:t>
      </w:r>
      <w:r w:rsidRPr="00B0503D">
        <w:rPr>
          <w:rFonts w:ascii="Helvetica" w:hAnsi="Helvetica"/>
          <w:lang w:val="en-US"/>
        </w:rPr>
        <w:t>gap year</w:t>
      </w:r>
      <w:r>
        <w:rPr>
          <w:rFonts w:ascii="Helvetica" w:hAnsi="Helvetica"/>
          <w:lang w:val="en-US"/>
        </w:rPr>
        <w:t>s, this chapter demonstrates that the graduate gap year</w:t>
      </w:r>
      <w:r w:rsidRPr="00B0503D">
        <w:rPr>
          <w:rFonts w:ascii="Helvetica" w:hAnsi="Helvetica"/>
          <w:lang w:val="en-US"/>
        </w:rPr>
        <w:t xml:space="preserve"> is not a homogeneous experience </w:t>
      </w:r>
      <w:r>
        <w:rPr>
          <w:rFonts w:ascii="Helvetica" w:hAnsi="Helvetica"/>
          <w:lang w:val="en-US"/>
        </w:rPr>
        <w:t xml:space="preserve">for young people </w:t>
      </w:r>
      <w:r w:rsidRPr="00B0503D">
        <w:rPr>
          <w:rFonts w:ascii="Helvetica" w:hAnsi="Helvetica"/>
          <w:lang w:val="en-US"/>
        </w:rPr>
        <w:t xml:space="preserve">and </w:t>
      </w:r>
      <w:r>
        <w:rPr>
          <w:rFonts w:ascii="Helvetica" w:hAnsi="Helvetica"/>
          <w:lang w:val="en-US"/>
        </w:rPr>
        <w:t xml:space="preserve">that </w:t>
      </w:r>
      <w:r w:rsidR="00850D64">
        <w:rPr>
          <w:rFonts w:ascii="Helvetica" w:hAnsi="Helvetica"/>
          <w:lang w:val="en-US"/>
        </w:rPr>
        <w:t xml:space="preserve">it </w:t>
      </w:r>
      <w:r w:rsidRPr="00B0503D">
        <w:rPr>
          <w:rFonts w:ascii="Helvetica" w:hAnsi="Helvetica"/>
          <w:lang w:val="en-US"/>
        </w:rPr>
        <w:t>is</w:t>
      </w:r>
      <w:r>
        <w:rPr>
          <w:rFonts w:ascii="Helvetica" w:hAnsi="Helvetica"/>
          <w:lang w:val="en-US"/>
        </w:rPr>
        <w:t xml:space="preserve"> also</w:t>
      </w:r>
      <w:r w:rsidRPr="00B0503D">
        <w:rPr>
          <w:rFonts w:ascii="Helvetica" w:hAnsi="Helvetica"/>
          <w:lang w:val="en-US"/>
        </w:rPr>
        <w:t xml:space="preserve"> likely to be a classed experience</w:t>
      </w:r>
      <w:r>
        <w:rPr>
          <w:rFonts w:ascii="Helvetica" w:hAnsi="Helvetica"/>
          <w:lang w:val="en-US"/>
        </w:rPr>
        <w:t xml:space="preserve">. The issues raised by many of the graduate gap year takers in our 2015 sample appear compounded and more financially motivated than for those graduating in 2014. It is plausible that </w:t>
      </w:r>
      <w:r w:rsidR="00D8599F">
        <w:rPr>
          <w:rFonts w:ascii="Helvetica" w:hAnsi="Helvetica"/>
          <w:lang w:val="en-US"/>
        </w:rPr>
        <w:t>this may be</w:t>
      </w:r>
      <w:r>
        <w:rPr>
          <w:rFonts w:ascii="Helvetica" w:hAnsi="Helvetica"/>
          <w:lang w:val="en-US"/>
        </w:rPr>
        <w:t xml:space="preserve"> </w:t>
      </w:r>
      <w:r w:rsidR="00D8599F">
        <w:rPr>
          <w:rFonts w:ascii="Helvetica" w:hAnsi="Helvetica"/>
          <w:lang w:val="en-US"/>
        </w:rPr>
        <w:t>a</w:t>
      </w:r>
      <w:r>
        <w:rPr>
          <w:rFonts w:ascii="Helvetica" w:hAnsi="Helvetica"/>
          <w:lang w:val="en-US"/>
        </w:rPr>
        <w:t xml:space="preserve">n impact of </w:t>
      </w:r>
      <w:r w:rsidR="00D8599F">
        <w:rPr>
          <w:rFonts w:ascii="Helvetica" w:hAnsi="Helvetica"/>
          <w:lang w:val="en-US"/>
        </w:rPr>
        <w:t>higher education</w:t>
      </w:r>
      <w:r>
        <w:rPr>
          <w:rFonts w:ascii="Helvetica" w:hAnsi="Helvetica"/>
          <w:lang w:val="en-US"/>
        </w:rPr>
        <w:t xml:space="preserve"> finance reform</w:t>
      </w:r>
      <w:r w:rsidR="00D8599F">
        <w:rPr>
          <w:rFonts w:ascii="Helvetica" w:hAnsi="Helvetica"/>
          <w:lang w:val="en-US"/>
        </w:rPr>
        <w:t xml:space="preserve"> in England.</w:t>
      </w:r>
    </w:p>
    <w:p w14:paraId="1A8884B1" w14:textId="4AE19B85" w:rsidR="00C815D6" w:rsidRDefault="00C815D6" w:rsidP="00C815D6">
      <w:pPr>
        <w:spacing w:line="276" w:lineRule="auto"/>
        <w:jc w:val="both"/>
        <w:rPr>
          <w:rFonts w:ascii="Helvetica" w:hAnsi="Helvetica"/>
          <w:lang w:val="en-US"/>
        </w:rPr>
      </w:pPr>
    </w:p>
    <w:p w14:paraId="16BD8B14" w14:textId="1386C413" w:rsidR="00D8599F" w:rsidRDefault="00D8599F" w:rsidP="00D8599F">
      <w:pPr>
        <w:spacing w:line="276" w:lineRule="auto"/>
        <w:jc w:val="both"/>
        <w:rPr>
          <w:rFonts w:ascii="Helvetica" w:hAnsi="Helvetica"/>
          <w:lang w:val="en-US"/>
        </w:rPr>
      </w:pPr>
      <w:r>
        <w:rPr>
          <w:rFonts w:ascii="Helvetica" w:hAnsi="Helvetica"/>
          <w:lang w:val="en-US"/>
        </w:rPr>
        <w:t xml:space="preserve">As noted earlier, Bradley and Waller (2018) </w:t>
      </w:r>
      <w:r w:rsidR="00A1693A">
        <w:rPr>
          <w:rFonts w:ascii="Helvetica" w:hAnsi="Helvetica"/>
          <w:lang w:val="en-US"/>
        </w:rPr>
        <w:t>have</w:t>
      </w:r>
      <w:r>
        <w:rPr>
          <w:rFonts w:ascii="Helvetica" w:hAnsi="Helvetica"/>
          <w:lang w:val="en-US"/>
        </w:rPr>
        <w:t xml:space="preserve"> conduct</w:t>
      </w:r>
      <w:r w:rsidR="00A1693A">
        <w:rPr>
          <w:rFonts w:ascii="Helvetica" w:hAnsi="Helvetica"/>
          <w:lang w:val="en-US"/>
        </w:rPr>
        <w:t>ed</w:t>
      </w:r>
      <w:r>
        <w:rPr>
          <w:rFonts w:ascii="Helvetica" w:hAnsi="Helvetica"/>
          <w:lang w:val="en-US"/>
        </w:rPr>
        <w:t xml:space="preserve"> complementary work in this area by investigating graduate transitions to work</w:t>
      </w:r>
      <w:r w:rsidR="009F6E50">
        <w:rPr>
          <w:rFonts w:ascii="Helvetica" w:hAnsi="Helvetica"/>
          <w:lang w:val="en-US"/>
        </w:rPr>
        <w:t xml:space="preserve"> in a climate of lower university fees and student debt</w:t>
      </w:r>
      <w:r>
        <w:rPr>
          <w:rFonts w:ascii="Helvetica" w:hAnsi="Helvetica"/>
          <w:lang w:val="en-US"/>
        </w:rPr>
        <w:t xml:space="preserve">. They found that some of their graduate research participants were deferring their career straight after graduation (taking a break from education and competitive employment) and some were ‘drifting’ having left university (working out what to do with their lives). In particular, they highlight how those found to be ‘drifting’ – because of a lack of insider knowledge of the professional world and its cultural and social parameters - were more likely to be working class women. </w:t>
      </w:r>
      <w:r w:rsidR="009F6E50">
        <w:rPr>
          <w:rFonts w:ascii="Helvetica" w:hAnsi="Helvetica"/>
          <w:lang w:val="en-US"/>
        </w:rPr>
        <w:t>In contrast o</w:t>
      </w:r>
      <w:r>
        <w:rPr>
          <w:rFonts w:ascii="Helvetica" w:hAnsi="Helvetica"/>
          <w:lang w:val="en-US"/>
        </w:rPr>
        <w:t xml:space="preserve">ur study </w:t>
      </w:r>
      <w:r w:rsidR="009F6E50">
        <w:rPr>
          <w:rFonts w:ascii="Helvetica" w:hAnsi="Helvetica"/>
          <w:lang w:val="en-US"/>
        </w:rPr>
        <w:t xml:space="preserve">with students across two HE finance systems </w:t>
      </w:r>
      <w:r w:rsidR="00A1693A">
        <w:rPr>
          <w:rFonts w:ascii="Helvetica" w:hAnsi="Helvetica"/>
          <w:lang w:val="en-US"/>
        </w:rPr>
        <w:t>found that both male and female graduates</w:t>
      </w:r>
      <w:r w:rsidR="009F6E50">
        <w:rPr>
          <w:rFonts w:ascii="Helvetica" w:hAnsi="Helvetica"/>
          <w:lang w:val="en-US"/>
        </w:rPr>
        <w:t xml:space="preserve"> from widening participation</w:t>
      </w:r>
      <w:r w:rsidR="00273392">
        <w:rPr>
          <w:rFonts w:ascii="Helvetica" w:hAnsi="Helvetica"/>
          <w:lang w:val="en-US"/>
        </w:rPr>
        <w:t xml:space="preserve"> (RG &amp; Post-1992)</w:t>
      </w:r>
      <w:r w:rsidR="009F6E50">
        <w:rPr>
          <w:rFonts w:ascii="Helvetica" w:hAnsi="Helvetica"/>
          <w:lang w:val="en-US"/>
        </w:rPr>
        <w:t xml:space="preserve"> </w:t>
      </w:r>
      <w:r w:rsidR="009F6E50">
        <w:rPr>
          <w:rFonts w:ascii="Helvetica" w:hAnsi="Helvetica"/>
          <w:i/>
          <w:lang w:val="en-US"/>
        </w:rPr>
        <w:t xml:space="preserve">and </w:t>
      </w:r>
      <w:r w:rsidR="009F6E50">
        <w:rPr>
          <w:rFonts w:ascii="Helvetica" w:hAnsi="Helvetica"/>
          <w:lang w:val="en-US"/>
        </w:rPr>
        <w:t>non-widening participation backgrounds</w:t>
      </w:r>
      <w:r w:rsidR="00A1693A">
        <w:rPr>
          <w:rFonts w:ascii="Helvetica" w:hAnsi="Helvetica"/>
          <w:lang w:val="en-US"/>
        </w:rPr>
        <w:t xml:space="preserve"> </w:t>
      </w:r>
      <w:r w:rsidR="00273392">
        <w:rPr>
          <w:rFonts w:ascii="Helvetica" w:hAnsi="Helvetica"/>
          <w:lang w:val="en-US"/>
        </w:rPr>
        <w:t xml:space="preserve">(Post-1992 only) </w:t>
      </w:r>
      <w:r w:rsidR="009F6E50">
        <w:rPr>
          <w:rFonts w:ascii="Helvetica" w:hAnsi="Helvetica"/>
          <w:lang w:val="en-US"/>
        </w:rPr>
        <w:t xml:space="preserve">were </w:t>
      </w:r>
      <w:r w:rsidR="00B44B3B">
        <w:rPr>
          <w:rFonts w:ascii="Helvetica" w:hAnsi="Helvetica"/>
          <w:lang w:val="en-US"/>
        </w:rPr>
        <w:t>sharing narratives of postponement in relation to transitions to the graduate labour market.</w:t>
      </w:r>
    </w:p>
    <w:p w14:paraId="7EF3A6CE" w14:textId="77777777" w:rsidR="00D8599F" w:rsidRDefault="00D8599F" w:rsidP="00D8599F">
      <w:pPr>
        <w:spacing w:line="276" w:lineRule="auto"/>
        <w:jc w:val="both"/>
        <w:rPr>
          <w:rFonts w:ascii="Helvetica" w:hAnsi="Helvetica"/>
          <w:lang w:val="en-US"/>
        </w:rPr>
      </w:pPr>
    </w:p>
    <w:p w14:paraId="7FF2A2C9" w14:textId="2A654988" w:rsidR="00961843" w:rsidRPr="003B3E7B" w:rsidRDefault="008332AD" w:rsidP="003B3E7B">
      <w:pPr>
        <w:spacing w:line="276" w:lineRule="auto"/>
        <w:jc w:val="both"/>
        <w:rPr>
          <w:rFonts w:ascii="Helvetica" w:hAnsi="Helvetica"/>
          <w:lang w:val="en-US"/>
        </w:rPr>
      </w:pPr>
      <w:r>
        <w:rPr>
          <w:rFonts w:ascii="Helvetica" w:hAnsi="Helvetica"/>
          <w:lang w:val="en-US"/>
        </w:rPr>
        <w:t xml:space="preserve">However, the fine-grained qualitative data analysis further suggested that </w:t>
      </w:r>
      <w:r w:rsidRPr="00E075FB">
        <w:rPr>
          <w:rFonts w:ascii="Helvetica" w:hAnsi="Helvetica"/>
          <w:lang w:val="en-US"/>
        </w:rPr>
        <w:t xml:space="preserve">the </w:t>
      </w:r>
      <w:r>
        <w:rPr>
          <w:rFonts w:ascii="Helvetica" w:hAnsi="Helvetica"/>
          <w:lang w:val="en-US"/>
        </w:rPr>
        <w:t xml:space="preserve">emergent </w:t>
      </w:r>
      <w:r w:rsidR="001F0C55">
        <w:rPr>
          <w:rFonts w:ascii="Helvetica" w:hAnsi="Helvetica"/>
          <w:lang w:val="en-US"/>
        </w:rPr>
        <w:t>concept</w:t>
      </w:r>
      <w:r w:rsidR="001F0C55" w:rsidRPr="00E075FB">
        <w:rPr>
          <w:rFonts w:ascii="Helvetica" w:hAnsi="Helvetica"/>
          <w:lang w:val="en-US"/>
        </w:rPr>
        <w:t xml:space="preserve"> </w:t>
      </w:r>
      <w:r w:rsidRPr="00E075FB">
        <w:rPr>
          <w:rFonts w:ascii="Helvetica" w:hAnsi="Helvetica"/>
          <w:lang w:val="en-US"/>
        </w:rPr>
        <w:t xml:space="preserve">of </w:t>
      </w:r>
      <w:r>
        <w:rPr>
          <w:rFonts w:ascii="Helvetica" w:hAnsi="Helvetica"/>
          <w:lang w:val="en-US"/>
        </w:rPr>
        <w:t>the graduate gap year</w:t>
      </w:r>
      <w:r w:rsidRPr="00E075FB">
        <w:rPr>
          <w:rFonts w:ascii="Helvetica" w:hAnsi="Helvetica"/>
          <w:lang w:val="en-US"/>
        </w:rPr>
        <w:t xml:space="preserve"> </w:t>
      </w:r>
      <w:r>
        <w:rPr>
          <w:rFonts w:ascii="Helvetica" w:hAnsi="Helvetica"/>
          <w:lang w:val="en-US"/>
        </w:rPr>
        <w:t>might</w:t>
      </w:r>
      <w:r w:rsidRPr="00E075FB">
        <w:rPr>
          <w:rFonts w:ascii="Helvetica" w:hAnsi="Helvetica"/>
          <w:lang w:val="en-US"/>
        </w:rPr>
        <w:t xml:space="preserve"> extend, rather than lessen, social advantage</w:t>
      </w:r>
      <w:r>
        <w:rPr>
          <w:rFonts w:ascii="Helvetica" w:hAnsi="Helvetica"/>
          <w:lang w:val="en-US"/>
        </w:rPr>
        <w:t xml:space="preserve"> for some. For example, Peter, David and Olly all look to be benefitting </w:t>
      </w:r>
      <w:r w:rsidR="006C2B52">
        <w:rPr>
          <w:rFonts w:ascii="Helvetica" w:hAnsi="Helvetica"/>
          <w:lang w:val="en-US"/>
        </w:rPr>
        <w:t xml:space="preserve">from having </w:t>
      </w:r>
      <w:r w:rsidR="00273392">
        <w:rPr>
          <w:rFonts w:ascii="Helvetica" w:hAnsi="Helvetica"/>
          <w:lang w:val="en-US"/>
        </w:rPr>
        <w:t xml:space="preserve">pro-actively </w:t>
      </w:r>
      <w:r w:rsidR="006C2B52">
        <w:rPr>
          <w:rFonts w:ascii="Helvetica" w:hAnsi="Helvetica"/>
          <w:lang w:val="en-US"/>
        </w:rPr>
        <w:t xml:space="preserve">secured graduate gap years that will involve them undertaking </w:t>
      </w:r>
      <w:r w:rsidR="001F0C55">
        <w:rPr>
          <w:rFonts w:ascii="Helvetica" w:hAnsi="Helvetica"/>
          <w:lang w:val="en-US"/>
        </w:rPr>
        <w:t xml:space="preserve">graduate </w:t>
      </w:r>
      <w:r w:rsidR="006C2B52">
        <w:rPr>
          <w:rFonts w:ascii="Helvetica" w:hAnsi="Helvetica"/>
          <w:lang w:val="en-US"/>
        </w:rPr>
        <w:t>work experience in the same field as their degree. But this opportunity is only possible because they can draw on the financial support of their families. For others like Annie, Vazir and Veronika their narratives of postponement come across as riskier, harder and less certain to lead to a graduate job in the medium term</w:t>
      </w:r>
      <w:r>
        <w:rPr>
          <w:rFonts w:ascii="Helvetica" w:hAnsi="Helvetica"/>
          <w:lang w:val="en-US"/>
        </w:rPr>
        <w:t xml:space="preserve">. </w:t>
      </w:r>
      <w:r w:rsidR="006C2B52">
        <w:rPr>
          <w:rFonts w:ascii="Helvetica" w:hAnsi="Helvetica"/>
          <w:lang w:val="en-US"/>
        </w:rPr>
        <w:t xml:space="preserve">There is a concern that such </w:t>
      </w:r>
      <w:r w:rsidRPr="007E096E">
        <w:rPr>
          <w:rFonts w:ascii="Helvetica" w:hAnsi="Helvetica"/>
          <w:lang w:val="en-US"/>
        </w:rPr>
        <w:t xml:space="preserve">decisions and events </w:t>
      </w:r>
      <w:r w:rsidR="006C2B52">
        <w:rPr>
          <w:rFonts w:ascii="Helvetica" w:hAnsi="Helvetica"/>
          <w:lang w:val="en-US"/>
        </w:rPr>
        <w:t>might</w:t>
      </w:r>
      <w:r w:rsidRPr="007E096E">
        <w:rPr>
          <w:rFonts w:ascii="Helvetica" w:hAnsi="Helvetica"/>
          <w:lang w:val="en-US"/>
        </w:rPr>
        <w:t xml:space="preserve"> have long-lasting</w:t>
      </w:r>
      <w:r w:rsidR="006C2B52">
        <w:rPr>
          <w:rFonts w:ascii="Helvetica" w:hAnsi="Helvetica"/>
          <w:lang w:val="en-US"/>
        </w:rPr>
        <w:t>, disadvantaging</w:t>
      </w:r>
      <w:r w:rsidRPr="007E096E">
        <w:rPr>
          <w:rFonts w:ascii="Helvetica" w:hAnsi="Helvetica"/>
          <w:lang w:val="en-US"/>
        </w:rPr>
        <w:t xml:space="preserve"> effects for </w:t>
      </w:r>
      <w:r w:rsidR="006C2B52">
        <w:rPr>
          <w:rFonts w:ascii="Helvetica" w:hAnsi="Helvetica"/>
          <w:lang w:val="en-US"/>
        </w:rPr>
        <w:t xml:space="preserve">the </w:t>
      </w:r>
      <w:r w:rsidRPr="007E096E">
        <w:rPr>
          <w:rFonts w:ascii="Helvetica" w:hAnsi="Helvetica"/>
          <w:lang w:val="en-US"/>
        </w:rPr>
        <w:t>individual development</w:t>
      </w:r>
      <w:r w:rsidR="006C2B52">
        <w:rPr>
          <w:rFonts w:ascii="Helvetica" w:hAnsi="Helvetica"/>
          <w:lang w:val="en-US"/>
        </w:rPr>
        <w:t xml:space="preserve"> and progress of some graduates</w:t>
      </w:r>
      <w:r>
        <w:rPr>
          <w:rFonts w:ascii="Helvetica" w:hAnsi="Helvetica"/>
          <w:lang w:val="en-US"/>
        </w:rPr>
        <w:t>.</w:t>
      </w:r>
      <w:r w:rsidR="00E66CC3">
        <w:rPr>
          <w:rFonts w:ascii="Helvetica" w:hAnsi="Helvetica"/>
          <w:lang w:val="en-US"/>
        </w:rPr>
        <w:t xml:space="preserve"> Furthermore, data from our sample suggested that some students were preparing themselves to have not just one year out after graduation, with some expecting 2-3 years of postponement and uncertainty (e.g. Mark, </w:t>
      </w:r>
      <w:r w:rsidR="000738CE">
        <w:rPr>
          <w:rFonts w:ascii="Helvetica" w:hAnsi="Helvetica"/>
          <w:lang w:val="en-US"/>
        </w:rPr>
        <w:t>Shaila, Claudia and Joanne)</w:t>
      </w:r>
      <w:r w:rsidR="00E66CC3">
        <w:rPr>
          <w:rFonts w:ascii="Helvetica" w:hAnsi="Helvetica"/>
          <w:lang w:val="en-US"/>
        </w:rPr>
        <w:t>.</w:t>
      </w:r>
      <w:r w:rsidR="001F0C55">
        <w:rPr>
          <w:rFonts w:ascii="Helvetica" w:hAnsi="Helvetica"/>
          <w:lang w:val="en-US"/>
        </w:rPr>
        <w:t xml:space="preserve"> Elias </w:t>
      </w:r>
      <w:r w:rsidR="009D5C46" w:rsidRPr="009D5C46">
        <w:rPr>
          <w:rFonts w:ascii="Helvetica" w:hAnsi="Helvetica"/>
          <w:i/>
          <w:lang w:val="en-US"/>
        </w:rPr>
        <w:t>et al.</w:t>
      </w:r>
      <w:r w:rsidR="001F0C55">
        <w:rPr>
          <w:rFonts w:ascii="Helvetica" w:hAnsi="Helvetica"/>
          <w:lang w:val="en-US"/>
        </w:rPr>
        <w:t xml:space="preserve"> (1999) found that </w:t>
      </w:r>
      <w:r w:rsidR="00E46B2A">
        <w:rPr>
          <w:rFonts w:ascii="Helvetica" w:hAnsi="Helvetica"/>
          <w:lang w:val="en-US"/>
        </w:rPr>
        <w:t xml:space="preserve">the </w:t>
      </w:r>
      <w:r w:rsidR="001F0C55">
        <w:rPr>
          <w:rFonts w:ascii="Helvetica" w:hAnsi="Helvetica"/>
          <w:lang w:val="en-US"/>
        </w:rPr>
        <w:t xml:space="preserve">graduates </w:t>
      </w:r>
      <w:r w:rsidR="00E46B2A">
        <w:rPr>
          <w:rFonts w:ascii="Helvetica" w:hAnsi="Helvetica"/>
          <w:lang w:val="en-US"/>
        </w:rPr>
        <w:t xml:space="preserve">of earlier HE systems in England </w:t>
      </w:r>
      <w:r w:rsidR="001F0C55">
        <w:rPr>
          <w:rFonts w:ascii="Helvetica" w:hAnsi="Helvetica"/>
          <w:lang w:val="en-US"/>
        </w:rPr>
        <w:t>t</w:t>
      </w:r>
      <w:r w:rsidR="00E46B2A">
        <w:rPr>
          <w:rFonts w:ascii="Helvetica" w:hAnsi="Helvetica"/>
          <w:lang w:val="en-US"/>
        </w:rPr>
        <w:t>ook</w:t>
      </w:r>
      <w:r w:rsidR="001F0C55">
        <w:rPr>
          <w:rFonts w:ascii="Helvetica" w:hAnsi="Helvetica"/>
          <w:lang w:val="en-US"/>
        </w:rPr>
        <w:t xml:space="preserve"> about three years to settle into a </w:t>
      </w:r>
      <w:r w:rsidR="009D5C46">
        <w:rPr>
          <w:rFonts w:ascii="Helvetica" w:hAnsi="Helvetica"/>
          <w:lang w:val="en-US"/>
        </w:rPr>
        <w:t xml:space="preserve">chosen </w:t>
      </w:r>
      <w:r w:rsidR="002C25EB">
        <w:rPr>
          <w:rFonts w:ascii="Helvetica" w:hAnsi="Helvetica"/>
          <w:lang w:val="en-US"/>
        </w:rPr>
        <w:t xml:space="preserve">graduate </w:t>
      </w:r>
      <w:r w:rsidR="001F0C55">
        <w:rPr>
          <w:rFonts w:ascii="Helvetica" w:hAnsi="Helvetica"/>
          <w:lang w:val="en-US"/>
        </w:rPr>
        <w:t>direction</w:t>
      </w:r>
      <w:r w:rsidR="009D5C46">
        <w:rPr>
          <w:rFonts w:ascii="Helvetica" w:hAnsi="Helvetica"/>
          <w:lang w:val="en-US"/>
        </w:rPr>
        <w:t xml:space="preserve">. </w:t>
      </w:r>
      <w:r w:rsidR="009D5C46" w:rsidRPr="004909C7">
        <w:rPr>
          <w:rFonts w:ascii="Helvetica" w:hAnsi="Helvetica"/>
          <w:lang w:val="en-US"/>
        </w:rPr>
        <w:t>However</w:t>
      </w:r>
      <w:r w:rsidR="00E46B2A">
        <w:rPr>
          <w:rFonts w:ascii="Helvetica" w:hAnsi="Helvetica"/>
          <w:lang w:val="en-US"/>
        </w:rPr>
        <w:t xml:space="preserve">, a concern raised by our study is that some groups of students are extending this time to ‘settle’ </w:t>
      </w:r>
      <w:r w:rsidR="00787988">
        <w:rPr>
          <w:rFonts w:ascii="Helvetica" w:hAnsi="Helvetica"/>
          <w:lang w:val="en-US"/>
        </w:rPr>
        <w:t>by taking a graduate gap year/s.</w:t>
      </w:r>
      <w:r w:rsidR="003B3E7B">
        <w:rPr>
          <w:rFonts w:ascii="Helvetica" w:hAnsi="Helvetica"/>
          <w:lang w:val="en-US"/>
        </w:rPr>
        <w:t xml:space="preserve"> Further </w:t>
      </w:r>
      <w:r w:rsidR="00525837">
        <w:rPr>
          <w:rFonts w:ascii="Helvetica" w:hAnsi="Helvetica"/>
          <w:lang w:val="en-US"/>
        </w:rPr>
        <w:t xml:space="preserve">longitudinal </w:t>
      </w:r>
      <w:r w:rsidR="003B3E7B">
        <w:rPr>
          <w:rFonts w:ascii="Helvetica" w:hAnsi="Helvetica"/>
          <w:lang w:val="en-US"/>
        </w:rPr>
        <w:t xml:space="preserve">research is now needed to investigate whether </w:t>
      </w:r>
      <w:r w:rsidR="00E41EBE">
        <w:rPr>
          <w:rFonts w:ascii="Helvetica" w:hAnsi="Helvetica"/>
          <w:lang w:val="en-US"/>
        </w:rPr>
        <w:t xml:space="preserve">some </w:t>
      </w:r>
      <w:r w:rsidR="00961843" w:rsidRPr="00B0503D">
        <w:rPr>
          <w:rFonts w:ascii="Helvetica" w:hAnsi="Helvetica"/>
          <w:lang w:val="en-US"/>
        </w:rPr>
        <w:t xml:space="preserve">graduates </w:t>
      </w:r>
      <w:r w:rsidR="003B3E7B">
        <w:rPr>
          <w:rFonts w:ascii="Helvetica" w:hAnsi="Helvetica"/>
          <w:lang w:val="en-US"/>
        </w:rPr>
        <w:t xml:space="preserve">end up being </w:t>
      </w:r>
      <w:r w:rsidR="00961843" w:rsidRPr="00B0503D">
        <w:rPr>
          <w:rFonts w:ascii="Helvetica" w:hAnsi="Helvetica"/>
          <w:lang w:val="en-US"/>
        </w:rPr>
        <w:t>disadvantaged tak</w:t>
      </w:r>
      <w:r w:rsidR="003B3E7B">
        <w:rPr>
          <w:rFonts w:ascii="Helvetica" w:hAnsi="Helvetica"/>
          <w:lang w:val="en-US"/>
        </w:rPr>
        <w:t>ing different types of graduate</w:t>
      </w:r>
      <w:r w:rsidR="00961843" w:rsidRPr="00B0503D">
        <w:rPr>
          <w:rFonts w:ascii="Helvetica" w:hAnsi="Helvetica"/>
          <w:lang w:val="en-US"/>
        </w:rPr>
        <w:t xml:space="preserve"> gap year</w:t>
      </w:r>
      <w:r w:rsidR="003B3E7B">
        <w:rPr>
          <w:rFonts w:ascii="Helvetica" w:hAnsi="Helvetica"/>
          <w:lang w:val="en-US"/>
        </w:rPr>
        <w:t xml:space="preserve">. </w:t>
      </w:r>
    </w:p>
    <w:p w14:paraId="3AB464A5" w14:textId="77777777" w:rsidR="00493797" w:rsidRPr="003B3E7B" w:rsidRDefault="00493797" w:rsidP="003B3E7B">
      <w:pPr>
        <w:spacing w:line="276" w:lineRule="auto"/>
        <w:jc w:val="both"/>
        <w:rPr>
          <w:rFonts w:ascii="Helvetica" w:hAnsi="Helvetica"/>
          <w:lang w:val="en-US"/>
        </w:rPr>
      </w:pPr>
    </w:p>
    <w:p w14:paraId="44780BCC" w14:textId="5912531A" w:rsidR="00340550" w:rsidRDefault="00340550" w:rsidP="0073190C">
      <w:pPr>
        <w:spacing w:line="276" w:lineRule="auto"/>
        <w:jc w:val="both"/>
        <w:rPr>
          <w:rFonts w:ascii="Helvetica" w:hAnsi="Helvetica"/>
          <w:lang w:val="en-US"/>
        </w:rPr>
      </w:pPr>
      <w:r>
        <w:rPr>
          <w:rFonts w:ascii="Helvetica" w:hAnsi="Helvetica"/>
          <w:lang w:val="en-US"/>
        </w:rPr>
        <w:t>Atkins and Tummons (2017) argue that policymakers are resistant to the idea that transitions are not ladder-like and unproblematic</w:t>
      </w:r>
      <w:r w:rsidR="00D46BC0">
        <w:rPr>
          <w:rFonts w:ascii="Helvetica" w:hAnsi="Helvetica"/>
          <w:lang w:val="en-US"/>
        </w:rPr>
        <w:t>, but the findings presented in this chapter about different types of graduate gap years add further weight to the argument that not all graduates are experiencing smooth transitions out of university</w:t>
      </w:r>
      <w:r>
        <w:rPr>
          <w:rFonts w:ascii="Helvetica" w:hAnsi="Helvetica"/>
          <w:lang w:val="en-US"/>
        </w:rPr>
        <w:t xml:space="preserve">. </w:t>
      </w:r>
      <w:r w:rsidR="00D46BC0">
        <w:rPr>
          <w:rFonts w:ascii="Helvetica" w:hAnsi="Helvetica"/>
          <w:lang w:val="en-US"/>
        </w:rPr>
        <w:t xml:space="preserve">The likelihood is that some of these transitions characterised by uncertainty and postponement immediately after graduation will lead to longer-term </w:t>
      </w:r>
      <w:r w:rsidR="003B3E7B">
        <w:rPr>
          <w:rFonts w:ascii="Helvetica" w:hAnsi="Helvetica"/>
          <w:lang w:val="en-US"/>
        </w:rPr>
        <w:t>inequality, which</w:t>
      </w:r>
      <w:r w:rsidR="00D46BC0">
        <w:rPr>
          <w:rFonts w:ascii="Helvetica" w:hAnsi="Helvetica"/>
          <w:lang w:val="en-US"/>
        </w:rPr>
        <w:t xml:space="preserve"> </w:t>
      </w:r>
      <w:r w:rsidR="003B3E7B">
        <w:rPr>
          <w:rFonts w:ascii="Helvetica" w:hAnsi="Helvetica"/>
          <w:lang w:val="en-US"/>
        </w:rPr>
        <w:t>threatens to increase</w:t>
      </w:r>
      <w:r w:rsidR="00D46BC0">
        <w:rPr>
          <w:rFonts w:ascii="Helvetica" w:hAnsi="Helvetica"/>
          <w:lang w:val="en-US"/>
        </w:rPr>
        <w:t xml:space="preserve"> social stratification. </w:t>
      </w:r>
      <w:r w:rsidR="003B3E7B">
        <w:rPr>
          <w:rFonts w:ascii="Helvetica" w:hAnsi="Helvetica"/>
          <w:lang w:val="en-US"/>
        </w:rPr>
        <w:t>Universities and policy-makers must be vigilant when it comes to the phenomenon of graduate gap years and consider interventions that could decrease precarity in graduate transition pathways.</w:t>
      </w:r>
    </w:p>
    <w:p w14:paraId="11CE2CA7" w14:textId="77777777" w:rsidR="0073190C" w:rsidRDefault="0073190C" w:rsidP="0073190C">
      <w:pPr>
        <w:spacing w:line="276" w:lineRule="auto"/>
        <w:jc w:val="both"/>
        <w:rPr>
          <w:rFonts w:ascii="Helvetica" w:hAnsi="Helvetica"/>
          <w:lang w:val="en-US"/>
        </w:rPr>
      </w:pPr>
    </w:p>
    <w:p w14:paraId="1D522D4F" w14:textId="77777777" w:rsidR="00B0503D" w:rsidRDefault="00B0503D" w:rsidP="00B0503D">
      <w:pPr>
        <w:spacing w:line="276" w:lineRule="auto"/>
        <w:jc w:val="both"/>
        <w:rPr>
          <w:rFonts w:ascii="Helvetica" w:hAnsi="Helvetica"/>
          <w:lang w:val="en-US"/>
        </w:rPr>
      </w:pPr>
    </w:p>
    <w:p w14:paraId="32C248FE" w14:textId="5AFFBBBF" w:rsidR="003B3E7B" w:rsidRPr="003B3E7B" w:rsidRDefault="003B3E7B" w:rsidP="00B0503D">
      <w:pPr>
        <w:spacing w:line="276" w:lineRule="auto"/>
        <w:jc w:val="both"/>
        <w:rPr>
          <w:rFonts w:ascii="Helvetica" w:hAnsi="Helvetica"/>
          <w:b/>
          <w:lang w:val="en-US"/>
        </w:rPr>
      </w:pPr>
      <w:r w:rsidRPr="003B3E7B">
        <w:rPr>
          <w:rFonts w:ascii="Helvetica" w:hAnsi="Helvetica"/>
          <w:b/>
          <w:lang w:val="en-US"/>
        </w:rPr>
        <w:t xml:space="preserve">WORD COUNT: </w:t>
      </w:r>
      <w:r w:rsidR="00E87826">
        <w:rPr>
          <w:rFonts w:ascii="Helvetica" w:hAnsi="Helvetica"/>
          <w:b/>
          <w:lang w:val="en-US"/>
        </w:rPr>
        <w:t>5349</w:t>
      </w:r>
    </w:p>
    <w:p w14:paraId="627714F5" w14:textId="77777777" w:rsidR="003B3E7B" w:rsidRDefault="003B3E7B" w:rsidP="00B0503D">
      <w:pPr>
        <w:spacing w:line="276" w:lineRule="auto"/>
        <w:jc w:val="both"/>
        <w:rPr>
          <w:rFonts w:ascii="Helvetica" w:hAnsi="Helvetica"/>
          <w:lang w:val="en-US"/>
        </w:rPr>
      </w:pPr>
    </w:p>
    <w:p w14:paraId="74A0FA8D" w14:textId="5EB8DEAB" w:rsidR="00B0503D" w:rsidRPr="00B0503D" w:rsidRDefault="00B0503D" w:rsidP="00B0503D">
      <w:pPr>
        <w:spacing w:line="276" w:lineRule="auto"/>
        <w:jc w:val="both"/>
        <w:rPr>
          <w:rFonts w:ascii="Helvetica" w:hAnsi="Helvetica"/>
          <w:b/>
          <w:lang w:val="en-US"/>
        </w:rPr>
      </w:pPr>
      <w:r w:rsidRPr="00B0503D">
        <w:rPr>
          <w:rFonts w:ascii="Helvetica" w:hAnsi="Helvetica"/>
          <w:b/>
          <w:lang w:val="en-US"/>
        </w:rPr>
        <w:t>References</w:t>
      </w:r>
    </w:p>
    <w:p w14:paraId="325DA86A" w14:textId="38ED6BC1" w:rsidR="00284903" w:rsidRPr="00284903" w:rsidRDefault="00284903" w:rsidP="00095B7A">
      <w:pPr>
        <w:spacing w:line="276" w:lineRule="auto"/>
        <w:ind w:left="720" w:hanging="720"/>
        <w:jc w:val="both"/>
        <w:rPr>
          <w:rFonts w:ascii="Helvetica" w:hAnsi="Helvetica"/>
          <w:lang w:val="en-US"/>
        </w:rPr>
      </w:pPr>
      <w:r>
        <w:rPr>
          <w:rFonts w:ascii="Helvetica" w:hAnsi="Helvetica"/>
          <w:lang w:val="en-US"/>
        </w:rPr>
        <w:t xml:space="preserve">Antonucci, L. (2016) </w:t>
      </w:r>
      <w:r>
        <w:rPr>
          <w:rFonts w:ascii="Helvetica" w:hAnsi="Helvetica"/>
          <w:i/>
          <w:lang w:val="en-US"/>
        </w:rPr>
        <w:t xml:space="preserve">Student lives in crisis: deepening inequality in times of austerity, </w:t>
      </w:r>
      <w:r>
        <w:rPr>
          <w:rFonts w:ascii="Helvetica" w:hAnsi="Helvetica"/>
          <w:lang w:val="en-US"/>
        </w:rPr>
        <w:t>Bristol: Policy Press.</w:t>
      </w:r>
    </w:p>
    <w:p w14:paraId="70DC7CCB" w14:textId="77777777" w:rsidR="00657872" w:rsidRPr="00095B7A" w:rsidRDefault="00657872" w:rsidP="00095B7A">
      <w:pPr>
        <w:spacing w:line="276" w:lineRule="auto"/>
        <w:ind w:left="720" w:hanging="720"/>
        <w:jc w:val="both"/>
        <w:rPr>
          <w:rFonts w:ascii="Helvetica" w:hAnsi="Helvetica"/>
        </w:rPr>
      </w:pPr>
      <w:r w:rsidRPr="00095B7A">
        <w:rPr>
          <w:rFonts w:ascii="Helvetica" w:hAnsi="Helvetica"/>
          <w:lang w:val="en-US"/>
        </w:rPr>
        <w:t xml:space="preserve">Arundel, R. and Ronald, R. (2015) Parental co-residence, shared living and emerging adulthood in Europe: semi-dependent housing across welfare regime and housing system contexts, </w:t>
      </w:r>
      <w:r w:rsidRPr="00095B7A">
        <w:rPr>
          <w:rFonts w:ascii="Helvetica" w:hAnsi="Helvetica"/>
          <w:i/>
          <w:iCs/>
          <w:lang w:val="en-US"/>
        </w:rPr>
        <w:t xml:space="preserve">Journal of Youth Studies, </w:t>
      </w:r>
      <w:r w:rsidRPr="00095B7A">
        <w:rPr>
          <w:rFonts w:ascii="Helvetica" w:hAnsi="Helvetica"/>
          <w:lang w:val="en-US"/>
        </w:rPr>
        <w:t>DOI: 10.1080/13676261.2015.1112884</w:t>
      </w:r>
    </w:p>
    <w:p w14:paraId="26571FC0" w14:textId="3EF3EF62" w:rsidR="00095B7A" w:rsidRPr="00095B7A" w:rsidRDefault="00657872" w:rsidP="00095B7A">
      <w:pPr>
        <w:spacing w:line="276" w:lineRule="auto"/>
        <w:ind w:left="720" w:hanging="720"/>
        <w:jc w:val="both"/>
        <w:rPr>
          <w:rFonts w:ascii="Helvetica" w:hAnsi="Helvetica"/>
        </w:rPr>
      </w:pPr>
      <w:r w:rsidRPr="00095B7A">
        <w:rPr>
          <w:rFonts w:ascii="Helvetica" w:hAnsi="Helvetica"/>
          <w:lang w:val="en-US"/>
        </w:rPr>
        <w:t>Arundel, R. and Lennartz, C. (2015) Returning to the parental home: boomerang moves of younger adults and the welfare regime context, Working Paper, Centre for Urban Studies, University of Amsterdam, pp.1-36.</w:t>
      </w:r>
    </w:p>
    <w:p w14:paraId="608EC36D" w14:textId="0656046E" w:rsidR="004333BB" w:rsidRDefault="004333BB" w:rsidP="00B0503D">
      <w:pPr>
        <w:spacing w:line="276" w:lineRule="auto"/>
        <w:ind w:left="720" w:hanging="720"/>
        <w:jc w:val="both"/>
        <w:rPr>
          <w:rFonts w:ascii="Helvetica" w:hAnsi="Helvetica"/>
          <w:lang w:val="en-US"/>
        </w:rPr>
      </w:pPr>
      <w:r>
        <w:rPr>
          <w:rFonts w:ascii="Helvetica" w:hAnsi="Helvetica"/>
          <w:lang w:val="en-US"/>
        </w:rPr>
        <w:t xml:space="preserve">Atkins, L. and Tummons, J. (2017) Precarious Youth Transitions to the Labour Market: What difference does a degree make? Paper presented at the British Educational Research Association Annual Conference, University of Sussex, Brighton, 5-7 September 2017. </w:t>
      </w:r>
    </w:p>
    <w:p w14:paraId="5149E5F9" w14:textId="77777777" w:rsidR="00B0503D" w:rsidRDefault="00B0503D" w:rsidP="00B0503D">
      <w:pPr>
        <w:spacing w:line="276" w:lineRule="auto"/>
        <w:ind w:left="720" w:hanging="720"/>
        <w:jc w:val="both"/>
        <w:rPr>
          <w:rFonts w:ascii="Helvetica" w:hAnsi="Helvetica"/>
          <w:lang w:val="en-US"/>
        </w:rPr>
      </w:pPr>
      <w:r w:rsidRPr="00B0503D">
        <w:rPr>
          <w:rFonts w:ascii="Helvetica" w:hAnsi="Helvetica"/>
          <w:lang w:val="en-US"/>
        </w:rPr>
        <w:t xml:space="preserve">Birch, E. and Miller, P. (2007) The Characteristics of ‘Gap-Year’ Students and Their Tertiary Academic Outcomes, </w:t>
      </w:r>
      <w:r w:rsidRPr="00B0503D">
        <w:rPr>
          <w:rFonts w:ascii="Helvetica" w:hAnsi="Helvetica"/>
          <w:i/>
          <w:iCs/>
          <w:lang w:val="en-US"/>
        </w:rPr>
        <w:t xml:space="preserve">The Economic Record, </w:t>
      </w:r>
      <w:r w:rsidRPr="00B0503D">
        <w:rPr>
          <w:rFonts w:ascii="Helvetica" w:hAnsi="Helvetica"/>
          <w:lang w:val="en-US"/>
        </w:rPr>
        <w:t>83 (262) pp.329-344.</w:t>
      </w:r>
    </w:p>
    <w:p w14:paraId="510185F8" w14:textId="7F0FD457" w:rsidR="00C47283" w:rsidRPr="00B0503D" w:rsidRDefault="00C47283" w:rsidP="00C47283">
      <w:pPr>
        <w:spacing w:line="276" w:lineRule="auto"/>
        <w:ind w:left="720" w:hanging="720"/>
        <w:jc w:val="both"/>
        <w:rPr>
          <w:rFonts w:ascii="Helvetica" w:hAnsi="Helvetica"/>
        </w:rPr>
      </w:pPr>
      <w:r>
        <w:rPr>
          <w:rFonts w:ascii="Helvetica" w:hAnsi="Helvetica"/>
          <w:lang w:val="en-US"/>
        </w:rPr>
        <w:t xml:space="preserve">Bradley, H. and Waller, R. (2018) Gendered and classed graduate transitions to work: how the unequal playing field is constructed, maintained and experienced, in R. Waller, N. Ingram and M.R.M. Ward (2018) (Eds) </w:t>
      </w:r>
      <w:r>
        <w:rPr>
          <w:rFonts w:ascii="Helvetica" w:hAnsi="Helvetica"/>
          <w:i/>
          <w:lang w:val="en-US"/>
        </w:rPr>
        <w:t xml:space="preserve">Higher Education and Social Inequalities: University Admissions, Experiences and Outcomes, </w:t>
      </w:r>
      <w:r>
        <w:rPr>
          <w:rFonts w:ascii="Helvetica" w:hAnsi="Helvetica"/>
          <w:lang w:val="en-US"/>
        </w:rPr>
        <w:t xml:space="preserve">Abingdon, Oxon: Routledge. </w:t>
      </w:r>
    </w:p>
    <w:p w14:paraId="1B085E72" w14:textId="77777777" w:rsidR="00B0503D" w:rsidRDefault="00B0503D" w:rsidP="00B0503D">
      <w:pPr>
        <w:spacing w:line="276" w:lineRule="auto"/>
        <w:ind w:left="720" w:hanging="720"/>
        <w:jc w:val="both"/>
        <w:rPr>
          <w:rFonts w:ascii="Helvetica" w:hAnsi="Helvetica"/>
          <w:lang w:val="en-US"/>
        </w:rPr>
      </w:pPr>
      <w:r w:rsidRPr="00B0503D">
        <w:rPr>
          <w:rFonts w:ascii="Helvetica" w:hAnsi="Helvetica"/>
          <w:lang w:val="en-US"/>
        </w:rPr>
        <w:t xml:space="preserve">Crawford, C. and Cribb, J. (2012) </w:t>
      </w:r>
      <w:r w:rsidRPr="00B0503D">
        <w:rPr>
          <w:rFonts w:ascii="Helvetica" w:hAnsi="Helvetica"/>
          <w:i/>
          <w:iCs/>
          <w:lang w:val="en-US"/>
        </w:rPr>
        <w:t xml:space="preserve">Gap year takers: uptake, trends and long term outcomes, </w:t>
      </w:r>
      <w:r w:rsidRPr="00B0503D">
        <w:rPr>
          <w:rFonts w:ascii="Helvetica" w:hAnsi="Helvetica"/>
          <w:lang w:val="en-US"/>
        </w:rPr>
        <w:t>London: Department for Education, Research Report DFE-RR252.</w:t>
      </w:r>
    </w:p>
    <w:p w14:paraId="6507ACB0" w14:textId="6C5C3010" w:rsidR="009D5C46" w:rsidRPr="009D5C46" w:rsidRDefault="009D5C46" w:rsidP="00B0503D">
      <w:pPr>
        <w:spacing w:line="276" w:lineRule="auto"/>
        <w:ind w:left="720" w:hanging="720"/>
        <w:jc w:val="both"/>
        <w:rPr>
          <w:rFonts w:ascii="Helvetica" w:hAnsi="Helvetica"/>
        </w:rPr>
      </w:pPr>
      <w:r>
        <w:rPr>
          <w:rFonts w:ascii="Helvetica" w:hAnsi="Helvetica"/>
          <w:lang w:val="en-US"/>
        </w:rPr>
        <w:t xml:space="preserve">Elias, P., McKnight, A., Pitcher, J., Purcell, K. and Simm, C. (1999) </w:t>
      </w:r>
      <w:r>
        <w:rPr>
          <w:rFonts w:ascii="Helvetica" w:hAnsi="Helvetica"/>
          <w:i/>
          <w:lang w:val="en-US"/>
        </w:rPr>
        <w:t xml:space="preserve">Moving On: graduate careers three years after graduation. </w:t>
      </w:r>
      <w:r>
        <w:rPr>
          <w:rFonts w:ascii="Helvetica" w:hAnsi="Helvetica"/>
          <w:lang w:val="en-US"/>
        </w:rPr>
        <w:t>Manchester: HECSU.</w:t>
      </w:r>
    </w:p>
    <w:p w14:paraId="149732EE" w14:textId="77777777" w:rsidR="0027778E" w:rsidRDefault="00B0503D" w:rsidP="0027778E">
      <w:pPr>
        <w:spacing w:line="276" w:lineRule="auto"/>
        <w:ind w:left="720" w:hanging="720"/>
        <w:jc w:val="both"/>
        <w:rPr>
          <w:rFonts w:ascii="Helvetica" w:hAnsi="Helvetica"/>
          <w:lang w:val="en-US"/>
        </w:rPr>
      </w:pPr>
      <w:r w:rsidRPr="00B0503D">
        <w:rPr>
          <w:rFonts w:ascii="Helvetica" w:hAnsi="Helvetica"/>
          <w:lang w:val="en-US"/>
        </w:rPr>
        <w:t xml:space="preserve">Holmond, B., Liu, Q. and Nordstrom Skans, O. (2008) Mind the gap? Estimating the effects of postponing higher education, </w:t>
      </w:r>
      <w:r w:rsidRPr="00B0503D">
        <w:rPr>
          <w:rFonts w:ascii="Helvetica" w:hAnsi="Helvetica"/>
          <w:i/>
          <w:iCs/>
          <w:lang w:val="en-US"/>
        </w:rPr>
        <w:t xml:space="preserve">Oxford Economic Papers, </w:t>
      </w:r>
      <w:r w:rsidRPr="00B0503D">
        <w:rPr>
          <w:rFonts w:ascii="Helvetica" w:hAnsi="Helvetica"/>
          <w:lang w:val="en-US"/>
        </w:rPr>
        <w:t>60 (4) pp. 683-710.</w:t>
      </w:r>
    </w:p>
    <w:p w14:paraId="24F120E2" w14:textId="77777777" w:rsidR="00F8543C" w:rsidRDefault="00657872" w:rsidP="00F8543C">
      <w:pPr>
        <w:spacing w:line="276" w:lineRule="auto"/>
        <w:ind w:left="720" w:hanging="720"/>
        <w:jc w:val="both"/>
        <w:rPr>
          <w:rFonts w:ascii="Helvetica" w:hAnsi="Helvetica"/>
          <w:lang w:val="en-US"/>
        </w:rPr>
      </w:pPr>
      <w:r w:rsidRPr="0027778E">
        <w:rPr>
          <w:rFonts w:ascii="Helvetica" w:hAnsi="Helvetica"/>
          <w:lang w:val="en-US"/>
        </w:rPr>
        <w:t>Holdsworth, C. (2015) The cult of experience: standing out from the crowd in an era of austerity, Area, DOI: 10.1111/area.12201</w:t>
      </w:r>
    </w:p>
    <w:p w14:paraId="34FB9E7E" w14:textId="51875145" w:rsidR="00F8543C" w:rsidRPr="00F8543C" w:rsidRDefault="00657872" w:rsidP="00F8543C">
      <w:pPr>
        <w:spacing w:line="276" w:lineRule="auto"/>
        <w:ind w:left="720" w:hanging="720"/>
        <w:jc w:val="both"/>
        <w:rPr>
          <w:rFonts w:ascii="Helvetica" w:hAnsi="Helvetica"/>
          <w:lang w:val="en-US"/>
        </w:rPr>
      </w:pPr>
      <w:r w:rsidRPr="00F8543C">
        <w:rPr>
          <w:rFonts w:ascii="Helvetica" w:hAnsi="Helvetica"/>
          <w:lang w:val="en-US"/>
        </w:rPr>
        <w:t xml:space="preserve">Howie, L. and Campbell, P. (2016) Guerilla selfhood: imagining young people’s entrepreneurial futures, </w:t>
      </w:r>
      <w:r w:rsidRPr="00F8543C">
        <w:rPr>
          <w:rFonts w:ascii="Helvetica" w:hAnsi="Helvetica"/>
          <w:i/>
          <w:iCs/>
          <w:lang w:val="en-US"/>
        </w:rPr>
        <w:t xml:space="preserve">Journal of Youth Studies, </w:t>
      </w:r>
      <w:r w:rsidRPr="00F8543C">
        <w:rPr>
          <w:rFonts w:ascii="Helvetica" w:hAnsi="Helvetica"/>
          <w:lang w:val="en-US"/>
        </w:rPr>
        <w:t>19 (7) 906-920.</w:t>
      </w:r>
    </w:p>
    <w:p w14:paraId="3ED38C9A" w14:textId="77777777" w:rsidR="00B0503D" w:rsidRDefault="00B0503D" w:rsidP="00B0503D">
      <w:pPr>
        <w:spacing w:line="276" w:lineRule="auto"/>
        <w:ind w:left="720" w:hanging="720"/>
        <w:jc w:val="both"/>
        <w:rPr>
          <w:rFonts w:ascii="Helvetica" w:hAnsi="Helvetica"/>
          <w:lang w:val="en-US"/>
        </w:rPr>
      </w:pPr>
      <w:r w:rsidRPr="00B0503D">
        <w:rPr>
          <w:rFonts w:ascii="Helvetica" w:hAnsi="Helvetica"/>
          <w:lang w:val="en-US"/>
        </w:rPr>
        <w:t xml:space="preserve">Jones, A. (2003) </w:t>
      </w:r>
      <w:r w:rsidRPr="00B0503D">
        <w:rPr>
          <w:rFonts w:ascii="Helvetica" w:hAnsi="Helvetica"/>
          <w:i/>
          <w:iCs/>
          <w:lang w:val="en-US"/>
        </w:rPr>
        <w:t xml:space="preserve">Review of Gap Year Provision, </w:t>
      </w:r>
      <w:r w:rsidRPr="00B0503D">
        <w:rPr>
          <w:rFonts w:ascii="Helvetica" w:hAnsi="Helvetica"/>
          <w:lang w:val="en-US"/>
        </w:rPr>
        <w:t>London: Department for Education and Skills, Research Report RR555.</w:t>
      </w:r>
    </w:p>
    <w:p w14:paraId="54C5C164" w14:textId="77777777" w:rsidR="00B0503D" w:rsidRPr="00B0503D" w:rsidRDefault="00B0503D" w:rsidP="00B0503D">
      <w:pPr>
        <w:spacing w:line="276" w:lineRule="auto"/>
        <w:ind w:left="720" w:hanging="720"/>
        <w:jc w:val="both"/>
        <w:rPr>
          <w:rFonts w:ascii="Helvetica" w:hAnsi="Helvetica"/>
        </w:rPr>
      </w:pPr>
      <w:r w:rsidRPr="00B0503D">
        <w:rPr>
          <w:rFonts w:ascii="Helvetica" w:hAnsi="Helvetica"/>
          <w:lang w:val="en-US"/>
        </w:rPr>
        <w:t xml:space="preserve">Nieman, M. (2010) The perception of higher education students of the influence of their gap year on their personal development, </w:t>
      </w:r>
      <w:r w:rsidRPr="00B0503D">
        <w:rPr>
          <w:rFonts w:ascii="Helvetica" w:hAnsi="Helvetica"/>
          <w:i/>
          <w:iCs/>
          <w:lang w:val="en-US"/>
        </w:rPr>
        <w:t xml:space="preserve">Tydskrif vir Geesteswetenskappe, </w:t>
      </w:r>
      <w:r w:rsidRPr="00B0503D">
        <w:rPr>
          <w:rFonts w:ascii="Helvetica" w:hAnsi="Helvetica"/>
          <w:lang w:val="en-US"/>
        </w:rPr>
        <w:t>50 (1).</w:t>
      </w:r>
    </w:p>
    <w:p w14:paraId="13DD6FF0" w14:textId="77777777" w:rsidR="00EC458C" w:rsidRDefault="00B0503D" w:rsidP="00EC458C">
      <w:pPr>
        <w:spacing w:line="276" w:lineRule="auto"/>
        <w:ind w:left="720" w:hanging="720"/>
        <w:jc w:val="both"/>
        <w:rPr>
          <w:rFonts w:ascii="Helvetica" w:hAnsi="Helvetica"/>
          <w:lang w:val="en-US"/>
        </w:rPr>
      </w:pPr>
      <w:r w:rsidRPr="00B0503D">
        <w:rPr>
          <w:rFonts w:ascii="Helvetica" w:hAnsi="Helvetica"/>
          <w:lang w:val="en-US"/>
        </w:rPr>
        <w:t xml:space="preserve">O’Shea, J. (2011) Delaying the academy: A gap year education, </w:t>
      </w:r>
      <w:r w:rsidRPr="00B0503D">
        <w:rPr>
          <w:rFonts w:ascii="Helvetica" w:hAnsi="Helvetica"/>
          <w:i/>
          <w:iCs/>
          <w:lang w:val="en-US"/>
        </w:rPr>
        <w:t xml:space="preserve">Teaching in Higher Education, </w:t>
      </w:r>
      <w:r w:rsidRPr="00B0503D">
        <w:rPr>
          <w:rFonts w:ascii="Helvetica" w:hAnsi="Helvetica"/>
          <w:lang w:val="en-US"/>
        </w:rPr>
        <w:t>16 (5) pp 565-577.</w:t>
      </w:r>
    </w:p>
    <w:p w14:paraId="7538F161" w14:textId="505FB0E1" w:rsidR="00254E27" w:rsidRDefault="00B0503D" w:rsidP="00AA491E">
      <w:pPr>
        <w:spacing w:line="276" w:lineRule="auto"/>
        <w:ind w:left="720" w:hanging="720"/>
        <w:jc w:val="both"/>
        <w:rPr>
          <w:rFonts w:ascii="Helvetica" w:hAnsi="Helvetica"/>
          <w:lang w:val="en-US"/>
        </w:rPr>
      </w:pPr>
      <w:r w:rsidRPr="00B0503D">
        <w:rPr>
          <w:rFonts w:ascii="Helvetica" w:hAnsi="Helvetica"/>
          <w:lang w:val="en-US"/>
        </w:rPr>
        <w:t xml:space="preserve">Stehlik, T. (2010) Mind the gap: school leaver aspirations and delayed pathways to further and higher education, </w:t>
      </w:r>
      <w:r w:rsidRPr="00B0503D">
        <w:rPr>
          <w:rFonts w:ascii="Helvetica" w:hAnsi="Helvetica"/>
          <w:i/>
          <w:iCs/>
          <w:lang w:val="en-US"/>
        </w:rPr>
        <w:t xml:space="preserve">Journal of Education and Work, </w:t>
      </w:r>
      <w:r w:rsidRPr="00B0503D">
        <w:rPr>
          <w:rFonts w:ascii="Helvetica" w:hAnsi="Helvetica"/>
          <w:lang w:val="en-US"/>
        </w:rPr>
        <w:t>23 (4) pp</w:t>
      </w:r>
      <w:r w:rsidR="002930D3">
        <w:rPr>
          <w:rFonts w:ascii="Helvetica" w:hAnsi="Helvetica"/>
          <w:lang w:val="en-US"/>
        </w:rPr>
        <w:t>.</w:t>
      </w:r>
      <w:r w:rsidRPr="00B0503D">
        <w:rPr>
          <w:rFonts w:ascii="Helvetica" w:hAnsi="Helvetica"/>
          <w:lang w:val="en-US"/>
        </w:rPr>
        <w:t xml:space="preserve"> 363-376.</w:t>
      </w:r>
    </w:p>
    <w:p w14:paraId="4EF71DD1" w14:textId="77777777" w:rsidR="00B0503D" w:rsidRDefault="00B0503D" w:rsidP="00B0503D">
      <w:pPr>
        <w:spacing w:line="276" w:lineRule="auto"/>
        <w:ind w:left="720" w:hanging="720"/>
        <w:jc w:val="both"/>
        <w:rPr>
          <w:rFonts w:ascii="Helvetica" w:hAnsi="Helvetica"/>
          <w:lang w:val="en-US"/>
        </w:rPr>
      </w:pPr>
      <w:r w:rsidRPr="00B0503D">
        <w:rPr>
          <w:rFonts w:ascii="Helvetica" w:hAnsi="Helvetica"/>
          <w:lang w:val="en-US"/>
        </w:rPr>
        <w:t xml:space="preserve">Vigurs, K., Jones, S. and Harris, D. (2016) </w:t>
      </w:r>
      <w:r w:rsidRPr="00B0503D">
        <w:rPr>
          <w:rFonts w:ascii="Helvetica" w:hAnsi="Helvetica"/>
          <w:i/>
          <w:iCs/>
          <w:lang w:val="en-US"/>
        </w:rPr>
        <w:t xml:space="preserve">Higher Fees, Higher Debts: Greater Expectations of Graduate Futures? Research Report, </w:t>
      </w:r>
      <w:r w:rsidRPr="00B0503D">
        <w:rPr>
          <w:rFonts w:ascii="Helvetica" w:hAnsi="Helvetica"/>
          <w:lang w:val="en-US"/>
        </w:rPr>
        <w:t xml:space="preserve">London: SRHE. </w:t>
      </w:r>
      <w:hyperlink r:id="rId9" w:history="1">
        <w:r w:rsidRPr="00B0503D">
          <w:rPr>
            <w:rStyle w:val="Hyperlink"/>
            <w:rFonts w:ascii="Helvetica" w:hAnsi="Helvetica"/>
            <w:lang w:val="en-US"/>
          </w:rPr>
          <w:t>http://bit.ly/SRHEgradfutures</w:t>
        </w:r>
      </w:hyperlink>
      <w:r w:rsidRPr="00B0503D">
        <w:rPr>
          <w:rFonts w:ascii="Helvetica" w:hAnsi="Helvetica"/>
          <w:lang w:val="en-US"/>
        </w:rPr>
        <w:t xml:space="preserve"> </w:t>
      </w:r>
    </w:p>
    <w:p w14:paraId="361DA4F8" w14:textId="1404EB4E" w:rsidR="00AA491E" w:rsidRPr="000F36F1" w:rsidRDefault="00AA491E" w:rsidP="00B0503D">
      <w:pPr>
        <w:spacing w:line="276" w:lineRule="auto"/>
        <w:ind w:left="720" w:hanging="720"/>
        <w:jc w:val="both"/>
        <w:rPr>
          <w:rFonts w:ascii="Helvetica" w:hAnsi="Helvetica"/>
          <w:lang w:val="en-US"/>
        </w:rPr>
      </w:pPr>
      <w:r>
        <w:rPr>
          <w:rFonts w:ascii="Helvetica" w:hAnsi="Helvetica"/>
          <w:lang w:val="en-US"/>
        </w:rPr>
        <w:t xml:space="preserve">Vigurs, K., Jones, S., Everitt, J. and Harris, D. (2018) Higher Fees, Higher Debts: Unequal Graduate Transitions in England? In S. Riddell, </w:t>
      </w:r>
      <w:r w:rsidR="000F36F1">
        <w:rPr>
          <w:rFonts w:ascii="Helvetica" w:hAnsi="Helvetica"/>
          <w:lang w:val="en-US"/>
        </w:rPr>
        <w:t xml:space="preserve">Weedon, E. and Whittaker, S. (Eds) </w:t>
      </w:r>
      <w:r w:rsidR="000F36F1">
        <w:rPr>
          <w:rFonts w:ascii="Helvetica" w:hAnsi="Helvetica"/>
          <w:i/>
          <w:lang w:val="en-US"/>
        </w:rPr>
        <w:t xml:space="preserve">Higher Education, Funding and Access, </w:t>
      </w:r>
      <w:r w:rsidR="000F36F1">
        <w:rPr>
          <w:rFonts w:ascii="Helvetica" w:hAnsi="Helvetica"/>
          <w:lang w:val="en-US"/>
        </w:rPr>
        <w:t>Bingley: Emerald.</w:t>
      </w:r>
    </w:p>
    <w:sectPr w:rsidR="00AA491E" w:rsidRPr="000F36F1" w:rsidSect="0095722F">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CFBCF" w14:textId="77777777" w:rsidR="001F127F" w:rsidRDefault="001F127F" w:rsidP="001270ED">
      <w:r>
        <w:separator/>
      </w:r>
    </w:p>
  </w:endnote>
  <w:endnote w:type="continuationSeparator" w:id="0">
    <w:p w14:paraId="13C75DFF" w14:textId="77777777" w:rsidR="001F127F" w:rsidRDefault="001F127F" w:rsidP="0012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E066" w14:textId="77777777" w:rsidR="001F127F" w:rsidRDefault="001F127F" w:rsidP="000D4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75D6E" w14:textId="77777777" w:rsidR="001F127F" w:rsidRDefault="001F127F" w:rsidP="001270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9258" w14:textId="77777777" w:rsidR="001F127F" w:rsidRDefault="001F127F" w:rsidP="000D4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F95">
      <w:rPr>
        <w:rStyle w:val="PageNumber"/>
        <w:noProof/>
      </w:rPr>
      <w:t>1</w:t>
    </w:r>
    <w:r>
      <w:rPr>
        <w:rStyle w:val="PageNumber"/>
      </w:rPr>
      <w:fldChar w:fldCharType="end"/>
    </w:r>
  </w:p>
  <w:p w14:paraId="6B180CB0" w14:textId="77777777" w:rsidR="001F127F" w:rsidRDefault="001F127F" w:rsidP="001270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FD73D" w14:textId="77777777" w:rsidR="001F127F" w:rsidRDefault="001F127F" w:rsidP="001270ED">
      <w:r>
        <w:separator/>
      </w:r>
    </w:p>
  </w:footnote>
  <w:footnote w:type="continuationSeparator" w:id="0">
    <w:p w14:paraId="50914438" w14:textId="77777777" w:rsidR="001F127F" w:rsidRDefault="001F127F" w:rsidP="001270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14E"/>
    <w:multiLevelType w:val="hybridMultilevel"/>
    <w:tmpl w:val="AAFC00C8"/>
    <w:lvl w:ilvl="0" w:tplc="3642E6FC">
      <w:start w:val="1"/>
      <w:numFmt w:val="bullet"/>
      <w:lvlText w:val="•"/>
      <w:lvlJc w:val="left"/>
      <w:pPr>
        <w:tabs>
          <w:tab w:val="num" w:pos="720"/>
        </w:tabs>
        <w:ind w:left="720" w:hanging="360"/>
      </w:pPr>
      <w:rPr>
        <w:rFonts w:ascii="Arial" w:hAnsi="Arial" w:hint="default"/>
      </w:rPr>
    </w:lvl>
    <w:lvl w:ilvl="1" w:tplc="0C2648B4" w:tentative="1">
      <w:start w:val="1"/>
      <w:numFmt w:val="bullet"/>
      <w:lvlText w:val="•"/>
      <w:lvlJc w:val="left"/>
      <w:pPr>
        <w:tabs>
          <w:tab w:val="num" w:pos="1440"/>
        </w:tabs>
        <w:ind w:left="1440" w:hanging="360"/>
      </w:pPr>
      <w:rPr>
        <w:rFonts w:ascii="Arial" w:hAnsi="Arial" w:hint="default"/>
      </w:rPr>
    </w:lvl>
    <w:lvl w:ilvl="2" w:tplc="7DCC7D28" w:tentative="1">
      <w:start w:val="1"/>
      <w:numFmt w:val="bullet"/>
      <w:lvlText w:val="•"/>
      <w:lvlJc w:val="left"/>
      <w:pPr>
        <w:tabs>
          <w:tab w:val="num" w:pos="2160"/>
        </w:tabs>
        <w:ind w:left="2160" w:hanging="360"/>
      </w:pPr>
      <w:rPr>
        <w:rFonts w:ascii="Arial" w:hAnsi="Arial" w:hint="default"/>
      </w:rPr>
    </w:lvl>
    <w:lvl w:ilvl="3" w:tplc="E860433E" w:tentative="1">
      <w:start w:val="1"/>
      <w:numFmt w:val="bullet"/>
      <w:lvlText w:val="•"/>
      <w:lvlJc w:val="left"/>
      <w:pPr>
        <w:tabs>
          <w:tab w:val="num" w:pos="2880"/>
        </w:tabs>
        <w:ind w:left="2880" w:hanging="360"/>
      </w:pPr>
      <w:rPr>
        <w:rFonts w:ascii="Arial" w:hAnsi="Arial" w:hint="default"/>
      </w:rPr>
    </w:lvl>
    <w:lvl w:ilvl="4" w:tplc="32288590" w:tentative="1">
      <w:start w:val="1"/>
      <w:numFmt w:val="bullet"/>
      <w:lvlText w:val="•"/>
      <w:lvlJc w:val="left"/>
      <w:pPr>
        <w:tabs>
          <w:tab w:val="num" w:pos="3600"/>
        </w:tabs>
        <w:ind w:left="3600" w:hanging="360"/>
      </w:pPr>
      <w:rPr>
        <w:rFonts w:ascii="Arial" w:hAnsi="Arial" w:hint="default"/>
      </w:rPr>
    </w:lvl>
    <w:lvl w:ilvl="5" w:tplc="60B6AC54" w:tentative="1">
      <w:start w:val="1"/>
      <w:numFmt w:val="bullet"/>
      <w:lvlText w:val="•"/>
      <w:lvlJc w:val="left"/>
      <w:pPr>
        <w:tabs>
          <w:tab w:val="num" w:pos="4320"/>
        </w:tabs>
        <w:ind w:left="4320" w:hanging="360"/>
      </w:pPr>
      <w:rPr>
        <w:rFonts w:ascii="Arial" w:hAnsi="Arial" w:hint="default"/>
      </w:rPr>
    </w:lvl>
    <w:lvl w:ilvl="6" w:tplc="93F80F10" w:tentative="1">
      <w:start w:val="1"/>
      <w:numFmt w:val="bullet"/>
      <w:lvlText w:val="•"/>
      <w:lvlJc w:val="left"/>
      <w:pPr>
        <w:tabs>
          <w:tab w:val="num" w:pos="5040"/>
        </w:tabs>
        <w:ind w:left="5040" w:hanging="360"/>
      </w:pPr>
      <w:rPr>
        <w:rFonts w:ascii="Arial" w:hAnsi="Arial" w:hint="default"/>
      </w:rPr>
    </w:lvl>
    <w:lvl w:ilvl="7" w:tplc="23BA0D04" w:tentative="1">
      <w:start w:val="1"/>
      <w:numFmt w:val="bullet"/>
      <w:lvlText w:val="•"/>
      <w:lvlJc w:val="left"/>
      <w:pPr>
        <w:tabs>
          <w:tab w:val="num" w:pos="5760"/>
        </w:tabs>
        <w:ind w:left="5760" w:hanging="360"/>
      </w:pPr>
      <w:rPr>
        <w:rFonts w:ascii="Arial" w:hAnsi="Arial" w:hint="default"/>
      </w:rPr>
    </w:lvl>
    <w:lvl w:ilvl="8" w:tplc="A476F0D6" w:tentative="1">
      <w:start w:val="1"/>
      <w:numFmt w:val="bullet"/>
      <w:lvlText w:val="•"/>
      <w:lvlJc w:val="left"/>
      <w:pPr>
        <w:tabs>
          <w:tab w:val="num" w:pos="6480"/>
        </w:tabs>
        <w:ind w:left="6480" w:hanging="360"/>
      </w:pPr>
      <w:rPr>
        <w:rFonts w:ascii="Arial" w:hAnsi="Arial" w:hint="default"/>
      </w:rPr>
    </w:lvl>
  </w:abstractNum>
  <w:abstractNum w:abstractNumId="1">
    <w:nsid w:val="04BF4E08"/>
    <w:multiLevelType w:val="hybridMultilevel"/>
    <w:tmpl w:val="81E49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1C0281"/>
    <w:multiLevelType w:val="hybridMultilevel"/>
    <w:tmpl w:val="676CF144"/>
    <w:lvl w:ilvl="0" w:tplc="7FDEDF76">
      <w:start w:val="1"/>
      <w:numFmt w:val="bullet"/>
      <w:lvlText w:val="•"/>
      <w:lvlJc w:val="left"/>
      <w:pPr>
        <w:tabs>
          <w:tab w:val="num" w:pos="720"/>
        </w:tabs>
        <w:ind w:left="720" w:hanging="360"/>
      </w:pPr>
      <w:rPr>
        <w:rFonts w:ascii="Arial" w:hAnsi="Arial" w:hint="default"/>
      </w:rPr>
    </w:lvl>
    <w:lvl w:ilvl="1" w:tplc="63F4E256" w:tentative="1">
      <w:start w:val="1"/>
      <w:numFmt w:val="bullet"/>
      <w:lvlText w:val="•"/>
      <w:lvlJc w:val="left"/>
      <w:pPr>
        <w:tabs>
          <w:tab w:val="num" w:pos="1440"/>
        </w:tabs>
        <w:ind w:left="1440" w:hanging="360"/>
      </w:pPr>
      <w:rPr>
        <w:rFonts w:ascii="Arial" w:hAnsi="Arial" w:hint="default"/>
      </w:rPr>
    </w:lvl>
    <w:lvl w:ilvl="2" w:tplc="C2C22832" w:tentative="1">
      <w:start w:val="1"/>
      <w:numFmt w:val="bullet"/>
      <w:lvlText w:val="•"/>
      <w:lvlJc w:val="left"/>
      <w:pPr>
        <w:tabs>
          <w:tab w:val="num" w:pos="2160"/>
        </w:tabs>
        <w:ind w:left="2160" w:hanging="360"/>
      </w:pPr>
      <w:rPr>
        <w:rFonts w:ascii="Arial" w:hAnsi="Arial" w:hint="default"/>
      </w:rPr>
    </w:lvl>
    <w:lvl w:ilvl="3" w:tplc="579C7CB2" w:tentative="1">
      <w:start w:val="1"/>
      <w:numFmt w:val="bullet"/>
      <w:lvlText w:val="•"/>
      <w:lvlJc w:val="left"/>
      <w:pPr>
        <w:tabs>
          <w:tab w:val="num" w:pos="2880"/>
        </w:tabs>
        <w:ind w:left="2880" w:hanging="360"/>
      </w:pPr>
      <w:rPr>
        <w:rFonts w:ascii="Arial" w:hAnsi="Arial" w:hint="default"/>
      </w:rPr>
    </w:lvl>
    <w:lvl w:ilvl="4" w:tplc="1A66447C" w:tentative="1">
      <w:start w:val="1"/>
      <w:numFmt w:val="bullet"/>
      <w:lvlText w:val="•"/>
      <w:lvlJc w:val="left"/>
      <w:pPr>
        <w:tabs>
          <w:tab w:val="num" w:pos="3600"/>
        </w:tabs>
        <w:ind w:left="3600" w:hanging="360"/>
      </w:pPr>
      <w:rPr>
        <w:rFonts w:ascii="Arial" w:hAnsi="Arial" w:hint="default"/>
      </w:rPr>
    </w:lvl>
    <w:lvl w:ilvl="5" w:tplc="A018344C" w:tentative="1">
      <w:start w:val="1"/>
      <w:numFmt w:val="bullet"/>
      <w:lvlText w:val="•"/>
      <w:lvlJc w:val="left"/>
      <w:pPr>
        <w:tabs>
          <w:tab w:val="num" w:pos="4320"/>
        </w:tabs>
        <w:ind w:left="4320" w:hanging="360"/>
      </w:pPr>
      <w:rPr>
        <w:rFonts w:ascii="Arial" w:hAnsi="Arial" w:hint="default"/>
      </w:rPr>
    </w:lvl>
    <w:lvl w:ilvl="6" w:tplc="AFC6E50C" w:tentative="1">
      <w:start w:val="1"/>
      <w:numFmt w:val="bullet"/>
      <w:lvlText w:val="•"/>
      <w:lvlJc w:val="left"/>
      <w:pPr>
        <w:tabs>
          <w:tab w:val="num" w:pos="5040"/>
        </w:tabs>
        <w:ind w:left="5040" w:hanging="360"/>
      </w:pPr>
      <w:rPr>
        <w:rFonts w:ascii="Arial" w:hAnsi="Arial" w:hint="default"/>
      </w:rPr>
    </w:lvl>
    <w:lvl w:ilvl="7" w:tplc="BCC68A52" w:tentative="1">
      <w:start w:val="1"/>
      <w:numFmt w:val="bullet"/>
      <w:lvlText w:val="•"/>
      <w:lvlJc w:val="left"/>
      <w:pPr>
        <w:tabs>
          <w:tab w:val="num" w:pos="5760"/>
        </w:tabs>
        <w:ind w:left="5760" w:hanging="360"/>
      </w:pPr>
      <w:rPr>
        <w:rFonts w:ascii="Arial" w:hAnsi="Arial" w:hint="default"/>
      </w:rPr>
    </w:lvl>
    <w:lvl w:ilvl="8" w:tplc="F3DE1510" w:tentative="1">
      <w:start w:val="1"/>
      <w:numFmt w:val="bullet"/>
      <w:lvlText w:val="•"/>
      <w:lvlJc w:val="left"/>
      <w:pPr>
        <w:tabs>
          <w:tab w:val="num" w:pos="6480"/>
        </w:tabs>
        <w:ind w:left="6480" w:hanging="360"/>
      </w:pPr>
      <w:rPr>
        <w:rFonts w:ascii="Arial" w:hAnsi="Arial" w:hint="default"/>
      </w:rPr>
    </w:lvl>
  </w:abstractNum>
  <w:abstractNum w:abstractNumId="3">
    <w:nsid w:val="19771C07"/>
    <w:multiLevelType w:val="hybridMultilevel"/>
    <w:tmpl w:val="E64CABD8"/>
    <w:lvl w:ilvl="0" w:tplc="E75EA5A6">
      <w:start w:val="1"/>
      <w:numFmt w:val="bullet"/>
      <w:lvlText w:val="•"/>
      <w:lvlJc w:val="left"/>
      <w:pPr>
        <w:tabs>
          <w:tab w:val="num" w:pos="720"/>
        </w:tabs>
        <w:ind w:left="720" w:hanging="360"/>
      </w:pPr>
      <w:rPr>
        <w:rFonts w:ascii="Arial" w:hAnsi="Arial" w:hint="default"/>
      </w:rPr>
    </w:lvl>
    <w:lvl w:ilvl="1" w:tplc="567409A0" w:tentative="1">
      <w:start w:val="1"/>
      <w:numFmt w:val="bullet"/>
      <w:lvlText w:val="•"/>
      <w:lvlJc w:val="left"/>
      <w:pPr>
        <w:tabs>
          <w:tab w:val="num" w:pos="1440"/>
        </w:tabs>
        <w:ind w:left="1440" w:hanging="360"/>
      </w:pPr>
      <w:rPr>
        <w:rFonts w:ascii="Arial" w:hAnsi="Arial" w:hint="default"/>
      </w:rPr>
    </w:lvl>
    <w:lvl w:ilvl="2" w:tplc="B562ED88" w:tentative="1">
      <w:start w:val="1"/>
      <w:numFmt w:val="bullet"/>
      <w:lvlText w:val="•"/>
      <w:lvlJc w:val="left"/>
      <w:pPr>
        <w:tabs>
          <w:tab w:val="num" w:pos="2160"/>
        </w:tabs>
        <w:ind w:left="2160" w:hanging="360"/>
      </w:pPr>
      <w:rPr>
        <w:rFonts w:ascii="Arial" w:hAnsi="Arial" w:hint="default"/>
      </w:rPr>
    </w:lvl>
    <w:lvl w:ilvl="3" w:tplc="41F4A45E" w:tentative="1">
      <w:start w:val="1"/>
      <w:numFmt w:val="bullet"/>
      <w:lvlText w:val="•"/>
      <w:lvlJc w:val="left"/>
      <w:pPr>
        <w:tabs>
          <w:tab w:val="num" w:pos="2880"/>
        </w:tabs>
        <w:ind w:left="2880" w:hanging="360"/>
      </w:pPr>
      <w:rPr>
        <w:rFonts w:ascii="Arial" w:hAnsi="Arial" w:hint="default"/>
      </w:rPr>
    </w:lvl>
    <w:lvl w:ilvl="4" w:tplc="1DF825E4" w:tentative="1">
      <w:start w:val="1"/>
      <w:numFmt w:val="bullet"/>
      <w:lvlText w:val="•"/>
      <w:lvlJc w:val="left"/>
      <w:pPr>
        <w:tabs>
          <w:tab w:val="num" w:pos="3600"/>
        </w:tabs>
        <w:ind w:left="3600" w:hanging="360"/>
      </w:pPr>
      <w:rPr>
        <w:rFonts w:ascii="Arial" w:hAnsi="Arial" w:hint="default"/>
      </w:rPr>
    </w:lvl>
    <w:lvl w:ilvl="5" w:tplc="F90255E4" w:tentative="1">
      <w:start w:val="1"/>
      <w:numFmt w:val="bullet"/>
      <w:lvlText w:val="•"/>
      <w:lvlJc w:val="left"/>
      <w:pPr>
        <w:tabs>
          <w:tab w:val="num" w:pos="4320"/>
        </w:tabs>
        <w:ind w:left="4320" w:hanging="360"/>
      </w:pPr>
      <w:rPr>
        <w:rFonts w:ascii="Arial" w:hAnsi="Arial" w:hint="default"/>
      </w:rPr>
    </w:lvl>
    <w:lvl w:ilvl="6" w:tplc="63EE4040" w:tentative="1">
      <w:start w:val="1"/>
      <w:numFmt w:val="bullet"/>
      <w:lvlText w:val="•"/>
      <w:lvlJc w:val="left"/>
      <w:pPr>
        <w:tabs>
          <w:tab w:val="num" w:pos="5040"/>
        </w:tabs>
        <w:ind w:left="5040" w:hanging="360"/>
      </w:pPr>
      <w:rPr>
        <w:rFonts w:ascii="Arial" w:hAnsi="Arial" w:hint="default"/>
      </w:rPr>
    </w:lvl>
    <w:lvl w:ilvl="7" w:tplc="4510DE92" w:tentative="1">
      <w:start w:val="1"/>
      <w:numFmt w:val="bullet"/>
      <w:lvlText w:val="•"/>
      <w:lvlJc w:val="left"/>
      <w:pPr>
        <w:tabs>
          <w:tab w:val="num" w:pos="5760"/>
        </w:tabs>
        <w:ind w:left="5760" w:hanging="360"/>
      </w:pPr>
      <w:rPr>
        <w:rFonts w:ascii="Arial" w:hAnsi="Arial" w:hint="default"/>
      </w:rPr>
    </w:lvl>
    <w:lvl w:ilvl="8" w:tplc="17241F60" w:tentative="1">
      <w:start w:val="1"/>
      <w:numFmt w:val="bullet"/>
      <w:lvlText w:val="•"/>
      <w:lvlJc w:val="left"/>
      <w:pPr>
        <w:tabs>
          <w:tab w:val="num" w:pos="6480"/>
        </w:tabs>
        <w:ind w:left="6480" w:hanging="360"/>
      </w:pPr>
      <w:rPr>
        <w:rFonts w:ascii="Arial" w:hAnsi="Arial" w:hint="default"/>
      </w:rPr>
    </w:lvl>
  </w:abstractNum>
  <w:abstractNum w:abstractNumId="4">
    <w:nsid w:val="2ACB68D5"/>
    <w:multiLevelType w:val="hybridMultilevel"/>
    <w:tmpl w:val="FCF27DFA"/>
    <w:lvl w:ilvl="0" w:tplc="3E082C98">
      <w:start w:val="1"/>
      <w:numFmt w:val="bullet"/>
      <w:lvlText w:val="•"/>
      <w:lvlJc w:val="left"/>
      <w:pPr>
        <w:tabs>
          <w:tab w:val="num" w:pos="720"/>
        </w:tabs>
        <w:ind w:left="720" w:hanging="360"/>
      </w:pPr>
      <w:rPr>
        <w:rFonts w:ascii="Arial" w:hAnsi="Arial" w:hint="default"/>
      </w:rPr>
    </w:lvl>
    <w:lvl w:ilvl="1" w:tplc="0A022BD6" w:tentative="1">
      <w:start w:val="1"/>
      <w:numFmt w:val="bullet"/>
      <w:lvlText w:val="•"/>
      <w:lvlJc w:val="left"/>
      <w:pPr>
        <w:tabs>
          <w:tab w:val="num" w:pos="1440"/>
        </w:tabs>
        <w:ind w:left="1440" w:hanging="360"/>
      </w:pPr>
      <w:rPr>
        <w:rFonts w:ascii="Arial" w:hAnsi="Arial" w:hint="default"/>
      </w:rPr>
    </w:lvl>
    <w:lvl w:ilvl="2" w:tplc="1EC84F30" w:tentative="1">
      <w:start w:val="1"/>
      <w:numFmt w:val="bullet"/>
      <w:lvlText w:val="•"/>
      <w:lvlJc w:val="left"/>
      <w:pPr>
        <w:tabs>
          <w:tab w:val="num" w:pos="2160"/>
        </w:tabs>
        <w:ind w:left="2160" w:hanging="360"/>
      </w:pPr>
      <w:rPr>
        <w:rFonts w:ascii="Arial" w:hAnsi="Arial" w:hint="default"/>
      </w:rPr>
    </w:lvl>
    <w:lvl w:ilvl="3" w:tplc="6144D7CC" w:tentative="1">
      <w:start w:val="1"/>
      <w:numFmt w:val="bullet"/>
      <w:lvlText w:val="•"/>
      <w:lvlJc w:val="left"/>
      <w:pPr>
        <w:tabs>
          <w:tab w:val="num" w:pos="2880"/>
        </w:tabs>
        <w:ind w:left="2880" w:hanging="360"/>
      </w:pPr>
      <w:rPr>
        <w:rFonts w:ascii="Arial" w:hAnsi="Arial" w:hint="default"/>
      </w:rPr>
    </w:lvl>
    <w:lvl w:ilvl="4" w:tplc="56DEE9A2" w:tentative="1">
      <w:start w:val="1"/>
      <w:numFmt w:val="bullet"/>
      <w:lvlText w:val="•"/>
      <w:lvlJc w:val="left"/>
      <w:pPr>
        <w:tabs>
          <w:tab w:val="num" w:pos="3600"/>
        </w:tabs>
        <w:ind w:left="3600" w:hanging="360"/>
      </w:pPr>
      <w:rPr>
        <w:rFonts w:ascii="Arial" w:hAnsi="Arial" w:hint="default"/>
      </w:rPr>
    </w:lvl>
    <w:lvl w:ilvl="5" w:tplc="788C0B1A" w:tentative="1">
      <w:start w:val="1"/>
      <w:numFmt w:val="bullet"/>
      <w:lvlText w:val="•"/>
      <w:lvlJc w:val="left"/>
      <w:pPr>
        <w:tabs>
          <w:tab w:val="num" w:pos="4320"/>
        </w:tabs>
        <w:ind w:left="4320" w:hanging="360"/>
      </w:pPr>
      <w:rPr>
        <w:rFonts w:ascii="Arial" w:hAnsi="Arial" w:hint="default"/>
      </w:rPr>
    </w:lvl>
    <w:lvl w:ilvl="6" w:tplc="461C17FC" w:tentative="1">
      <w:start w:val="1"/>
      <w:numFmt w:val="bullet"/>
      <w:lvlText w:val="•"/>
      <w:lvlJc w:val="left"/>
      <w:pPr>
        <w:tabs>
          <w:tab w:val="num" w:pos="5040"/>
        </w:tabs>
        <w:ind w:left="5040" w:hanging="360"/>
      </w:pPr>
      <w:rPr>
        <w:rFonts w:ascii="Arial" w:hAnsi="Arial" w:hint="default"/>
      </w:rPr>
    </w:lvl>
    <w:lvl w:ilvl="7" w:tplc="5D10CAB4" w:tentative="1">
      <w:start w:val="1"/>
      <w:numFmt w:val="bullet"/>
      <w:lvlText w:val="•"/>
      <w:lvlJc w:val="left"/>
      <w:pPr>
        <w:tabs>
          <w:tab w:val="num" w:pos="5760"/>
        </w:tabs>
        <w:ind w:left="5760" w:hanging="360"/>
      </w:pPr>
      <w:rPr>
        <w:rFonts w:ascii="Arial" w:hAnsi="Arial" w:hint="default"/>
      </w:rPr>
    </w:lvl>
    <w:lvl w:ilvl="8" w:tplc="F54C042C" w:tentative="1">
      <w:start w:val="1"/>
      <w:numFmt w:val="bullet"/>
      <w:lvlText w:val="•"/>
      <w:lvlJc w:val="left"/>
      <w:pPr>
        <w:tabs>
          <w:tab w:val="num" w:pos="6480"/>
        </w:tabs>
        <w:ind w:left="6480" w:hanging="360"/>
      </w:pPr>
      <w:rPr>
        <w:rFonts w:ascii="Arial" w:hAnsi="Arial" w:hint="default"/>
      </w:rPr>
    </w:lvl>
  </w:abstractNum>
  <w:abstractNum w:abstractNumId="5">
    <w:nsid w:val="2E6E7028"/>
    <w:multiLevelType w:val="hybridMultilevel"/>
    <w:tmpl w:val="DBEC8830"/>
    <w:lvl w:ilvl="0" w:tplc="3A1477A2">
      <w:start w:val="1"/>
      <w:numFmt w:val="decimal"/>
      <w:lvlText w:val="%1)"/>
      <w:lvlJc w:val="left"/>
      <w:pPr>
        <w:tabs>
          <w:tab w:val="num" w:pos="720"/>
        </w:tabs>
        <w:ind w:left="720" w:hanging="360"/>
      </w:pPr>
    </w:lvl>
    <w:lvl w:ilvl="1" w:tplc="21BCA524" w:tentative="1">
      <w:start w:val="1"/>
      <w:numFmt w:val="decimal"/>
      <w:lvlText w:val="%2)"/>
      <w:lvlJc w:val="left"/>
      <w:pPr>
        <w:tabs>
          <w:tab w:val="num" w:pos="1440"/>
        </w:tabs>
        <w:ind w:left="1440" w:hanging="360"/>
      </w:pPr>
    </w:lvl>
    <w:lvl w:ilvl="2" w:tplc="DE0E6356" w:tentative="1">
      <w:start w:val="1"/>
      <w:numFmt w:val="decimal"/>
      <w:lvlText w:val="%3)"/>
      <w:lvlJc w:val="left"/>
      <w:pPr>
        <w:tabs>
          <w:tab w:val="num" w:pos="2160"/>
        </w:tabs>
        <w:ind w:left="2160" w:hanging="360"/>
      </w:pPr>
    </w:lvl>
    <w:lvl w:ilvl="3" w:tplc="332EC034" w:tentative="1">
      <w:start w:val="1"/>
      <w:numFmt w:val="decimal"/>
      <w:lvlText w:val="%4)"/>
      <w:lvlJc w:val="left"/>
      <w:pPr>
        <w:tabs>
          <w:tab w:val="num" w:pos="2880"/>
        </w:tabs>
        <w:ind w:left="2880" w:hanging="360"/>
      </w:pPr>
    </w:lvl>
    <w:lvl w:ilvl="4" w:tplc="1E480DF4" w:tentative="1">
      <w:start w:val="1"/>
      <w:numFmt w:val="decimal"/>
      <w:lvlText w:val="%5)"/>
      <w:lvlJc w:val="left"/>
      <w:pPr>
        <w:tabs>
          <w:tab w:val="num" w:pos="3600"/>
        </w:tabs>
        <w:ind w:left="3600" w:hanging="360"/>
      </w:pPr>
    </w:lvl>
    <w:lvl w:ilvl="5" w:tplc="C1B25D82" w:tentative="1">
      <w:start w:val="1"/>
      <w:numFmt w:val="decimal"/>
      <w:lvlText w:val="%6)"/>
      <w:lvlJc w:val="left"/>
      <w:pPr>
        <w:tabs>
          <w:tab w:val="num" w:pos="4320"/>
        </w:tabs>
        <w:ind w:left="4320" w:hanging="360"/>
      </w:pPr>
    </w:lvl>
    <w:lvl w:ilvl="6" w:tplc="AC50F3DC" w:tentative="1">
      <w:start w:val="1"/>
      <w:numFmt w:val="decimal"/>
      <w:lvlText w:val="%7)"/>
      <w:lvlJc w:val="left"/>
      <w:pPr>
        <w:tabs>
          <w:tab w:val="num" w:pos="5040"/>
        </w:tabs>
        <w:ind w:left="5040" w:hanging="360"/>
      </w:pPr>
    </w:lvl>
    <w:lvl w:ilvl="7" w:tplc="06BEDFA6" w:tentative="1">
      <w:start w:val="1"/>
      <w:numFmt w:val="decimal"/>
      <w:lvlText w:val="%8)"/>
      <w:lvlJc w:val="left"/>
      <w:pPr>
        <w:tabs>
          <w:tab w:val="num" w:pos="5760"/>
        </w:tabs>
        <w:ind w:left="5760" w:hanging="360"/>
      </w:pPr>
    </w:lvl>
    <w:lvl w:ilvl="8" w:tplc="A2DA09E2" w:tentative="1">
      <w:start w:val="1"/>
      <w:numFmt w:val="decimal"/>
      <w:lvlText w:val="%9)"/>
      <w:lvlJc w:val="left"/>
      <w:pPr>
        <w:tabs>
          <w:tab w:val="num" w:pos="6480"/>
        </w:tabs>
        <w:ind w:left="6480" w:hanging="360"/>
      </w:pPr>
    </w:lvl>
  </w:abstractNum>
  <w:abstractNum w:abstractNumId="6">
    <w:nsid w:val="2ED0144B"/>
    <w:multiLevelType w:val="hybridMultilevel"/>
    <w:tmpl w:val="6F522AF8"/>
    <w:lvl w:ilvl="0" w:tplc="C1964362">
      <w:start w:val="1"/>
      <w:numFmt w:val="bullet"/>
      <w:lvlText w:val="•"/>
      <w:lvlJc w:val="left"/>
      <w:pPr>
        <w:tabs>
          <w:tab w:val="num" w:pos="720"/>
        </w:tabs>
        <w:ind w:left="720" w:hanging="360"/>
      </w:pPr>
      <w:rPr>
        <w:rFonts w:ascii="Arial" w:hAnsi="Arial" w:hint="default"/>
      </w:rPr>
    </w:lvl>
    <w:lvl w:ilvl="1" w:tplc="8C66BA2C" w:tentative="1">
      <w:start w:val="1"/>
      <w:numFmt w:val="bullet"/>
      <w:lvlText w:val="•"/>
      <w:lvlJc w:val="left"/>
      <w:pPr>
        <w:tabs>
          <w:tab w:val="num" w:pos="1440"/>
        </w:tabs>
        <w:ind w:left="1440" w:hanging="360"/>
      </w:pPr>
      <w:rPr>
        <w:rFonts w:ascii="Arial" w:hAnsi="Arial" w:hint="default"/>
      </w:rPr>
    </w:lvl>
    <w:lvl w:ilvl="2" w:tplc="D10430F6" w:tentative="1">
      <w:start w:val="1"/>
      <w:numFmt w:val="bullet"/>
      <w:lvlText w:val="•"/>
      <w:lvlJc w:val="left"/>
      <w:pPr>
        <w:tabs>
          <w:tab w:val="num" w:pos="2160"/>
        </w:tabs>
        <w:ind w:left="2160" w:hanging="360"/>
      </w:pPr>
      <w:rPr>
        <w:rFonts w:ascii="Arial" w:hAnsi="Arial" w:hint="default"/>
      </w:rPr>
    </w:lvl>
    <w:lvl w:ilvl="3" w:tplc="9ED86742" w:tentative="1">
      <w:start w:val="1"/>
      <w:numFmt w:val="bullet"/>
      <w:lvlText w:val="•"/>
      <w:lvlJc w:val="left"/>
      <w:pPr>
        <w:tabs>
          <w:tab w:val="num" w:pos="2880"/>
        </w:tabs>
        <w:ind w:left="2880" w:hanging="360"/>
      </w:pPr>
      <w:rPr>
        <w:rFonts w:ascii="Arial" w:hAnsi="Arial" w:hint="default"/>
      </w:rPr>
    </w:lvl>
    <w:lvl w:ilvl="4" w:tplc="B75828D0" w:tentative="1">
      <w:start w:val="1"/>
      <w:numFmt w:val="bullet"/>
      <w:lvlText w:val="•"/>
      <w:lvlJc w:val="left"/>
      <w:pPr>
        <w:tabs>
          <w:tab w:val="num" w:pos="3600"/>
        </w:tabs>
        <w:ind w:left="3600" w:hanging="360"/>
      </w:pPr>
      <w:rPr>
        <w:rFonts w:ascii="Arial" w:hAnsi="Arial" w:hint="default"/>
      </w:rPr>
    </w:lvl>
    <w:lvl w:ilvl="5" w:tplc="3BC0C700" w:tentative="1">
      <w:start w:val="1"/>
      <w:numFmt w:val="bullet"/>
      <w:lvlText w:val="•"/>
      <w:lvlJc w:val="left"/>
      <w:pPr>
        <w:tabs>
          <w:tab w:val="num" w:pos="4320"/>
        </w:tabs>
        <w:ind w:left="4320" w:hanging="360"/>
      </w:pPr>
      <w:rPr>
        <w:rFonts w:ascii="Arial" w:hAnsi="Arial" w:hint="default"/>
      </w:rPr>
    </w:lvl>
    <w:lvl w:ilvl="6" w:tplc="EB20B61C" w:tentative="1">
      <w:start w:val="1"/>
      <w:numFmt w:val="bullet"/>
      <w:lvlText w:val="•"/>
      <w:lvlJc w:val="left"/>
      <w:pPr>
        <w:tabs>
          <w:tab w:val="num" w:pos="5040"/>
        </w:tabs>
        <w:ind w:left="5040" w:hanging="360"/>
      </w:pPr>
      <w:rPr>
        <w:rFonts w:ascii="Arial" w:hAnsi="Arial" w:hint="default"/>
      </w:rPr>
    </w:lvl>
    <w:lvl w:ilvl="7" w:tplc="C64CFC50" w:tentative="1">
      <w:start w:val="1"/>
      <w:numFmt w:val="bullet"/>
      <w:lvlText w:val="•"/>
      <w:lvlJc w:val="left"/>
      <w:pPr>
        <w:tabs>
          <w:tab w:val="num" w:pos="5760"/>
        </w:tabs>
        <w:ind w:left="5760" w:hanging="360"/>
      </w:pPr>
      <w:rPr>
        <w:rFonts w:ascii="Arial" w:hAnsi="Arial" w:hint="default"/>
      </w:rPr>
    </w:lvl>
    <w:lvl w:ilvl="8" w:tplc="42344C4E" w:tentative="1">
      <w:start w:val="1"/>
      <w:numFmt w:val="bullet"/>
      <w:lvlText w:val="•"/>
      <w:lvlJc w:val="left"/>
      <w:pPr>
        <w:tabs>
          <w:tab w:val="num" w:pos="6480"/>
        </w:tabs>
        <w:ind w:left="6480" w:hanging="360"/>
      </w:pPr>
      <w:rPr>
        <w:rFonts w:ascii="Arial" w:hAnsi="Arial" w:hint="default"/>
      </w:rPr>
    </w:lvl>
  </w:abstractNum>
  <w:abstractNum w:abstractNumId="7">
    <w:nsid w:val="2FAB7FC5"/>
    <w:multiLevelType w:val="hybridMultilevel"/>
    <w:tmpl w:val="E8B04DE4"/>
    <w:lvl w:ilvl="0" w:tplc="8C4E07DC">
      <w:start w:val="1"/>
      <w:numFmt w:val="bullet"/>
      <w:lvlText w:val="•"/>
      <w:lvlJc w:val="left"/>
      <w:pPr>
        <w:tabs>
          <w:tab w:val="num" w:pos="720"/>
        </w:tabs>
        <w:ind w:left="720" w:hanging="360"/>
      </w:pPr>
      <w:rPr>
        <w:rFonts w:ascii="Arial" w:hAnsi="Arial" w:hint="default"/>
      </w:rPr>
    </w:lvl>
    <w:lvl w:ilvl="1" w:tplc="F8F20D2E" w:tentative="1">
      <w:start w:val="1"/>
      <w:numFmt w:val="bullet"/>
      <w:lvlText w:val="•"/>
      <w:lvlJc w:val="left"/>
      <w:pPr>
        <w:tabs>
          <w:tab w:val="num" w:pos="1440"/>
        </w:tabs>
        <w:ind w:left="1440" w:hanging="360"/>
      </w:pPr>
      <w:rPr>
        <w:rFonts w:ascii="Arial" w:hAnsi="Arial" w:hint="default"/>
      </w:rPr>
    </w:lvl>
    <w:lvl w:ilvl="2" w:tplc="FA0C5F6E" w:tentative="1">
      <w:start w:val="1"/>
      <w:numFmt w:val="bullet"/>
      <w:lvlText w:val="•"/>
      <w:lvlJc w:val="left"/>
      <w:pPr>
        <w:tabs>
          <w:tab w:val="num" w:pos="2160"/>
        </w:tabs>
        <w:ind w:left="2160" w:hanging="360"/>
      </w:pPr>
      <w:rPr>
        <w:rFonts w:ascii="Arial" w:hAnsi="Arial" w:hint="default"/>
      </w:rPr>
    </w:lvl>
    <w:lvl w:ilvl="3" w:tplc="7F22C356" w:tentative="1">
      <w:start w:val="1"/>
      <w:numFmt w:val="bullet"/>
      <w:lvlText w:val="•"/>
      <w:lvlJc w:val="left"/>
      <w:pPr>
        <w:tabs>
          <w:tab w:val="num" w:pos="2880"/>
        </w:tabs>
        <w:ind w:left="2880" w:hanging="360"/>
      </w:pPr>
      <w:rPr>
        <w:rFonts w:ascii="Arial" w:hAnsi="Arial" w:hint="default"/>
      </w:rPr>
    </w:lvl>
    <w:lvl w:ilvl="4" w:tplc="6BCABE82" w:tentative="1">
      <w:start w:val="1"/>
      <w:numFmt w:val="bullet"/>
      <w:lvlText w:val="•"/>
      <w:lvlJc w:val="left"/>
      <w:pPr>
        <w:tabs>
          <w:tab w:val="num" w:pos="3600"/>
        </w:tabs>
        <w:ind w:left="3600" w:hanging="360"/>
      </w:pPr>
      <w:rPr>
        <w:rFonts w:ascii="Arial" w:hAnsi="Arial" w:hint="default"/>
      </w:rPr>
    </w:lvl>
    <w:lvl w:ilvl="5" w:tplc="36BA1008" w:tentative="1">
      <w:start w:val="1"/>
      <w:numFmt w:val="bullet"/>
      <w:lvlText w:val="•"/>
      <w:lvlJc w:val="left"/>
      <w:pPr>
        <w:tabs>
          <w:tab w:val="num" w:pos="4320"/>
        </w:tabs>
        <w:ind w:left="4320" w:hanging="360"/>
      </w:pPr>
      <w:rPr>
        <w:rFonts w:ascii="Arial" w:hAnsi="Arial" w:hint="default"/>
      </w:rPr>
    </w:lvl>
    <w:lvl w:ilvl="6" w:tplc="4A9EF572" w:tentative="1">
      <w:start w:val="1"/>
      <w:numFmt w:val="bullet"/>
      <w:lvlText w:val="•"/>
      <w:lvlJc w:val="left"/>
      <w:pPr>
        <w:tabs>
          <w:tab w:val="num" w:pos="5040"/>
        </w:tabs>
        <w:ind w:left="5040" w:hanging="360"/>
      </w:pPr>
      <w:rPr>
        <w:rFonts w:ascii="Arial" w:hAnsi="Arial" w:hint="default"/>
      </w:rPr>
    </w:lvl>
    <w:lvl w:ilvl="7" w:tplc="B734FAEA" w:tentative="1">
      <w:start w:val="1"/>
      <w:numFmt w:val="bullet"/>
      <w:lvlText w:val="•"/>
      <w:lvlJc w:val="left"/>
      <w:pPr>
        <w:tabs>
          <w:tab w:val="num" w:pos="5760"/>
        </w:tabs>
        <w:ind w:left="5760" w:hanging="360"/>
      </w:pPr>
      <w:rPr>
        <w:rFonts w:ascii="Arial" w:hAnsi="Arial" w:hint="default"/>
      </w:rPr>
    </w:lvl>
    <w:lvl w:ilvl="8" w:tplc="913C253A" w:tentative="1">
      <w:start w:val="1"/>
      <w:numFmt w:val="bullet"/>
      <w:lvlText w:val="•"/>
      <w:lvlJc w:val="left"/>
      <w:pPr>
        <w:tabs>
          <w:tab w:val="num" w:pos="6480"/>
        </w:tabs>
        <w:ind w:left="6480" w:hanging="360"/>
      </w:pPr>
      <w:rPr>
        <w:rFonts w:ascii="Arial" w:hAnsi="Arial" w:hint="default"/>
      </w:rPr>
    </w:lvl>
  </w:abstractNum>
  <w:abstractNum w:abstractNumId="8">
    <w:nsid w:val="3957025E"/>
    <w:multiLevelType w:val="hybridMultilevel"/>
    <w:tmpl w:val="2440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6341B"/>
    <w:multiLevelType w:val="hybridMultilevel"/>
    <w:tmpl w:val="6FC8B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1B4ACE"/>
    <w:multiLevelType w:val="hybridMultilevel"/>
    <w:tmpl w:val="0ACC9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7"/>
  </w:num>
  <w:num w:numId="7">
    <w:abstractNumId w:val="6"/>
  </w:num>
  <w:num w:numId="8">
    <w:abstractNumId w:val="8"/>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F2"/>
    <w:rsid w:val="000174EB"/>
    <w:rsid w:val="00031056"/>
    <w:rsid w:val="00072553"/>
    <w:rsid w:val="000738CE"/>
    <w:rsid w:val="00074728"/>
    <w:rsid w:val="000811A0"/>
    <w:rsid w:val="0008415C"/>
    <w:rsid w:val="00095B7A"/>
    <w:rsid w:val="000C530A"/>
    <w:rsid w:val="000D4CAE"/>
    <w:rsid w:val="000D7604"/>
    <w:rsid w:val="000E2DBC"/>
    <w:rsid w:val="000E4AE7"/>
    <w:rsid w:val="000E5C56"/>
    <w:rsid w:val="000F0855"/>
    <w:rsid w:val="000F36F1"/>
    <w:rsid w:val="000F4B26"/>
    <w:rsid w:val="00101B81"/>
    <w:rsid w:val="00103693"/>
    <w:rsid w:val="001118A6"/>
    <w:rsid w:val="001270ED"/>
    <w:rsid w:val="00144630"/>
    <w:rsid w:val="001613A5"/>
    <w:rsid w:val="001706F1"/>
    <w:rsid w:val="0018678B"/>
    <w:rsid w:val="0019315A"/>
    <w:rsid w:val="001A0A75"/>
    <w:rsid w:val="001A433E"/>
    <w:rsid w:val="001B07B5"/>
    <w:rsid w:val="001B7C33"/>
    <w:rsid w:val="001B7F2F"/>
    <w:rsid w:val="001C5594"/>
    <w:rsid w:val="001C6035"/>
    <w:rsid w:val="001E6803"/>
    <w:rsid w:val="001F02EC"/>
    <w:rsid w:val="001F0C55"/>
    <w:rsid w:val="001F127F"/>
    <w:rsid w:val="002057F0"/>
    <w:rsid w:val="0025109A"/>
    <w:rsid w:val="00254E27"/>
    <w:rsid w:val="00265795"/>
    <w:rsid w:val="00273392"/>
    <w:rsid w:val="0027778E"/>
    <w:rsid w:val="00284903"/>
    <w:rsid w:val="002930D3"/>
    <w:rsid w:val="002B2FF9"/>
    <w:rsid w:val="002B54ED"/>
    <w:rsid w:val="002C25EB"/>
    <w:rsid w:val="002E4B55"/>
    <w:rsid w:val="002F2EBE"/>
    <w:rsid w:val="002F362C"/>
    <w:rsid w:val="002F48AA"/>
    <w:rsid w:val="00312912"/>
    <w:rsid w:val="00323FBC"/>
    <w:rsid w:val="00340550"/>
    <w:rsid w:val="003A0C9E"/>
    <w:rsid w:val="003A2709"/>
    <w:rsid w:val="003B3E7B"/>
    <w:rsid w:val="003C3B29"/>
    <w:rsid w:val="003D38EF"/>
    <w:rsid w:val="003D65A6"/>
    <w:rsid w:val="003E55A9"/>
    <w:rsid w:val="003F082A"/>
    <w:rsid w:val="003F22DB"/>
    <w:rsid w:val="004271B3"/>
    <w:rsid w:val="004333BB"/>
    <w:rsid w:val="0043543E"/>
    <w:rsid w:val="004423BF"/>
    <w:rsid w:val="004535BA"/>
    <w:rsid w:val="00457519"/>
    <w:rsid w:val="00484571"/>
    <w:rsid w:val="004909C7"/>
    <w:rsid w:val="00493797"/>
    <w:rsid w:val="00495009"/>
    <w:rsid w:val="004A5870"/>
    <w:rsid w:val="004B1F97"/>
    <w:rsid w:val="004C270D"/>
    <w:rsid w:val="004D21F3"/>
    <w:rsid w:val="004D769E"/>
    <w:rsid w:val="004F5D4D"/>
    <w:rsid w:val="00521957"/>
    <w:rsid w:val="00525837"/>
    <w:rsid w:val="00540427"/>
    <w:rsid w:val="0055345A"/>
    <w:rsid w:val="005545BF"/>
    <w:rsid w:val="00570109"/>
    <w:rsid w:val="0059072C"/>
    <w:rsid w:val="005948B4"/>
    <w:rsid w:val="00594CCF"/>
    <w:rsid w:val="005A5E8C"/>
    <w:rsid w:val="005B79A9"/>
    <w:rsid w:val="005C395C"/>
    <w:rsid w:val="005D14E6"/>
    <w:rsid w:val="005D213C"/>
    <w:rsid w:val="005D2DA5"/>
    <w:rsid w:val="005D3EE5"/>
    <w:rsid w:val="005F0E74"/>
    <w:rsid w:val="005F343B"/>
    <w:rsid w:val="005F6D7C"/>
    <w:rsid w:val="00630B74"/>
    <w:rsid w:val="00651D88"/>
    <w:rsid w:val="00652E59"/>
    <w:rsid w:val="00657872"/>
    <w:rsid w:val="006606A5"/>
    <w:rsid w:val="00660AA4"/>
    <w:rsid w:val="00666147"/>
    <w:rsid w:val="006705B9"/>
    <w:rsid w:val="006774EB"/>
    <w:rsid w:val="0068041D"/>
    <w:rsid w:val="00687E6A"/>
    <w:rsid w:val="00694CDA"/>
    <w:rsid w:val="00695EB7"/>
    <w:rsid w:val="00696A4F"/>
    <w:rsid w:val="0069716A"/>
    <w:rsid w:val="006A796C"/>
    <w:rsid w:val="006B1922"/>
    <w:rsid w:val="006C2B52"/>
    <w:rsid w:val="006D2034"/>
    <w:rsid w:val="006E50C6"/>
    <w:rsid w:val="006F2ED8"/>
    <w:rsid w:val="00711A7C"/>
    <w:rsid w:val="00716722"/>
    <w:rsid w:val="007227A3"/>
    <w:rsid w:val="0072539E"/>
    <w:rsid w:val="0073081C"/>
    <w:rsid w:val="0073190C"/>
    <w:rsid w:val="00737F9E"/>
    <w:rsid w:val="00747506"/>
    <w:rsid w:val="00754EB9"/>
    <w:rsid w:val="00773AE7"/>
    <w:rsid w:val="00776545"/>
    <w:rsid w:val="00785503"/>
    <w:rsid w:val="00787988"/>
    <w:rsid w:val="00796ADB"/>
    <w:rsid w:val="007B6B64"/>
    <w:rsid w:val="007C4F01"/>
    <w:rsid w:val="007D70D1"/>
    <w:rsid w:val="007E096E"/>
    <w:rsid w:val="007E475E"/>
    <w:rsid w:val="0081578E"/>
    <w:rsid w:val="0082135C"/>
    <w:rsid w:val="00824A03"/>
    <w:rsid w:val="008332AD"/>
    <w:rsid w:val="00850D64"/>
    <w:rsid w:val="00864048"/>
    <w:rsid w:val="00866D58"/>
    <w:rsid w:val="00870426"/>
    <w:rsid w:val="0087177B"/>
    <w:rsid w:val="008752AE"/>
    <w:rsid w:val="0088237A"/>
    <w:rsid w:val="00884A69"/>
    <w:rsid w:val="00896D4E"/>
    <w:rsid w:val="008A57B9"/>
    <w:rsid w:val="008B0E9C"/>
    <w:rsid w:val="008C75AB"/>
    <w:rsid w:val="008E05F6"/>
    <w:rsid w:val="008F59DB"/>
    <w:rsid w:val="0090133C"/>
    <w:rsid w:val="009321CB"/>
    <w:rsid w:val="00933F11"/>
    <w:rsid w:val="00944EF1"/>
    <w:rsid w:val="0095722F"/>
    <w:rsid w:val="00961843"/>
    <w:rsid w:val="00962986"/>
    <w:rsid w:val="009676B5"/>
    <w:rsid w:val="00973CBE"/>
    <w:rsid w:val="00990A22"/>
    <w:rsid w:val="009A6265"/>
    <w:rsid w:val="009B3893"/>
    <w:rsid w:val="009B7A0D"/>
    <w:rsid w:val="009C27D6"/>
    <w:rsid w:val="009D3EA1"/>
    <w:rsid w:val="009D5C46"/>
    <w:rsid w:val="009D6F79"/>
    <w:rsid w:val="009E2C6D"/>
    <w:rsid w:val="009F5ADA"/>
    <w:rsid w:val="009F6E50"/>
    <w:rsid w:val="00A01644"/>
    <w:rsid w:val="00A02F4E"/>
    <w:rsid w:val="00A064E9"/>
    <w:rsid w:val="00A1693A"/>
    <w:rsid w:val="00A23219"/>
    <w:rsid w:val="00A34975"/>
    <w:rsid w:val="00A37C04"/>
    <w:rsid w:val="00A45924"/>
    <w:rsid w:val="00A55FAA"/>
    <w:rsid w:val="00A61AD4"/>
    <w:rsid w:val="00A659F0"/>
    <w:rsid w:val="00A745D0"/>
    <w:rsid w:val="00A80238"/>
    <w:rsid w:val="00A81EA8"/>
    <w:rsid w:val="00AA491E"/>
    <w:rsid w:val="00AB02EE"/>
    <w:rsid w:val="00AC1EF3"/>
    <w:rsid w:val="00AC5922"/>
    <w:rsid w:val="00AC5DD2"/>
    <w:rsid w:val="00AD3FC8"/>
    <w:rsid w:val="00AE708D"/>
    <w:rsid w:val="00AF6332"/>
    <w:rsid w:val="00B04076"/>
    <w:rsid w:val="00B0503D"/>
    <w:rsid w:val="00B310BE"/>
    <w:rsid w:val="00B311E6"/>
    <w:rsid w:val="00B44B3B"/>
    <w:rsid w:val="00B46FA8"/>
    <w:rsid w:val="00B526B2"/>
    <w:rsid w:val="00B623B6"/>
    <w:rsid w:val="00B62EB4"/>
    <w:rsid w:val="00B67AE7"/>
    <w:rsid w:val="00B742D5"/>
    <w:rsid w:val="00B74634"/>
    <w:rsid w:val="00B74EF4"/>
    <w:rsid w:val="00B91EE7"/>
    <w:rsid w:val="00BB6FA3"/>
    <w:rsid w:val="00BB793A"/>
    <w:rsid w:val="00BD006C"/>
    <w:rsid w:val="00BE1887"/>
    <w:rsid w:val="00BF256A"/>
    <w:rsid w:val="00C47283"/>
    <w:rsid w:val="00C52749"/>
    <w:rsid w:val="00C538DF"/>
    <w:rsid w:val="00C65DB9"/>
    <w:rsid w:val="00C815D6"/>
    <w:rsid w:val="00CE21D2"/>
    <w:rsid w:val="00CE439F"/>
    <w:rsid w:val="00CE4782"/>
    <w:rsid w:val="00CE5E4B"/>
    <w:rsid w:val="00CF5E0B"/>
    <w:rsid w:val="00CF727D"/>
    <w:rsid w:val="00D05A75"/>
    <w:rsid w:val="00D0646A"/>
    <w:rsid w:val="00D06798"/>
    <w:rsid w:val="00D07A78"/>
    <w:rsid w:val="00D354AC"/>
    <w:rsid w:val="00D46BC0"/>
    <w:rsid w:val="00D51F84"/>
    <w:rsid w:val="00D660C9"/>
    <w:rsid w:val="00D7681A"/>
    <w:rsid w:val="00D84330"/>
    <w:rsid w:val="00D8599F"/>
    <w:rsid w:val="00D95AF8"/>
    <w:rsid w:val="00DA02EA"/>
    <w:rsid w:val="00DA36C9"/>
    <w:rsid w:val="00DA42D1"/>
    <w:rsid w:val="00DB7E45"/>
    <w:rsid w:val="00DE2C22"/>
    <w:rsid w:val="00DE2F53"/>
    <w:rsid w:val="00DF3F95"/>
    <w:rsid w:val="00E065B5"/>
    <w:rsid w:val="00E075FB"/>
    <w:rsid w:val="00E10FF6"/>
    <w:rsid w:val="00E16FAB"/>
    <w:rsid w:val="00E23F51"/>
    <w:rsid w:val="00E27849"/>
    <w:rsid w:val="00E3021A"/>
    <w:rsid w:val="00E31E07"/>
    <w:rsid w:val="00E330E0"/>
    <w:rsid w:val="00E33832"/>
    <w:rsid w:val="00E36158"/>
    <w:rsid w:val="00E41EBE"/>
    <w:rsid w:val="00E45EB9"/>
    <w:rsid w:val="00E46B2A"/>
    <w:rsid w:val="00E5736A"/>
    <w:rsid w:val="00E66CC3"/>
    <w:rsid w:val="00E7548F"/>
    <w:rsid w:val="00E77AC8"/>
    <w:rsid w:val="00E87826"/>
    <w:rsid w:val="00E90164"/>
    <w:rsid w:val="00E94436"/>
    <w:rsid w:val="00EB0ABB"/>
    <w:rsid w:val="00EB1400"/>
    <w:rsid w:val="00EC2837"/>
    <w:rsid w:val="00EC458C"/>
    <w:rsid w:val="00EE2554"/>
    <w:rsid w:val="00EE78D0"/>
    <w:rsid w:val="00EF4A57"/>
    <w:rsid w:val="00F02691"/>
    <w:rsid w:val="00F02F1C"/>
    <w:rsid w:val="00F15582"/>
    <w:rsid w:val="00F21DC6"/>
    <w:rsid w:val="00F40F9C"/>
    <w:rsid w:val="00F51575"/>
    <w:rsid w:val="00F56D99"/>
    <w:rsid w:val="00F8543C"/>
    <w:rsid w:val="00F874F2"/>
    <w:rsid w:val="00FC03B4"/>
    <w:rsid w:val="00FD1EB3"/>
    <w:rsid w:val="00FE7DA3"/>
    <w:rsid w:val="00FF26C6"/>
    <w:rsid w:val="00FF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EB41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D99"/>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1270ED"/>
    <w:pPr>
      <w:tabs>
        <w:tab w:val="center" w:pos="4320"/>
        <w:tab w:val="right" w:pos="8640"/>
      </w:tabs>
    </w:pPr>
  </w:style>
  <w:style w:type="character" w:customStyle="1" w:styleId="FooterChar">
    <w:name w:val="Footer Char"/>
    <w:basedOn w:val="DefaultParagraphFont"/>
    <w:link w:val="Footer"/>
    <w:uiPriority w:val="99"/>
    <w:rsid w:val="001270ED"/>
    <w:rPr>
      <w:lang w:val="en-GB"/>
    </w:rPr>
  </w:style>
  <w:style w:type="character" w:styleId="PageNumber">
    <w:name w:val="page number"/>
    <w:basedOn w:val="DefaultParagraphFont"/>
    <w:uiPriority w:val="99"/>
    <w:semiHidden/>
    <w:unhideWhenUsed/>
    <w:rsid w:val="001270ED"/>
  </w:style>
  <w:style w:type="character" w:styleId="Hyperlink">
    <w:name w:val="Hyperlink"/>
    <w:basedOn w:val="DefaultParagraphFont"/>
    <w:uiPriority w:val="99"/>
    <w:unhideWhenUsed/>
    <w:rsid w:val="00B0503D"/>
    <w:rPr>
      <w:color w:val="0000FF" w:themeColor="hyperlink"/>
      <w:u w:val="single"/>
    </w:rPr>
  </w:style>
  <w:style w:type="paragraph" w:styleId="ListParagraph">
    <w:name w:val="List Paragraph"/>
    <w:basedOn w:val="Normal"/>
    <w:uiPriority w:val="34"/>
    <w:qFormat/>
    <w:rsid w:val="004D769E"/>
    <w:pPr>
      <w:ind w:left="720"/>
      <w:contextualSpacing/>
    </w:pPr>
  </w:style>
  <w:style w:type="table" w:styleId="TableGrid">
    <w:name w:val="Table Grid"/>
    <w:basedOn w:val="TableNormal"/>
    <w:uiPriority w:val="59"/>
    <w:rsid w:val="0028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C55"/>
    <w:rPr>
      <w:rFonts w:ascii="Lucida Grande" w:hAnsi="Lucida Grande"/>
      <w:sz w:val="18"/>
      <w:szCs w:val="18"/>
    </w:rPr>
  </w:style>
  <w:style w:type="character" w:customStyle="1" w:styleId="BalloonTextChar">
    <w:name w:val="Balloon Text Char"/>
    <w:basedOn w:val="DefaultParagraphFont"/>
    <w:link w:val="BalloonText"/>
    <w:uiPriority w:val="99"/>
    <w:semiHidden/>
    <w:rsid w:val="001F0C55"/>
    <w:rPr>
      <w:rFonts w:ascii="Lucida Grande" w:hAnsi="Lucida Grande"/>
      <w:sz w:val="18"/>
      <w:szCs w:val="18"/>
      <w:lang w:val="en-GB"/>
    </w:rPr>
  </w:style>
  <w:style w:type="character" w:styleId="Emphasis">
    <w:name w:val="Emphasis"/>
    <w:basedOn w:val="DefaultParagraphFont"/>
    <w:uiPriority w:val="20"/>
    <w:qFormat/>
    <w:rsid w:val="00254E27"/>
    <w:rPr>
      <w:i/>
      <w:iCs/>
    </w:rPr>
  </w:style>
  <w:style w:type="character" w:styleId="FollowedHyperlink">
    <w:name w:val="FollowedHyperlink"/>
    <w:basedOn w:val="DefaultParagraphFont"/>
    <w:uiPriority w:val="99"/>
    <w:semiHidden/>
    <w:unhideWhenUsed/>
    <w:rsid w:val="00254E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D99"/>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1270ED"/>
    <w:pPr>
      <w:tabs>
        <w:tab w:val="center" w:pos="4320"/>
        <w:tab w:val="right" w:pos="8640"/>
      </w:tabs>
    </w:pPr>
  </w:style>
  <w:style w:type="character" w:customStyle="1" w:styleId="FooterChar">
    <w:name w:val="Footer Char"/>
    <w:basedOn w:val="DefaultParagraphFont"/>
    <w:link w:val="Footer"/>
    <w:uiPriority w:val="99"/>
    <w:rsid w:val="001270ED"/>
    <w:rPr>
      <w:lang w:val="en-GB"/>
    </w:rPr>
  </w:style>
  <w:style w:type="character" w:styleId="PageNumber">
    <w:name w:val="page number"/>
    <w:basedOn w:val="DefaultParagraphFont"/>
    <w:uiPriority w:val="99"/>
    <w:semiHidden/>
    <w:unhideWhenUsed/>
    <w:rsid w:val="001270ED"/>
  </w:style>
  <w:style w:type="character" w:styleId="Hyperlink">
    <w:name w:val="Hyperlink"/>
    <w:basedOn w:val="DefaultParagraphFont"/>
    <w:uiPriority w:val="99"/>
    <w:unhideWhenUsed/>
    <w:rsid w:val="00B0503D"/>
    <w:rPr>
      <w:color w:val="0000FF" w:themeColor="hyperlink"/>
      <w:u w:val="single"/>
    </w:rPr>
  </w:style>
  <w:style w:type="paragraph" w:styleId="ListParagraph">
    <w:name w:val="List Paragraph"/>
    <w:basedOn w:val="Normal"/>
    <w:uiPriority w:val="34"/>
    <w:qFormat/>
    <w:rsid w:val="004D769E"/>
    <w:pPr>
      <w:ind w:left="720"/>
      <w:contextualSpacing/>
    </w:pPr>
  </w:style>
  <w:style w:type="table" w:styleId="TableGrid">
    <w:name w:val="Table Grid"/>
    <w:basedOn w:val="TableNormal"/>
    <w:uiPriority w:val="59"/>
    <w:rsid w:val="0028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C55"/>
    <w:rPr>
      <w:rFonts w:ascii="Lucida Grande" w:hAnsi="Lucida Grande"/>
      <w:sz w:val="18"/>
      <w:szCs w:val="18"/>
    </w:rPr>
  </w:style>
  <w:style w:type="character" w:customStyle="1" w:styleId="BalloonTextChar">
    <w:name w:val="Balloon Text Char"/>
    <w:basedOn w:val="DefaultParagraphFont"/>
    <w:link w:val="BalloonText"/>
    <w:uiPriority w:val="99"/>
    <w:semiHidden/>
    <w:rsid w:val="001F0C55"/>
    <w:rPr>
      <w:rFonts w:ascii="Lucida Grande" w:hAnsi="Lucida Grande"/>
      <w:sz w:val="18"/>
      <w:szCs w:val="18"/>
      <w:lang w:val="en-GB"/>
    </w:rPr>
  </w:style>
  <w:style w:type="character" w:styleId="Emphasis">
    <w:name w:val="Emphasis"/>
    <w:basedOn w:val="DefaultParagraphFont"/>
    <w:uiPriority w:val="20"/>
    <w:qFormat/>
    <w:rsid w:val="00254E27"/>
    <w:rPr>
      <w:i/>
      <w:iCs/>
    </w:rPr>
  </w:style>
  <w:style w:type="character" w:styleId="FollowedHyperlink">
    <w:name w:val="FollowedHyperlink"/>
    <w:basedOn w:val="DefaultParagraphFont"/>
    <w:uiPriority w:val="99"/>
    <w:semiHidden/>
    <w:unhideWhenUsed/>
    <w:rsid w:val="00254E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2419">
      <w:bodyDiv w:val="1"/>
      <w:marLeft w:val="0"/>
      <w:marRight w:val="0"/>
      <w:marTop w:val="0"/>
      <w:marBottom w:val="0"/>
      <w:divBdr>
        <w:top w:val="none" w:sz="0" w:space="0" w:color="auto"/>
        <w:left w:val="none" w:sz="0" w:space="0" w:color="auto"/>
        <w:bottom w:val="none" w:sz="0" w:space="0" w:color="auto"/>
        <w:right w:val="none" w:sz="0" w:space="0" w:color="auto"/>
      </w:divBdr>
      <w:divsChild>
        <w:div w:id="1179999103">
          <w:marLeft w:val="547"/>
          <w:marRight w:val="0"/>
          <w:marTop w:val="48"/>
          <w:marBottom w:val="0"/>
          <w:divBdr>
            <w:top w:val="none" w:sz="0" w:space="0" w:color="auto"/>
            <w:left w:val="none" w:sz="0" w:space="0" w:color="auto"/>
            <w:bottom w:val="none" w:sz="0" w:space="0" w:color="auto"/>
            <w:right w:val="none" w:sz="0" w:space="0" w:color="auto"/>
          </w:divBdr>
        </w:div>
        <w:div w:id="1736391117">
          <w:marLeft w:val="547"/>
          <w:marRight w:val="0"/>
          <w:marTop w:val="48"/>
          <w:marBottom w:val="0"/>
          <w:divBdr>
            <w:top w:val="none" w:sz="0" w:space="0" w:color="auto"/>
            <w:left w:val="none" w:sz="0" w:space="0" w:color="auto"/>
            <w:bottom w:val="none" w:sz="0" w:space="0" w:color="auto"/>
            <w:right w:val="none" w:sz="0" w:space="0" w:color="auto"/>
          </w:divBdr>
        </w:div>
      </w:divsChild>
    </w:div>
    <w:div w:id="204218233">
      <w:bodyDiv w:val="1"/>
      <w:marLeft w:val="0"/>
      <w:marRight w:val="0"/>
      <w:marTop w:val="0"/>
      <w:marBottom w:val="0"/>
      <w:divBdr>
        <w:top w:val="none" w:sz="0" w:space="0" w:color="auto"/>
        <w:left w:val="none" w:sz="0" w:space="0" w:color="auto"/>
        <w:bottom w:val="none" w:sz="0" w:space="0" w:color="auto"/>
        <w:right w:val="none" w:sz="0" w:space="0" w:color="auto"/>
      </w:divBdr>
      <w:divsChild>
        <w:div w:id="623732731">
          <w:marLeft w:val="547"/>
          <w:marRight w:val="0"/>
          <w:marTop w:val="96"/>
          <w:marBottom w:val="0"/>
          <w:divBdr>
            <w:top w:val="none" w:sz="0" w:space="0" w:color="auto"/>
            <w:left w:val="none" w:sz="0" w:space="0" w:color="auto"/>
            <w:bottom w:val="none" w:sz="0" w:space="0" w:color="auto"/>
            <w:right w:val="none" w:sz="0" w:space="0" w:color="auto"/>
          </w:divBdr>
        </w:div>
        <w:div w:id="498229457">
          <w:marLeft w:val="547"/>
          <w:marRight w:val="0"/>
          <w:marTop w:val="96"/>
          <w:marBottom w:val="0"/>
          <w:divBdr>
            <w:top w:val="none" w:sz="0" w:space="0" w:color="auto"/>
            <w:left w:val="none" w:sz="0" w:space="0" w:color="auto"/>
            <w:bottom w:val="none" w:sz="0" w:space="0" w:color="auto"/>
            <w:right w:val="none" w:sz="0" w:space="0" w:color="auto"/>
          </w:divBdr>
        </w:div>
        <w:div w:id="1628268926">
          <w:marLeft w:val="547"/>
          <w:marRight w:val="0"/>
          <w:marTop w:val="96"/>
          <w:marBottom w:val="0"/>
          <w:divBdr>
            <w:top w:val="none" w:sz="0" w:space="0" w:color="auto"/>
            <w:left w:val="none" w:sz="0" w:space="0" w:color="auto"/>
            <w:bottom w:val="none" w:sz="0" w:space="0" w:color="auto"/>
            <w:right w:val="none" w:sz="0" w:space="0" w:color="auto"/>
          </w:divBdr>
        </w:div>
        <w:div w:id="518084279">
          <w:marLeft w:val="547"/>
          <w:marRight w:val="0"/>
          <w:marTop w:val="96"/>
          <w:marBottom w:val="0"/>
          <w:divBdr>
            <w:top w:val="none" w:sz="0" w:space="0" w:color="auto"/>
            <w:left w:val="none" w:sz="0" w:space="0" w:color="auto"/>
            <w:bottom w:val="none" w:sz="0" w:space="0" w:color="auto"/>
            <w:right w:val="none" w:sz="0" w:space="0" w:color="auto"/>
          </w:divBdr>
        </w:div>
        <w:div w:id="1877307317">
          <w:marLeft w:val="547"/>
          <w:marRight w:val="0"/>
          <w:marTop w:val="96"/>
          <w:marBottom w:val="0"/>
          <w:divBdr>
            <w:top w:val="none" w:sz="0" w:space="0" w:color="auto"/>
            <w:left w:val="none" w:sz="0" w:space="0" w:color="auto"/>
            <w:bottom w:val="none" w:sz="0" w:space="0" w:color="auto"/>
            <w:right w:val="none" w:sz="0" w:space="0" w:color="auto"/>
          </w:divBdr>
        </w:div>
        <w:div w:id="1135635944">
          <w:marLeft w:val="547"/>
          <w:marRight w:val="0"/>
          <w:marTop w:val="96"/>
          <w:marBottom w:val="0"/>
          <w:divBdr>
            <w:top w:val="none" w:sz="0" w:space="0" w:color="auto"/>
            <w:left w:val="none" w:sz="0" w:space="0" w:color="auto"/>
            <w:bottom w:val="none" w:sz="0" w:space="0" w:color="auto"/>
            <w:right w:val="none" w:sz="0" w:space="0" w:color="auto"/>
          </w:divBdr>
        </w:div>
        <w:div w:id="681010485">
          <w:marLeft w:val="547"/>
          <w:marRight w:val="0"/>
          <w:marTop w:val="96"/>
          <w:marBottom w:val="0"/>
          <w:divBdr>
            <w:top w:val="none" w:sz="0" w:space="0" w:color="auto"/>
            <w:left w:val="none" w:sz="0" w:space="0" w:color="auto"/>
            <w:bottom w:val="none" w:sz="0" w:space="0" w:color="auto"/>
            <w:right w:val="none" w:sz="0" w:space="0" w:color="auto"/>
          </w:divBdr>
        </w:div>
        <w:div w:id="1909219360">
          <w:marLeft w:val="547"/>
          <w:marRight w:val="0"/>
          <w:marTop w:val="96"/>
          <w:marBottom w:val="0"/>
          <w:divBdr>
            <w:top w:val="none" w:sz="0" w:space="0" w:color="auto"/>
            <w:left w:val="none" w:sz="0" w:space="0" w:color="auto"/>
            <w:bottom w:val="none" w:sz="0" w:space="0" w:color="auto"/>
            <w:right w:val="none" w:sz="0" w:space="0" w:color="auto"/>
          </w:divBdr>
        </w:div>
        <w:div w:id="679551402">
          <w:marLeft w:val="547"/>
          <w:marRight w:val="0"/>
          <w:marTop w:val="96"/>
          <w:marBottom w:val="0"/>
          <w:divBdr>
            <w:top w:val="none" w:sz="0" w:space="0" w:color="auto"/>
            <w:left w:val="none" w:sz="0" w:space="0" w:color="auto"/>
            <w:bottom w:val="none" w:sz="0" w:space="0" w:color="auto"/>
            <w:right w:val="none" w:sz="0" w:space="0" w:color="auto"/>
          </w:divBdr>
        </w:div>
      </w:divsChild>
    </w:div>
    <w:div w:id="241188213">
      <w:bodyDiv w:val="1"/>
      <w:marLeft w:val="0"/>
      <w:marRight w:val="0"/>
      <w:marTop w:val="0"/>
      <w:marBottom w:val="0"/>
      <w:divBdr>
        <w:top w:val="none" w:sz="0" w:space="0" w:color="auto"/>
        <w:left w:val="none" w:sz="0" w:space="0" w:color="auto"/>
        <w:bottom w:val="none" w:sz="0" w:space="0" w:color="auto"/>
        <w:right w:val="none" w:sz="0" w:space="0" w:color="auto"/>
      </w:divBdr>
    </w:div>
    <w:div w:id="367529304">
      <w:bodyDiv w:val="1"/>
      <w:marLeft w:val="0"/>
      <w:marRight w:val="0"/>
      <w:marTop w:val="0"/>
      <w:marBottom w:val="0"/>
      <w:divBdr>
        <w:top w:val="none" w:sz="0" w:space="0" w:color="auto"/>
        <w:left w:val="none" w:sz="0" w:space="0" w:color="auto"/>
        <w:bottom w:val="none" w:sz="0" w:space="0" w:color="auto"/>
        <w:right w:val="none" w:sz="0" w:space="0" w:color="auto"/>
      </w:divBdr>
    </w:div>
    <w:div w:id="383606847">
      <w:bodyDiv w:val="1"/>
      <w:marLeft w:val="0"/>
      <w:marRight w:val="0"/>
      <w:marTop w:val="0"/>
      <w:marBottom w:val="0"/>
      <w:divBdr>
        <w:top w:val="none" w:sz="0" w:space="0" w:color="auto"/>
        <w:left w:val="none" w:sz="0" w:space="0" w:color="auto"/>
        <w:bottom w:val="none" w:sz="0" w:space="0" w:color="auto"/>
        <w:right w:val="none" w:sz="0" w:space="0" w:color="auto"/>
      </w:divBdr>
    </w:div>
    <w:div w:id="516622359">
      <w:bodyDiv w:val="1"/>
      <w:marLeft w:val="0"/>
      <w:marRight w:val="0"/>
      <w:marTop w:val="0"/>
      <w:marBottom w:val="0"/>
      <w:divBdr>
        <w:top w:val="none" w:sz="0" w:space="0" w:color="auto"/>
        <w:left w:val="none" w:sz="0" w:space="0" w:color="auto"/>
        <w:bottom w:val="none" w:sz="0" w:space="0" w:color="auto"/>
        <w:right w:val="none" w:sz="0" w:space="0" w:color="auto"/>
      </w:divBdr>
      <w:divsChild>
        <w:div w:id="742067435">
          <w:marLeft w:val="547"/>
          <w:marRight w:val="0"/>
          <w:marTop w:val="48"/>
          <w:marBottom w:val="0"/>
          <w:divBdr>
            <w:top w:val="none" w:sz="0" w:space="0" w:color="auto"/>
            <w:left w:val="none" w:sz="0" w:space="0" w:color="auto"/>
            <w:bottom w:val="none" w:sz="0" w:space="0" w:color="auto"/>
            <w:right w:val="none" w:sz="0" w:space="0" w:color="auto"/>
          </w:divBdr>
        </w:div>
      </w:divsChild>
    </w:div>
    <w:div w:id="543251082">
      <w:bodyDiv w:val="1"/>
      <w:marLeft w:val="0"/>
      <w:marRight w:val="0"/>
      <w:marTop w:val="0"/>
      <w:marBottom w:val="0"/>
      <w:divBdr>
        <w:top w:val="none" w:sz="0" w:space="0" w:color="auto"/>
        <w:left w:val="none" w:sz="0" w:space="0" w:color="auto"/>
        <w:bottom w:val="none" w:sz="0" w:space="0" w:color="auto"/>
        <w:right w:val="none" w:sz="0" w:space="0" w:color="auto"/>
      </w:divBdr>
    </w:div>
    <w:div w:id="626084240">
      <w:bodyDiv w:val="1"/>
      <w:marLeft w:val="0"/>
      <w:marRight w:val="0"/>
      <w:marTop w:val="0"/>
      <w:marBottom w:val="0"/>
      <w:divBdr>
        <w:top w:val="none" w:sz="0" w:space="0" w:color="auto"/>
        <w:left w:val="none" w:sz="0" w:space="0" w:color="auto"/>
        <w:bottom w:val="none" w:sz="0" w:space="0" w:color="auto"/>
        <w:right w:val="none" w:sz="0" w:space="0" w:color="auto"/>
      </w:divBdr>
    </w:div>
    <w:div w:id="646328066">
      <w:bodyDiv w:val="1"/>
      <w:marLeft w:val="0"/>
      <w:marRight w:val="0"/>
      <w:marTop w:val="0"/>
      <w:marBottom w:val="0"/>
      <w:divBdr>
        <w:top w:val="none" w:sz="0" w:space="0" w:color="auto"/>
        <w:left w:val="none" w:sz="0" w:space="0" w:color="auto"/>
        <w:bottom w:val="none" w:sz="0" w:space="0" w:color="auto"/>
        <w:right w:val="none" w:sz="0" w:space="0" w:color="auto"/>
      </w:divBdr>
    </w:div>
    <w:div w:id="794642508">
      <w:bodyDiv w:val="1"/>
      <w:marLeft w:val="0"/>
      <w:marRight w:val="0"/>
      <w:marTop w:val="0"/>
      <w:marBottom w:val="0"/>
      <w:divBdr>
        <w:top w:val="none" w:sz="0" w:space="0" w:color="auto"/>
        <w:left w:val="none" w:sz="0" w:space="0" w:color="auto"/>
        <w:bottom w:val="none" w:sz="0" w:space="0" w:color="auto"/>
        <w:right w:val="none" w:sz="0" w:space="0" w:color="auto"/>
      </w:divBdr>
      <w:divsChild>
        <w:div w:id="1141075260">
          <w:marLeft w:val="547"/>
          <w:marRight w:val="0"/>
          <w:marTop w:val="48"/>
          <w:marBottom w:val="0"/>
          <w:divBdr>
            <w:top w:val="none" w:sz="0" w:space="0" w:color="auto"/>
            <w:left w:val="none" w:sz="0" w:space="0" w:color="auto"/>
            <w:bottom w:val="none" w:sz="0" w:space="0" w:color="auto"/>
            <w:right w:val="none" w:sz="0" w:space="0" w:color="auto"/>
          </w:divBdr>
        </w:div>
      </w:divsChild>
    </w:div>
    <w:div w:id="882251980">
      <w:bodyDiv w:val="1"/>
      <w:marLeft w:val="0"/>
      <w:marRight w:val="0"/>
      <w:marTop w:val="0"/>
      <w:marBottom w:val="0"/>
      <w:divBdr>
        <w:top w:val="none" w:sz="0" w:space="0" w:color="auto"/>
        <w:left w:val="none" w:sz="0" w:space="0" w:color="auto"/>
        <w:bottom w:val="none" w:sz="0" w:space="0" w:color="auto"/>
        <w:right w:val="none" w:sz="0" w:space="0" w:color="auto"/>
      </w:divBdr>
    </w:div>
    <w:div w:id="1299872370">
      <w:bodyDiv w:val="1"/>
      <w:marLeft w:val="0"/>
      <w:marRight w:val="0"/>
      <w:marTop w:val="0"/>
      <w:marBottom w:val="0"/>
      <w:divBdr>
        <w:top w:val="none" w:sz="0" w:space="0" w:color="auto"/>
        <w:left w:val="none" w:sz="0" w:space="0" w:color="auto"/>
        <w:bottom w:val="none" w:sz="0" w:space="0" w:color="auto"/>
        <w:right w:val="none" w:sz="0" w:space="0" w:color="auto"/>
      </w:divBdr>
      <w:divsChild>
        <w:div w:id="1326930749">
          <w:marLeft w:val="547"/>
          <w:marRight w:val="0"/>
          <w:marTop w:val="48"/>
          <w:marBottom w:val="0"/>
          <w:divBdr>
            <w:top w:val="none" w:sz="0" w:space="0" w:color="auto"/>
            <w:left w:val="none" w:sz="0" w:space="0" w:color="auto"/>
            <w:bottom w:val="none" w:sz="0" w:space="0" w:color="auto"/>
            <w:right w:val="none" w:sz="0" w:space="0" w:color="auto"/>
          </w:divBdr>
        </w:div>
      </w:divsChild>
    </w:div>
    <w:div w:id="1418597298">
      <w:bodyDiv w:val="1"/>
      <w:marLeft w:val="0"/>
      <w:marRight w:val="0"/>
      <w:marTop w:val="0"/>
      <w:marBottom w:val="0"/>
      <w:divBdr>
        <w:top w:val="none" w:sz="0" w:space="0" w:color="auto"/>
        <w:left w:val="none" w:sz="0" w:space="0" w:color="auto"/>
        <w:bottom w:val="none" w:sz="0" w:space="0" w:color="auto"/>
        <w:right w:val="none" w:sz="0" w:space="0" w:color="auto"/>
      </w:divBdr>
    </w:div>
    <w:div w:id="1611543555">
      <w:bodyDiv w:val="1"/>
      <w:marLeft w:val="0"/>
      <w:marRight w:val="0"/>
      <w:marTop w:val="0"/>
      <w:marBottom w:val="0"/>
      <w:divBdr>
        <w:top w:val="none" w:sz="0" w:space="0" w:color="auto"/>
        <w:left w:val="none" w:sz="0" w:space="0" w:color="auto"/>
        <w:bottom w:val="none" w:sz="0" w:space="0" w:color="auto"/>
        <w:right w:val="none" w:sz="0" w:space="0" w:color="auto"/>
      </w:divBdr>
      <w:divsChild>
        <w:div w:id="944845470">
          <w:marLeft w:val="547"/>
          <w:marRight w:val="0"/>
          <w:marTop w:val="72"/>
          <w:marBottom w:val="0"/>
          <w:divBdr>
            <w:top w:val="none" w:sz="0" w:space="0" w:color="auto"/>
            <w:left w:val="none" w:sz="0" w:space="0" w:color="auto"/>
            <w:bottom w:val="none" w:sz="0" w:space="0" w:color="auto"/>
            <w:right w:val="none" w:sz="0" w:space="0" w:color="auto"/>
          </w:divBdr>
        </w:div>
        <w:div w:id="277566552">
          <w:marLeft w:val="547"/>
          <w:marRight w:val="0"/>
          <w:marTop w:val="72"/>
          <w:marBottom w:val="0"/>
          <w:divBdr>
            <w:top w:val="none" w:sz="0" w:space="0" w:color="auto"/>
            <w:left w:val="none" w:sz="0" w:space="0" w:color="auto"/>
            <w:bottom w:val="none" w:sz="0" w:space="0" w:color="auto"/>
            <w:right w:val="none" w:sz="0" w:space="0" w:color="auto"/>
          </w:divBdr>
        </w:div>
        <w:div w:id="230696878">
          <w:marLeft w:val="547"/>
          <w:marRight w:val="0"/>
          <w:marTop w:val="72"/>
          <w:marBottom w:val="0"/>
          <w:divBdr>
            <w:top w:val="none" w:sz="0" w:space="0" w:color="auto"/>
            <w:left w:val="none" w:sz="0" w:space="0" w:color="auto"/>
            <w:bottom w:val="none" w:sz="0" w:space="0" w:color="auto"/>
            <w:right w:val="none" w:sz="0" w:space="0" w:color="auto"/>
          </w:divBdr>
        </w:div>
        <w:div w:id="597181997">
          <w:marLeft w:val="547"/>
          <w:marRight w:val="0"/>
          <w:marTop w:val="72"/>
          <w:marBottom w:val="0"/>
          <w:divBdr>
            <w:top w:val="none" w:sz="0" w:space="0" w:color="auto"/>
            <w:left w:val="none" w:sz="0" w:space="0" w:color="auto"/>
            <w:bottom w:val="none" w:sz="0" w:space="0" w:color="auto"/>
            <w:right w:val="none" w:sz="0" w:space="0" w:color="auto"/>
          </w:divBdr>
        </w:div>
        <w:div w:id="1468552300">
          <w:marLeft w:val="547"/>
          <w:marRight w:val="0"/>
          <w:marTop w:val="72"/>
          <w:marBottom w:val="0"/>
          <w:divBdr>
            <w:top w:val="none" w:sz="0" w:space="0" w:color="auto"/>
            <w:left w:val="none" w:sz="0" w:space="0" w:color="auto"/>
            <w:bottom w:val="none" w:sz="0" w:space="0" w:color="auto"/>
            <w:right w:val="none" w:sz="0" w:space="0" w:color="auto"/>
          </w:divBdr>
        </w:div>
        <w:div w:id="940337184">
          <w:marLeft w:val="547"/>
          <w:marRight w:val="0"/>
          <w:marTop w:val="72"/>
          <w:marBottom w:val="0"/>
          <w:divBdr>
            <w:top w:val="none" w:sz="0" w:space="0" w:color="auto"/>
            <w:left w:val="none" w:sz="0" w:space="0" w:color="auto"/>
            <w:bottom w:val="none" w:sz="0" w:space="0" w:color="auto"/>
            <w:right w:val="none" w:sz="0" w:space="0" w:color="auto"/>
          </w:divBdr>
        </w:div>
        <w:div w:id="852572297">
          <w:marLeft w:val="547"/>
          <w:marRight w:val="0"/>
          <w:marTop w:val="72"/>
          <w:marBottom w:val="0"/>
          <w:divBdr>
            <w:top w:val="none" w:sz="0" w:space="0" w:color="auto"/>
            <w:left w:val="none" w:sz="0" w:space="0" w:color="auto"/>
            <w:bottom w:val="none" w:sz="0" w:space="0" w:color="auto"/>
            <w:right w:val="none" w:sz="0" w:space="0" w:color="auto"/>
          </w:divBdr>
        </w:div>
        <w:div w:id="586573615">
          <w:marLeft w:val="547"/>
          <w:marRight w:val="0"/>
          <w:marTop w:val="72"/>
          <w:marBottom w:val="0"/>
          <w:divBdr>
            <w:top w:val="none" w:sz="0" w:space="0" w:color="auto"/>
            <w:left w:val="none" w:sz="0" w:space="0" w:color="auto"/>
            <w:bottom w:val="none" w:sz="0" w:space="0" w:color="auto"/>
            <w:right w:val="none" w:sz="0" w:space="0" w:color="auto"/>
          </w:divBdr>
        </w:div>
        <w:div w:id="623971011">
          <w:marLeft w:val="547"/>
          <w:marRight w:val="0"/>
          <w:marTop w:val="72"/>
          <w:marBottom w:val="0"/>
          <w:divBdr>
            <w:top w:val="none" w:sz="0" w:space="0" w:color="auto"/>
            <w:left w:val="none" w:sz="0" w:space="0" w:color="auto"/>
            <w:bottom w:val="none" w:sz="0" w:space="0" w:color="auto"/>
            <w:right w:val="none" w:sz="0" w:space="0" w:color="auto"/>
          </w:divBdr>
        </w:div>
      </w:divsChild>
    </w:div>
    <w:div w:id="1683120729">
      <w:bodyDiv w:val="1"/>
      <w:marLeft w:val="0"/>
      <w:marRight w:val="0"/>
      <w:marTop w:val="0"/>
      <w:marBottom w:val="0"/>
      <w:divBdr>
        <w:top w:val="none" w:sz="0" w:space="0" w:color="auto"/>
        <w:left w:val="none" w:sz="0" w:space="0" w:color="auto"/>
        <w:bottom w:val="none" w:sz="0" w:space="0" w:color="auto"/>
        <w:right w:val="none" w:sz="0" w:space="0" w:color="auto"/>
      </w:divBdr>
    </w:div>
    <w:div w:id="1891452409">
      <w:bodyDiv w:val="1"/>
      <w:marLeft w:val="0"/>
      <w:marRight w:val="0"/>
      <w:marTop w:val="0"/>
      <w:marBottom w:val="0"/>
      <w:divBdr>
        <w:top w:val="none" w:sz="0" w:space="0" w:color="auto"/>
        <w:left w:val="none" w:sz="0" w:space="0" w:color="auto"/>
        <w:bottom w:val="none" w:sz="0" w:space="0" w:color="auto"/>
        <w:right w:val="none" w:sz="0" w:space="0" w:color="auto"/>
      </w:divBdr>
      <w:divsChild>
        <w:div w:id="2075350764">
          <w:marLeft w:val="360"/>
          <w:marRight w:val="0"/>
          <w:marTop w:val="0"/>
          <w:marBottom w:val="0"/>
          <w:divBdr>
            <w:top w:val="none" w:sz="0" w:space="0" w:color="auto"/>
            <w:left w:val="none" w:sz="0" w:space="0" w:color="auto"/>
            <w:bottom w:val="none" w:sz="0" w:space="0" w:color="auto"/>
            <w:right w:val="none" w:sz="0" w:space="0" w:color="auto"/>
          </w:divBdr>
        </w:div>
        <w:div w:id="1061439262">
          <w:marLeft w:val="36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it.ly/SRHEgradfutur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E69C-8603-D449-9DDF-B46FE41E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5308</Words>
  <Characters>30262</Characters>
  <Application>Microsoft Macintosh Word</Application>
  <DocSecurity>0</DocSecurity>
  <Lines>252</Lines>
  <Paragraphs>70</Paragraphs>
  <ScaleCrop>false</ScaleCrop>
  <Company/>
  <LinksUpToDate>false</LinksUpToDate>
  <CharactersWithSpaces>35500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Vigurs</dc:creator>
  <cp:keywords/>
  <dc:description/>
  <cp:lastModifiedBy>Katy Vigurs</cp:lastModifiedBy>
  <cp:revision>2</cp:revision>
  <dcterms:created xsi:type="dcterms:W3CDTF">2019-08-30T12:53:00Z</dcterms:created>
  <dcterms:modified xsi:type="dcterms:W3CDTF">2019-08-30T12:53:00Z</dcterms:modified>
</cp:coreProperties>
</file>