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91E1" w14:textId="1C306ECE" w:rsidR="00F97CB9" w:rsidRPr="00F2037A" w:rsidRDefault="00F97CB9" w:rsidP="00F97CB9">
      <w:pPr>
        <w:spacing w:after="0"/>
        <w:jc w:val="center"/>
        <w:rPr>
          <w:rFonts w:cs="Times New Roman"/>
          <w:smallCaps/>
          <w:sz w:val="32"/>
          <w:szCs w:val="32"/>
        </w:rPr>
      </w:pPr>
      <w:r w:rsidRPr="00F2037A">
        <w:rPr>
          <w:rFonts w:cs="Times New Roman"/>
          <w:smallCaps/>
          <w:sz w:val="32"/>
          <w:szCs w:val="32"/>
        </w:rPr>
        <w:t>Judicial Deference Or Judicial Activism</w:t>
      </w:r>
      <w:r w:rsidR="00E165B0" w:rsidRPr="00F2037A">
        <w:rPr>
          <w:rFonts w:cs="Times New Roman"/>
          <w:smallCaps/>
          <w:sz w:val="32"/>
          <w:szCs w:val="32"/>
        </w:rPr>
        <w:t xml:space="preserve">: </w:t>
      </w:r>
    </w:p>
    <w:p w14:paraId="52AF4702" w14:textId="7B02DA52" w:rsidR="00E165B0" w:rsidRPr="00472DE7" w:rsidRDefault="00A01FF2" w:rsidP="00F97CB9">
      <w:pPr>
        <w:spacing w:after="0"/>
        <w:jc w:val="center"/>
        <w:rPr>
          <w:rFonts w:cs="Times New Roman"/>
          <w:sz w:val="32"/>
          <w:szCs w:val="32"/>
        </w:rPr>
      </w:pPr>
      <w:r>
        <w:rPr>
          <w:rFonts w:cs="Times New Roman"/>
          <w:sz w:val="32"/>
          <w:szCs w:val="32"/>
        </w:rPr>
        <w:t>A</w:t>
      </w:r>
      <w:r w:rsidR="00E165B0" w:rsidRPr="00F2037A">
        <w:rPr>
          <w:rFonts w:cs="Times New Roman"/>
          <w:sz w:val="32"/>
          <w:szCs w:val="32"/>
        </w:rPr>
        <w:t xml:space="preserve">n exploration of Dutch </w:t>
      </w:r>
      <w:r w:rsidR="00E165B0" w:rsidRPr="00472DE7">
        <w:rPr>
          <w:rFonts w:cs="Times New Roman"/>
          <w:sz w:val="32"/>
          <w:szCs w:val="32"/>
        </w:rPr>
        <w:t>Administrative Law</w:t>
      </w:r>
      <w:r w:rsidR="00690EDB" w:rsidRPr="00472DE7">
        <w:rPr>
          <w:rFonts w:cs="Times New Roman"/>
          <w:sz w:val="32"/>
          <w:szCs w:val="32"/>
        </w:rPr>
        <w:t>*</w:t>
      </w:r>
    </w:p>
    <w:p w14:paraId="57EADFDD" w14:textId="77777777" w:rsidR="00F97CB9" w:rsidRPr="00472DE7" w:rsidRDefault="00F97CB9" w:rsidP="00073039">
      <w:pPr>
        <w:spacing w:after="0"/>
        <w:rPr>
          <w:szCs w:val="24"/>
        </w:rPr>
      </w:pPr>
    </w:p>
    <w:p w14:paraId="689B0FA7" w14:textId="77777777" w:rsidR="00F97CB9" w:rsidRPr="00472DE7" w:rsidRDefault="00F97CB9" w:rsidP="00073039">
      <w:pPr>
        <w:spacing w:after="0"/>
        <w:rPr>
          <w:szCs w:val="24"/>
          <w:lang w:val="en-US"/>
        </w:rPr>
      </w:pPr>
    </w:p>
    <w:p w14:paraId="38249AFC" w14:textId="050070E8" w:rsidR="00D967D6" w:rsidRPr="00472DE7" w:rsidRDefault="00D967D6" w:rsidP="0096759D">
      <w:pPr>
        <w:spacing w:after="40"/>
        <w:jc w:val="center"/>
        <w:rPr>
          <w:rFonts w:eastAsia="Times New Roman" w:cs="Times New Roman"/>
          <w:sz w:val="28"/>
          <w:szCs w:val="28"/>
          <w:lang w:val="en-US" w:eastAsia="pt-BR"/>
        </w:rPr>
      </w:pPr>
      <w:r w:rsidRPr="00472DE7">
        <w:rPr>
          <w:rFonts w:eastAsia="Times New Roman" w:cs="Times New Roman"/>
          <w:sz w:val="28"/>
          <w:szCs w:val="28"/>
          <w:lang w:val="en-US" w:eastAsia="pt-BR"/>
        </w:rPr>
        <w:t>Friso</w:t>
      </w:r>
      <w:r w:rsidR="00472DE7">
        <w:rPr>
          <w:rFonts w:eastAsia="Times New Roman" w:cs="Times New Roman"/>
          <w:sz w:val="28"/>
          <w:szCs w:val="28"/>
          <w:lang w:val="en-US" w:eastAsia="pt-BR"/>
        </w:rPr>
        <w:t xml:space="preserve"> Johannes</w:t>
      </w:r>
      <w:r w:rsidRPr="00472DE7">
        <w:rPr>
          <w:rFonts w:eastAsia="Times New Roman" w:cs="Times New Roman"/>
          <w:sz w:val="28"/>
          <w:szCs w:val="28"/>
          <w:lang w:val="en-US" w:eastAsia="pt-BR"/>
        </w:rPr>
        <w:t xml:space="preserve"> Jansen</w:t>
      </w:r>
      <w:r w:rsidR="000913DE" w:rsidRPr="00472DE7">
        <w:rPr>
          <w:rFonts w:eastAsia="Times New Roman" w:cs="Times New Roman"/>
          <w:sz w:val="28"/>
          <w:szCs w:val="28"/>
          <w:lang w:val="en-US" w:eastAsia="pt-BR"/>
        </w:rPr>
        <w:t>**</w:t>
      </w:r>
    </w:p>
    <w:p w14:paraId="07EEB3B8" w14:textId="77777777" w:rsidR="00073039" w:rsidRDefault="00073039" w:rsidP="00073039">
      <w:pPr>
        <w:jc w:val="center"/>
        <w:rPr>
          <w:rFonts w:eastAsia="Times New Roman"/>
          <w:i/>
          <w:bdr w:val="none" w:sz="0" w:space="0" w:color="auto" w:frame="1"/>
          <w:lang w:val="en-US"/>
        </w:rPr>
      </w:pPr>
      <w:r w:rsidRPr="00472DE7">
        <w:rPr>
          <w:rFonts w:eastAsia="Times New Roman"/>
          <w:i/>
          <w:bdr w:val="none" w:sz="0" w:space="0" w:color="auto" w:frame="1"/>
          <w:lang w:val="en-US"/>
        </w:rPr>
        <w:t>Birmingham City University, United Kingdom</w:t>
      </w:r>
    </w:p>
    <w:p w14:paraId="72BEC8BD" w14:textId="77777777" w:rsidR="00D36E05" w:rsidRDefault="00D36E05" w:rsidP="00073039">
      <w:pPr>
        <w:spacing w:after="0"/>
        <w:rPr>
          <w:rFonts w:eastAsia="Times New Roman" w:cs="Times New Roman"/>
          <w:szCs w:val="24"/>
          <w:lang w:val="en-US" w:eastAsia="pt-BR"/>
        </w:rPr>
      </w:pPr>
    </w:p>
    <w:p w14:paraId="10C6B7A8" w14:textId="77777777" w:rsidR="0096759D" w:rsidRPr="0096759D" w:rsidRDefault="0096759D" w:rsidP="00073039">
      <w:pPr>
        <w:spacing w:after="0"/>
        <w:rPr>
          <w:rFonts w:eastAsia="Times New Roman" w:cs="Times New Roman"/>
          <w:szCs w:val="24"/>
          <w:lang w:val="en-US" w:eastAsia="pt-BR"/>
        </w:rPr>
      </w:pPr>
    </w:p>
    <w:p w14:paraId="7E0B13DA" w14:textId="6FBB05E2" w:rsidR="00D967D6" w:rsidRDefault="00EE3455" w:rsidP="009C621D">
      <w:pPr>
        <w:pStyle w:val="ListParagraph"/>
        <w:spacing w:after="0"/>
        <w:ind w:left="0"/>
        <w:jc w:val="center"/>
        <w:rPr>
          <w:rFonts w:cs="Times New Roman"/>
          <w:smallCaps/>
          <w:sz w:val="28"/>
          <w:szCs w:val="24"/>
        </w:rPr>
      </w:pPr>
      <w:r>
        <w:rPr>
          <w:rFonts w:cs="Times New Roman"/>
          <w:smallCaps/>
          <w:sz w:val="28"/>
          <w:szCs w:val="24"/>
        </w:rPr>
        <w:t xml:space="preserve">I. </w:t>
      </w:r>
      <w:r w:rsidRPr="00EE3455">
        <w:rPr>
          <w:rFonts w:cs="Times New Roman"/>
          <w:smallCaps/>
          <w:sz w:val="28"/>
          <w:szCs w:val="24"/>
        </w:rPr>
        <w:t>Introduction</w:t>
      </w:r>
    </w:p>
    <w:p w14:paraId="3FA18A92" w14:textId="77777777" w:rsidR="009C621D" w:rsidRPr="00A83BE2" w:rsidRDefault="009C621D" w:rsidP="009C621D">
      <w:pPr>
        <w:spacing w:after="0"/>
        <w:jc w:val="both"/>
        <w:rPr>
          <w:i/>
        </w:rPr>
      </w:pPr>
    </w:p>
    <w:p w14:paraId="294400C7" w14:textId="52764522" w:rsidR="00E165B0" w:rsidRDefault="00E165B0" w:rsidP="00A16885">
      <w:pPr>
        <w:spacing w:after="0"/>
        <w:jc w:val="both"/>
        <w:rPr>
          <w:rFonts w:cs="Times New Roman"/>
          <w:szCs w:val="24"/>
        </w:rPr>
      </w:pPr>
      <w:r w:rsidRPr="006E70C3">
        <w:rPr>
          <w:rFonts w:cs="Times New Roman"/>
          <w:szCs w:val="24"/>
        </w:rPr>
        <w:t>This book chapter seeks to examine to what extent and in which ways the Dutch administrative law allows for mechanisms that promote deference to the interpretation of facts and law by the executive branch. A particular focus is</w:t>
      </w:r>
      <w:r w:rsidR="00D400EA" w:rsidRPr="006E70C3">
        <w:rPr>
          <w:rFonts w:cs="Times New Roman"/>
          <w:szCs w:val="24"/>
        </w:rPr>
        <w:t xml:space="preserve"> </w:t>
      </w:r>
      <w:r w:rsidRPr="006E70C3">
        <w:rPr>
          <w:rFonts w:cs="Times New Roman"/>
          <w:szCs w:val="24"/>
        </w:rPr>
        <w:t>placed on two elements: the objection procedure and the general principles of good administration.</w:t>
      </w:r>
    </w:p>
    <w:p w14:paraId="62929947" w14:textId="77777777" w:rsidR="00694F06" w:rsidRDefault="00694F06" w:rsidP="00694F06">
      <w:pPr>
        <w:spacing w:after="0"/>
        <w:jc w:val="both"/>
        <w:rPr>
          <w:i/>
        </w:rPr>
      </w:pPr>
    </w:p>
    <w:p w14:paraId="2D0F199A" w14:textId="77777777" w:rsidR="00694F06" w:rsidRPr="00A83BE2" w:rsidRDefault="00694F06" w:rsidP="00694F06">
      <w:pPr>
        <w:spacing w:after="0"/>
        <w:jc w:val="both"/>
        <w:rPr>
          <w:i/>
        </w:rPr>
      </w:pPr>
    </w:p>
    <w:p w14:paraId="4C59EAB1" w14:textId="14BCB438" w:rsidR="00F97CB9" w:rsidRDefault="0096759D" w:rsidP="00F97CB9">
      <w:pPr>
        <w:spacing w:after="0"/>
        <w:jc w:val="center"/>
        <w:rPr>
          <w:rFonts w:cs="Times New Roman"/>
          <w:smallCaps/>
          <w:sz w:val="28"/>
          <w:szCs w:val="24"/>
        </w:rPr>
      </w:pPr>
      <w:r>
        <w:rPr>
          <w:rFonts w:cs="Times New Roman"/>
          <w:smallCaps/>
          <w:sz w:val="28"/>
          <w:szCs w:val="24"/>
        </w:rPr>
        <w:t>I</w:t>
      </w:r>
      <w:r w:rsidR="00D95BC5">
        <w:rPr>
          <w:rFonts w:cs="Times New Roman"/>
          <w:smallCaps/>
          <w:sz w:val="28"/>
          <w:szCs w:val="24"/>
        </w:rPr>
        <w:t>I</w:t>
      </w:r>
      <w:r>
        <w:rPr>
          <w:rFonts w:cs="Times New Roman"/>
          <w:smallCaps/>
          <w:sz w:val="28"/>
          <w:szCs w:val="24"/>
        </w:rPr>
        <w:t xml:space="preserve">. </w:t>
      </w:r>
      <w:r w:rsidRPr="00F97CB9">
        <w:rPr>
          <w:rFonts w:cs="Times New Roman"/>
          <w:smallCaps/>
          <w:sz w:val="28"/>
          <w:szCs w:val="24"/>
        </w:rPr>
        <w:t xml:space="preserve">Judicial deference or judicial activism: </w:t>
      </w:r>
    </w:p>
    <w:p w14:paraId="30DE9F19" w14:textId="5FDE7818" w:rsidR="00E165B0" w:rsidRDefault="00F97CB9" w:rsidP="00F97CB9">
      <w:pPr>
        <w:spacing w:after="0"/>
        <w:jc w:val="center"/>
        <w:rPr>
          <w:rFonts w:cs="Times New Roman"/>
          <w:sz w:val="28"/>
          <w:szCs w:val="24"/>
        </w:rPr>
      </w:pPr>
      <w:r w:rsidRPr="00F97CB9">
        <w:rPr>
          <w:rFonts w:cs="Times New Roman"/>
          <w:sz w:val="28"/>
          <w:szCs w:val="24"/>
        </w:rPr>
        <w:t xml:space="preserve">A </w:t>
      </w:r>
      <w:r w:rsidR="00B431D0">
        <w:rPr>
          <w:rFonts w:cs="Times New Roman"/>
          <w:sz w:val="28"/>
          <w:szCs w:val="24"/>
        </w:rPr>
        <w:t>t</w:t>
      </w:r>
      <w:r w:rsidRPr="00F97CB9">
        <w:rPr>
          <w:rFonts w:cs="Times New Roman"/>
          <w:sz w:val="28"/>
          <w:szCs w:val="24"/>
        </w:rPr>
        <w:t xml:space="preserve">heoretical </w:t>
      </w:r>
      <w:r w:rsidR="00B431D0">
        <w:rPr>
          <w:rFonts w:cs="Times New Roman"/>
          <w:sz w:val="28"/>
          <w:szCs w:val="24"/>
        </w:rPr>
        <w:t>a</w:t>
      </w:r>
      <w:r w:rsidRPr="00F97CB9">
        <w:rPr>
          <w:rFonts w:cs="Times New Roman"/>
          <w:sz w:val="28"/>
          <w:szCs w:val="24"/>
        </w:rPr>
        <w:t xml:space="preserve">ssessment </w:t>
      </w:r>
      <w:r w:rsidR="00B431D0">
        <w:rPr>
          <w:rFonts w:cs="Times New Roman"/>
          <w:sz w:val="28"/>
          <w:szCs w:val="24"/>
        </w:rPr>
        <w:t>f</w:t>
      </w:r>
      <w:r w:rsidRPr="00F97CB9">
        <w:rPr>
          <w:rFonts w:cs="Times New Roman"/>
          <w:sz w:val="28"/>
          <w:szCs w:val="24"/>
        </w:rPr>
        <w:t xml:space="preserve">rom </w:t>
      </w:r>
      <w:r w:rsidR="00B431D0">
        <w:rPr>
          <w:rFonts w:cs="Times New Roman"/>
          <w:sz w:val="28"/>
          <w:szCs w:val="24"/>
        </w:rPr>
        <w:t>a</w:t>
      </w:r>
      <w:r w:rsidRPr="00F97CB9">
        <w:rPr>
          <w:rFonts w:cs="Times New Roman"/>
          <w:sz w:val="28"/>
          <w:szCs w:val="24"/>
        </w:rPr>
        <w:t xml:space="preserve"> Dutch Administrative Law </w:t>
      </w:r>
      <w:r w:rsidR="00B431D0">
        <w:rPr>
          <w:rFonts w:cs="Times New Roman"/>
          <w:sz w:val="28"/>
          <w:szCs w:val="24"/>
        </w:rPr>
        <w:t>p</w:t>
      </w:r>
      <w:r w:rsidRPr="00F97CB9">
        <w:rPr>
          <w:rFonts w:cs="Times New Roman"/>
          <w:sz w:val="28"/>
          <w:szCs w:val="24"/>
        </w:rPr>
        <w:t>erspective</w:t>
      </w:r>
    </w:p>
    <w:p w14:paraId="2641C3E3" w14:textId="77777777" w:rsidR="00F97CB9" w:rsidRPr="000913DE" w:rsidRDefault="00F97CB9" w:rsidP="00F97CB9">
      <w:pPr>
        <w:spacing w:after="0"/>
        <w:rPr>
          <w:rFonts w:cs="Times New Roman"/>
          <w:szCs w:val="24"/>
        </w:rPr>
      </w:pPr>
    </w:p>
    <w:p w14:paraId="678A3C86" w14:textId="065BE2A1" w:rsidR="00E165B0" w:rsidRPr="00B50E5D" w:rsidRDefault="00E165B0" w:rsidP="00A16885">
      <w:pPr>
        <w:spacing w:after="0"/>
        <w:jc w:val="both"/>
        <w:rPr>
          <w:rFonts w:cs="Times New Roman"/>
          <w:szCs w:val="24"/>
        </w:rPr>
      </w:pPr>
      <w:r w:rsidRPr="006E70C3">
        <w:rPr>
          <w:rFonts w:cs="Times New Roman"/>
          <w:szCs w:val="24"/>
        </w:rPr>
        <w:t>Important is that the court is only open for those that have followed an objection procedure, which takes places within the administrative body that took the primary decision.</w:t>
      </w:r>
      <w:r w:rsidRPr="006E70C3">
        <w:rPr>
          <w:rStyle w:val="FootnoteReference"/>
          <w:rFonts w:cs="Times New Roman"/>
          <w:szCs w:val="24"/>
        </w:rPr>
        <w:footnoteReference w:id="1"/>
      </w:r>
      <w:r w:rsidRPr="006E70C3">
        <w:rPr>
          <w:rFonts w:cs="Times New Roman"/>
          <w:szCs w:val="24"/>
        </w:rPr>
        <w:t xml:space="preserve"> It is always the decision that is taken after the objection procedure, which can then be appealed. The review of decision in an objection procedure is described as full, both the law and policy that led to the decision can be reviewed in full by the administrative decision-maker that can substitute any decision it wishes for the original one</w:t>
      </w:r>
      <w:r w:rsidR="00274ED8">
        <w:rPr>
          <w:rFonts w:cs="Times New Roman"/>
          <w:szCs w:val="24"/>
        </w:rPr>
        <w:t>.</w:t>
      </w:r>
      <w:r w:rsidR="00D36E05">
        <w:rPr>
          <w:rStyle w:val="FootnoteReference"/>
          <w:rFonts w:cs="Times New Roman"/>
          <w:szCs w:val="24"/>
        </w:rPr>
        <w:footnoteReference w:id="2"/>
      </w:r>
      <w:r w:rsidR="00AD5FEE">
        <w:rPr>
          <w:rFonts w:cs="Times New Roman"/>
          <w:szCs w:val="24"/>
        </w:rPr>
        <w:t xml:space="preserve"> </w:t>
      </w:r>
      <w:r w:rsidRPr="006E70C3">
        <w:rPr>
          <w:rFonts w:cs="Times New Roman"/>
          <w:szCs w:val="24"/>
        </w:rPr>
        <w:t>This objection procedure filters out around 90% of all contested decisions</w:t>
      </w:r>
      <w:r w:rsidR="00906AB0" w:rsidRPr="006E70C3">
        <w:rPr>
          <w:rFonts w:cs="Times New Roman"/>
          <w:szCs w:val="24"/>
        </w:rPr>
        <w:t>.</w:t>
      </w:r>
      <w:r w:rsidR="00274ED8">
        <w:rPr>
          <w:rStyle w:val="FootnoteReference"/>
          <w:rFonts w:cs="Times New Roman"/>
          <w:szCs w:val="24"/>
        </w:rPr>
        <w:footnoteReference w:id="3"/>
      </w:r>
    </w:p>
    <w:p w14:paraId="3D40D498" w14:textId="7279A451" w:rsidR="00E165B0" w:rsidRPr="006E70C3" w:rsidRDefault="00E165B0" w:rsidP="00D239AB">
      <w:pPr>
        <w:spacing w:after="0"/>
        <w:ind w:firstLine="720"/>
        <w:jc w:val="both"/>
        <w:rPr>
          <w:rFonts w:cs="Times New Roman"/>
          <w:szCs w:val="24"/>
        </w:rPr>
      </w:pPr>
      <w:r w:rsidRPr="006E70C3">
        <w:rPr>
          <w:rFonts w:cs="Times New Roman"/>
          <w:szCs w:val="24"/>
        </w:rPr>
        <w:t xml:space="preserve">The Administrative Law Act provides the courts with a range of procedural tools to challenge decision-making, for example the requirement to carefully establish the facts. The court through the prism </w:t>
      </w:r>
      <w:r w:rsidR="00BB52BD" w:rsidRPr="006E70C3">
        <w:rPr>
          <w:rFonts w:cs="Times New Roman"/>
          <w:szCs w:val="24"/>
        </w:rPr>
        <w:t xml:space="preserve">of </w:t>
      </w:r>
      <w:r w:rsidR="00BB52BD">
        <w:rPr>
          <w:rFonts w:cs="Times New Roman"/>
          <w:szCs w:val="24"/>
        </w:rPr>
        <w:t>“</w:t>
      </w:r>
      <w:r w:rsidRPr="006E70C3">
        <w:rPr>
          <w:rFonts w:cs="Times New Roman"/>
          <w:szCs w:val="24"/>
        </w:rPr>
        <w:t xml:space="preserve">uncertainty about the </w:t>
      </w:r>
      <w:r w:rsidR="00564FEA" w:rsidRPr="006E70C3">
        <w:rPr>
          <w:rFonts w:cs="Times New Roman"/>
          <w:szCs w:val="24"/>
        </w:rPr>
        <w:t>facts</w:t>
      </w:r>
      <w:r w:rsidR="006A540D">
        <w:rPr>
          <w:rFonts w:cs="Times New Roman"/>
          <w:szCs w:val="24"/>
        </w:rPr>
        <w:t xml:space="preserve">” </w:t>
      </w:r>
      <w:r w:rsidRPr="006E70C3">
        <w:rPr>
          <w:rFonts w:cs="Times New Roman"/>
          <w:szCs w:val="24"/>
        </w:rPr>
        <w:t xml:space="preserve">can steer the decision-making </w:t>
      </w:r>
      <w:r w:rsidRPr="006E70C3">
        <w:rPr>
          <w:rFonts w:cs="Times New Roman"/>
          <w:szCs w:val="24"/>
        </w:rPr>
        <w:lastRenderedPageBreak/>
        <w:t xml:space="preserve">in a certain direction and restrict the discretion of the executive by finding the </w:t>
      </w:r>
      <w:r w:rsidR="006A540D">
        <w:rPr>
          <w:rFonts w:cs="Times New Roman"/>
          <w:szCs w:val="24"/>
        </w:rPr>
        <w:t>“</w:t>
      </w:r>
      <w:r w:rsidRPr="006E70C3">
        <w:rPr>
          <w:rFonts w:cs="Times New Roman"/>
          <w:szCs w:val="24"/>
        </w:rPr>
        <w:t>uncerta</w:t>
      </w:r>
      <w:r w:rsidR="008A69AA" w:rsidRPr="006E70C3">
        <w:rPr>
          <w:rFonts w:cs="Times New Roman"/>
          <w:szCs w:val="24"/>
        </w:rPr>
        <w:t>inty about the facts</w:t>
      </w:r>
      <w:r w:rsidR="006A540D">
        <w:rPr>
          <w:rFonts w:cs="Times New Roman"/>
          <w:szCs w:val="24"/>
        </w:rPr>
        <w:t>”</w:t>
      </w:r>
      <w:r w:rsidR="008A69AA" w:rsidRPr="006E70C3">
        <w:rPr>
          <w:rFonts w:cs="Times New Roman"/>
          <w:szCs w:val="24"/>
        </w:rPr>
        <w:t xml:space="preserve"> unlawful.</w:t>
      </w:r>
    </w:p>
    <w:p w14:paraId="614E2240" w14:textId="5275691D" w:rsidR="00E165B0" w:rsidRPr="00B50E5D" w:rsidRDefault="00E165B0" w:rsidP="00D239AB">
      <w:pPr>
        <w:spacing w:after="0"/>
        <w:ind w:firstLine="720"/>
        <w:jc w:val="both"/>
        <w:rPr>
          <w:rFonts w:cs="Times New Roman"/>
          <w:szCs w:val="24"/>
        </w:rPr>
      </w:pPr>
      <w:r w:rsidRPr="006E70C3">
        <w:rPr>
          <w:rFonts w:cs="Times New Roman"/>
          <w:szCs w:val="24"/>
        </w:rPr>
        <w:t xml:space="preserve">Extensive empirical research into the use of the objection procedure and the use of appeal to the courts will be evaluated with an eye to establishing whether there is a </w:t>
      </w:r>
      <w:r w:rsidRPr="00B50E5D">
        <w:rPr>
          <w:rFonts w:cs="Times New Roman"/>
          <w:szCs w:val="24"/>
        </w:rPr>
        <w:t>correlation between the amount of judicial deference (or activism) and willingness to litigate.</w:t>
      </w:r>
      <w:r w:rsidRPr="00B50E5D">
        <w:rPr>
          <w:rStyle w:val="FootnoteReference"/>
          <w:rFonts w:cs="Times New Roman"/>
          <w:szCs w:val="24"/>
        </w:rPr>
        <w:footnoteReference w:id="4"/>
      </w:r>
      <w:r w:rsidRPr="00B50E5D">
        <w:rPr>
          <w:rFonts w:cs="Times New Roman"/>
          <w:szCs w:val="24"/>
        </w:rPr>
        <w:t xml:space="preserve"> The reasons people litigate do not only correlate with the procedural quality of the decision but also rely on notions of fairness and procedural justice.</w:t>
      </w:r>
      <w:r w:rsidR="00274ED8" w:rsidRPr="00B50E5D">
        <w:rPr>
          <w:rStyle w:val="FootnoteReference"/>
          <w:rFonts w:cs="Times New Roman"/>
          <w:szCs w:val="24"/>
        </w:rPr>
        <w:footnoteReference w:id="5"/>
      </w:r>
      <w:r w:rsidRPr="00B50E5D">
        <w:rPr>
          <w:rFonts w:cs="Times New Roman"/>
          <w:szCs w:val="24"/>
        </w:rPr>
        <w:t xml:space="preserve"> Rather, it seems plausible, that increase or decrease of the accessibility of the courts, through increase or decrease of court fees has a much greater effect on the amount of litigation.</w:t>
      </w:r>
      <w:r w:rsidRPr="00B50E5D">
        <w:rPr>
          <w:rStyle w:val="FootnoteReference"/>
          <w:rFonts w:cs="Times New Roman"/>
          <w:szCs w:val="24"/>
        </w:rPr>
        <w:footnoteReference w:id="6"/>
      </w:r>
    </w:p>
    <w:p w14:paraId="22D2603E" w14:textId="77777777" w:rsidR="00E165B0" w:rsidRPr="00B50E5D" w:rsidRDefault="00E165B0" w:rsidP="00A16885">
      <w:pPr>
        <w:spacing w:after="0"/>
        <w:jc w:val="both"/>
        <w:rPr>
          <w:rFonts w:cs="Times New Roman"/>
          <w:szCs w:val="24"/>
        </w:rPr>
      </w:pPr>
    </w:p>
    <w:p w14:paraId="2EFAD200" w14:textId="77777777" w:rsidR="00300D71" w:rsidRPr="00B50E5D" w:rsidRDefault="00300D71" w:rsidP="00A16885">
      <w:pPr>
        <w:spacing w:after="0"/>
        <w:jc w:val="both"/>
        <w:rPr>
          <w:rFonts w:cs="Times New Roman"/>
          <w:szCs w:val="24"/>
        </w:rPr>
      </w:pPr>
    </w:p>
    <w:p w14:paraId="0D84CED7" w14:textId="78478D52" w:rsidR="00E165B0" w:rsidRPr="00B50E5D" w:rsidRDefault="00EE3455" w:rsidP="00D94CEC">
      <w:pPr>
        <w:spacing w:after="0"/>
        <w:jc w:val="center"/>
        <w:rPr>
          <w:rFonts w:cs="Times New Roman"/>
          <w:smallCaps/>
          <w:sz w:val="28"/>
          <w:szCs w:val="24"/>
        </w:rPr>
      </w:pPr>
      <w:r w:rsidRPr="00B50E5D">
        <w:rPr>
          <w:rFonts w:cs="Times New Roman"/>
          <w:smallCaps/>
          <w:sz w:val="28"/>
          <w:szCs w:val="24"/>
        </w:rPr>
        <w:t xml:space="preserve">III. </w:t>
      </w:r>
      <w:r w:rsidR="00F97CB9" w:rsidRPr="00B50E5D">
        <w:rPr>
          <w:rFonts w:cs="Times New Roman"/>
          <w:smallCaps/>
          <w:sz w:val="28"/>
          <w:szCs w:val="24"/>
        </w:rPr>
        <w:t>An Overview Of The Scrutiny Of Decisions Of The Executive Within Dutch Administrative Law</w:t>
      </w:r>
    </w:p>
    <w:p w14:paraId="7DB0522A" w14:textId="77777777" w:rsidR="00F97CB9" w:rsidRPr="00B50E5D" w:rsidRDefault="00F97CB9" w:rsidP="00D94CEC">
      <w:pPr>
        <w:spacing w:after="0"/>
        <w:rPr>
          <w:rFonts w:cs="Times New Roman"/>
          <w:smallCaps/>
          <w:szCs w:val="24"/>
        </w:rPr>
      </w:pPr>
    </w:p>
    <w:p w14:paraId="3AFFBC90" w14:textId="7CCB8C81" w:rsidR="00E165B0" w:rsidRDefault="00E165B0" w:rsidP="00A16885">
      <w:pPr>
        <w:spacing w:after="0"/>
        <w:jc w:val="both"/>
        <w:rPr>
          <w:rFonts w:cs="Times New Roman"/>
          <w:szCs w:val="24"/>
        </w:rPr>
      </w:pPr>
      <w:r w:rsidRPr="00B50E5D">
        <w:rPr>
          <w:rFonts w:cs="Times New Roman"/>
          <w:szCs w:val="24"/>
        </w:rPr>
        <w:t>The administrative law courts operate within a framework of rules that determine to what extent they are able to scrutinize the decisions of the executive. Under the Dutch General Administrative Law Act decisions of the executive have to conform to the general principles of good administration. These principles include the duty to give reasons the duty of a balanced and reasonable weighing of interests the duty to gather the relevant facts.</w:t>
      </w:r>
      <w:r w:rsidR="00274ED8" w:rsidRPr="00B50E5D">
        <w:rPr>
          <w:rStyle w:val="FootnoteReference"/>
          <w:rFonts w:cs="Times New Roman"/>
          <w:szCs w:val="24"/>
        </w:rPr>
        <w:footnoteReference w:id="7"/>
      </w:r>
      <w:r w:rsidR="0010535F" w:rsidRPr="00B50E5D">
        <w:rPr>
          <w:rFonts w:cs="Times New Roman"/>
          <w:szCs w:val="24"/>
        </w:rPr>
        <w:t xml:space="preserve"> </w:t>
      </w:r>
      <w:r w:rsidRPr="00B50E5D">
        <w:rPr>
          <w:rFonts w:cs="Times New Roman"/>
          <w:szCs w:val="24"/>
        </w:rPr>
        <w:t>In addition, the executive has to varying degrees room to control the meaning of the law and the interpretation of fact which can be described on a scale using the concepts of decision space which is the overarching concept describing the room the executive has in determining the meaning of the law, establishing the facts, interpreting the facts and weighing of all the relevant interests.</w:t>
      </w:r>
      <w:r w:rsidR="00274ED8" w:rsidRPr="00B50E5D">
        <w:rPr>
          <w:rStyle w:val="FootnoteReference"/>
          <w:rFonts w:cs="Times New Roman"/>
          <w:szCs w:val="24"/>
        </w:rPr>
        <w:footnoteReference w:id="8"/>
      </w:r>
      <w:r w:rsidR="00F379AD" w:rsidRPr="00B50E5D">
        <w:rPr>
          <w:rFonts w:cs="Times New Roman"/>
          <w:szCs w:val="24"/>
        </w:rPr>
        <w:t xml:space="preserve"> </w:t>
      </w:r>
      <w:r w:rsidRPr="00B50E5D">
        <w:rPr>
          <w:rFonts w:cs="Times New Roman"/>
          <w:szCs w:val="24"/>
        </w:rPr>
        <w:t xml:space="preserve">This concept is often broken down into </w:t>
      </w:r>
      <w:r w:rsidR="00B431D0" w:rsidRPr="00B50E5D">
        <w:rPr>
          <w:rFonts w:cs="Times New Roman"/>
          <w:szCs w:val="24"/>
        </w:rPr>
        <w:t>“</w:t>
      </w:r>
      <w:r w:rsidRPr="00B50E5D">
        <w:rPr>
          <w:rFonts w:cs="Times New Roman"/>
          <w:szCs w:val="24"/>
        </w:rPr>
        <w:t>evaluative freedom</w:t>
      </w:r>
      <w:r w:rsidR="00B431D0" w:rsidRPr="00B50E5D">
        <w:rPr>
          <w:rFonts w:cs="Times New Roman"/>
          <w:szCs w:val="24"/>
        </w:rPr>
        <w:t>”</w:t>
      </w:r>
      <w:r w:rsidRPr="00B50E5D">
        <w:rPr>
          <w:rFonts w:cs="Times New Roman"/>
          <w:szCs w:val="24"/>
        </w:rPr>
        <w:t xml:space="preserve"> which is the freedom for the executive to determine whether the requirements for the exercise of a given power have been met and </w:t>
      </w:r>
      <w:r w:rsidR="00B431D0" w:rsidRPr="00B50E5D">
        <w:rPr>
          <w:rFonts w:cs="Times New Roman"/>
          <w:szCs w:val="24"/>
        </w:rPr>
        <w:t>“</w:t>
      </w:r>
      <w:r w:rsidRPr="00B50E5D">
        <w:rPr>
          <w:rFonts w:cs="Times New Roman"/>
          <w:szCs w:val="24"/>
        </w:rPr>
        <w:t>policy freedom</w:t>
      </w:r>
      <w:r w:rsidR="00B431D0" w:rsidRPr="00B50E5D">
        <w:rPr>
          <w:rFonts w:cs="Times New Roman"/>
          <w:szCs w:val="24"/>
        </w:rPr>
        <w:t>”</w:t>
      </w:r>
      <w:r w:rsidRPr="00B50E5D">
        <w:rPr>
          <w:rFonts w:cs="Times New Roman"/>
          <w:szCs w:val="24"/>
        </w:rPr>
        <w:t xml:space="preserve"> which is the power of the executive to weigh various interests and to choose whether to exercise the power or not.</w:t>
      </w:r>
      <w:r w:rsidR="00274ED8" w:rsidRPr="00B50E5D">
        <w:rPr>
          <w:rStyle w:val="FootnoteReference"/>
          <w:rFonts w:cs="Times New Roman"/>
          <w:szCs w:val="24"/>
        </w:rPr>
        <w:footnoteReference w:id="9"/>
      </w:r>
      <w:r w:rsidRPr="00B50E5D">
        <w:rPr>
          <w:rFonts w:cs="Times New Roman"/>
          <w:szCs w:val="24"/>
        </w:rPr>
        <w:t xml:space="preserve"> Where the courts control the meaning of the law and the establishment of facts, when it comes to interpreting these facts and weighing of interests the courts show deference to the executive.  The operationalization of these concepts and its use within Dutch Administrative Law will be discussed using </w:t>
      </w:r>
      <w:r w:rsidR="00BB52BD" w:rsidRPr="00B50E5D">
        <w:rPr>
          <w:rFonts w:cs="Times New Roman"/>
          <w:szCs w:val="24"/>
        </w:rPr>
        <w:t>recent controversial decision</w:t>
      </w:r>
      <w:r w:rsidR="00735053">
        <w:rPr>
          <w:rFonts w:cs="Times New Roman"/>
          <w:szCs w:val="24"/>
        </w:rPr>
        <w:t>s</w:t>
      </w:r>
      <w:r w:rsidRPr="00B50E5D">
        <w:rPr>
          <w:rFonts w:cs="Times New Roman"/>
          <w:szCs w:val="24"/>
        </w:rPr>
        <w:t xml:space="preserve"> to provide a good illustration</w:t>
      </w:r>
      <w:r w:rsidRPr="006E70C3">
        <w:rPr>
          <w:rFonts w:cs="Times New Roman"/>
          <w:szCs w:val="24"/>
        </w:rPr>
        <w:t xml:space="preserve"> of the increasing intensity (and less deference) with which decisions of the executive are scrutinized by the court.</w:t>
      </w:r>
    </w:p>
    <w:p w14:paraId="67572808" w14:textId="77777777" w:rsidR="00300D71" w:rsidRPr="006E70C3" w:rsidRDefault="00300D71" w:rsidP="00A16885">
      <w:pPr>
        <w:spacing w:after="0"/>
        <w:jc w:val="both"/>
        <w:rPr>
          <w:rFonts w:cs="Times New Roman"/>
          <w:szCs w:val="24"/>
        </w:rPr>
      </w:pPr>
    </w:p>
    <w:p w14:paraId="25B0236A" w14:textId="77777777" w:rsidR="00D239AB" w:rsidRPr="006E70C3" w:rsidRDefault="00D239AB" w:rsidP="00A16885">
      <w:pPr>
        <w:spacing w:after="0"/>
        <w:jc w:val="both"/>
        <w:rPr>
          <w:rFonts w:cs="Times New Roman"/>
          <w:szCs w:val="24"/>
        </w:rPr>
      </w:pPr>
    </w:p>
    <w:p w14:paraId="7FF1AB76" w14:textId="6C057880" w:rsidR="00E165B0" w:rsidRDefault="00EE3455" w:rsidP="00D94CEC">
      <w:pPr>
        <w:spacing w:after="0"/>
        <w:jc w:val="center"/>
        <w:rPr>
          <w:rFonts w:cs="Times New Roman"/>
          <w:smallCaps/>
          <w:sz w:val="28"/>
          <w:szCs w:val="28"/>
        </w:rPr>
      </w:pPr>
      <w:r>
        <w:rPr>
          <w:rFonts w:cs="Times New Roman"/>
          <w:smallCaps/>
          <w:sz w:val="28"/>
          <w:szCs w:val="28"/>
        </w:rPr>
        <w:lastRenderedPageBreak/>
        <w:t xml:space="preserve">IV. </w:t>
      </w:r>
      <w:r w:rsidR="00E165B0" w:rsidRPr="00F97CB9">
        <w:rPr>
          <w:rFonts w:cs="Times New Roman"/>
          <w:smallCaps/>
          <w:sz w:val="28"/>
          <w:szCs w:val="28"/>
        </w:rPr>
        <w:t>Gas extraction and earthquakes in Groningen</w:t>
      </w:r>
    </w:p>
    <w:p w14:paraId="5D77B6E3" w14:textId="77777777" w:rsidR="00D94CEC" w:rsidRPr="000913DE" w:rsidRDefault="00D94CEC" w:rsidP="00D94CEC">
      <w:pPr>
        <w:spacing w:after="0"/>
        <w:rPr>
          <w:rFonts w:cs="Times New Roman"/>
          <w:smallCaps/>
          <w:szCs w:val="24"/>
        </w:rPr>
      </w:pPr>
    </w:p>
    <w:p w14:paraId="0CE8CFC0" w14:textId="1BACD2A1" w:rsidR="00545C9A" w:rsidRDefault="00545C9A" w:rsidP="00A16885">
      <w:pPr>
        <w:spacing w:after="0"/>
        <w:jc w:val="both"/>
        <w:rPr>
          <w:rFonts w:cs="Times New Roman"/>
          <w:szCs w:val="24"/>
        </w:rPr>
      </w:pPr>
      <w:bookmarkStart w:id="0" w:name="_GoBack"/>
      <w:bookmarkEnd w:id="0"/>
    </w:p>
    <w:p w14:paraId="50192E5F" w14:textId="77777777" w:rsidR="00545C9A" w:rsidRDefault="00545C9A" w:rsidP="00A16885">
      <w:pPr>
        <w:spacing w:after="0"/>
        <w:jc w:val="both"/>
        <w:rPr>
          <w:rFonts w:cs="Times New Roman"/>
          <w:szCs w:val="24"/>
        </w:rPr>
      </w:pPr>
    </w:p>
    <w:p w14:paraId="754BD52F" w14:textId="5142DB6D" w:rsidR="00E165B0" w:rsidRDefault="00E165B0" w:rsidP="00A16885">
      <w:pPr>
        <w:spacing w:after="0"/>
        <w:jc w:val="both"/>
        <w:rPr>
          <w:rFonts w:cs="Times New Roman"/>
          <w:szCs w:val="24"/>
        </w:rPr>
      </w:pPr>
      <w:r w:rsidRPr="006E70C3">
        <w:rPr>
          <w:rFonts w:cs="Times New Roman"/>
          <w:szCs w:val="24"/>
        </w:rPr>
        <w:t xml:space="preserve">This case concerns the extraction of gas for use by industry and consumers from the </w:t>
      </w:r>
      <w:proofErr w:type="spellStart"/>
      <w:r w:rsidRPr="006E70C3">
        <w:rPr>
          <w:rFonts w:cs="Times New Roman"/>
          <w:szCs w:val="24"/>
        </w:rPr>
        <w:t>Slochterenveld</w:t>
      </w:r>
      <w:proofErr w:type="spellEnd"/>
      <w:r w:rsidRPr="006E70C3">
        <w:rPr>
          <w:rFonts w:cs="Times New Roman"/>
          <w:szCs w:val="24"/>
        </w:rPr>
        <w:t>, one of the largest gas reservoir</w:t>
      </w:r>
      <w:r w:rsidR="00545C9A">
        <w:rPr>
          <w:rFonts w:cs="Times New Roman"/>
          <w:szCs w:val="24"/>
        </w:rPr>
        <w:t>s</w:t>
      </w:r>
      <w:r w:rsidRPr="006E70C3">
        <w:rPr>
          <w:rFonts w:cs="Times New Roman"/>
          <w:szCs w:val="24"/>
        </w:rPr>
        <w:t xml:space="preserve"> in Europe, in Groningen</w:t>
      </w:r>
      <w:r w:rsidR="00545C9A">
        <w:rPr>
          <w:rFonts w:cs="Times New Roman"/>
          <w:szCs w:val="24"/>
        </w:rPr>
        <w:t>,</w:t>
      </w:r>
      <w:r w:rsidRPr="006E70C3">
        <w:rPr>
          <w:rFonts w:cs="Times New Roman"/>
          <w:szCs w:val="24"/>
        </w:rPr>
        <w:t xml:space="preserve"> which is a province in the North of the Netherlands. The case concerned the decision by the Minister for Economic Affairs to allow the NAM, the Dutch Petroleum Company who has a licence to extract the gas, to extract 21.6 billion m3 of Gas during the period of 1 year.</w:t>
      </w:r>
      <w:r w:rsidRPr="006E70C3">
        <w:rPr>
          <w:rStyle w:val="FootnoteReference"/>
          <w:rFonts w:cs="Times New Roman"/>
          <w:szCs w:val="24"/>
        </w:rPr>
        <w:footnoteReference w:id="10"/>
      </w:r>
      <w:r w:rsidRPr="006E70C3">
        <w:rPr>
          <w:rFonts w:cs="Times New Roman"/>
          <w:szCs w:val="24"/>
        </w:rPr>
        <w:t xml:space="preserve"> The Dutch Council of State decided to quash this decision but maintain gas extraction at 21.6 billion m3 for a year so that the Minister for Economic Affairs could take a new decision. </w:t>
      </w:r>
    </w:p>
    <w:p w14:paraId="5F22490A" w14:textId="4158DD59" w:rsidR="00545C9A" w:rsidRDefault="00545C9A" w:rsidP="00A16885">
      <w:pPr>
        <w:spacing w:after="0"/>
        <w:jc w:val="both"/>
        <w:rPr>
          <w:rFonts w:cs="Times New Roman"/>
          <w:szCs w:val="24"/>
        </w:rPr>
      </w:pPr>
    </w:p>
    <w:p w14:paraId="09307B93" w14:textId="24015A85" w:rsidR="00545C9A" w:rsidRDefault="00545C9A" w:rsidP="00A16885">
      <w:pPr>
        <w:spacing w:after="0"/>
        <w:jc w:val="both"/>
        <w:rPr>
          <w:rFonts w:cs="Times New Roman"/>
          <w:szCs w:val="24"/>
        </w:rPr>
      </w:pPr>
      <w:r>
        <w:rPr>
          <w:rFonts w:cs="Times New Roman"/>
          <w:szCs w:val="24"/>
        </w:rPr>
        <w:tab/>
      </w:r>
    </w:p>
    <w:p w14:paraId="60B3FDF3" w14:textId="27DA19EA" w:rsidR="00735053" w:rsidRDefault="00735053" w:rsidP="00A16885">
      <w:pPr>
        <w:spacing w:after="0"/>
        <w:jc w:val="both"/>
        <w:rPr>
          <w:rFonts w:cs="Times New Roman"/>
          <w:szCs w:val="24"/>
        </w:rPr>
      </w:pPr>
    </w:p>
    <w:p w14:paraId="7520F2F5" w14:textId="0C158FC0" w:rsidR="00735053" w:rsidRDefault="00735053" w:rsidP="00A16885">
      <w:pPr>
        <w:spacing w:after="0"/>
        <w:jc w:val="both"/>
        <w:rPr>
          <w:rFonts w:cs="Times New Roman"/>
          <w:szCs w:val="24"/>
        </w:rPr>
      </w:pPr>
      <w:r>
        <w:rPr>
          <w:rFonts w:cs="Times New Roman"/>
          <w:szCs w:val="24"/>
        </w:rPr>
        <w:tab/>
      </w:r>
    </w:p>
    <w:p w14:paraId="5F269E30" w14:textId="678F85F4" w:rsidR="00735053" w:rsidRDefault="00735053" w:rsidP="00A16885">
      <w:pPr>
        <w:spacing w:after="0"/>
        <w:jc w:val="both"/>
        <w:rPr>
          <w:rFonts w:cs="Times New Roman"/>
          <w:szCs w:val="24"/>
        </w:rPr>
      </w:pPr>
    </w:p>
    <w:p w14:paraId="793E6E12" w14:textId="3C7267D5" w:rsidR="00E165B0" w:rsidRDefault="00E165B0" w:rsidP="00D239AB">
      <w:pPr>
        <w:spacing w:after="0"/>
        <w:ind w:firstLine="720"/>
        <w:jc w:val="both"/>
        <w:rPr>
          <w:rFonts w:cs="Times New Roman"/>
          <w:szCs w:val="24"/>
        </w:rPr>
      </w:pPr>
      <w:r w:rsidRPr="006E70C3">
        <w:rPr>
          <w:rFonts w:cs="Times New Roman"/>
          <w:szCs w:val="24"/>
        </w:rPr>
        <w:t>It is interesting to examine in detail how the Council of State evaluated the scientific reports used to justify the decision by the minister to permit a certain level of extraction of Gas. The Council of State performs a detailed scrutiny of these reports. The court motivates this intensive level of scrutiny by referring to the potential infringement of the right to life as a result of the earthquakes that are caused by the extraction of the gas.</w:t>
      </w:r>
      <w:r w:rsidRPr="006E70C3">
        <w:rPr>
          <w:rStyle w:val="FootnoteReference"/>
          <w:rFonts w:cs="Times New Roman"/>
          <w:szCs w:val="24"/>
        </w:rPr>
        <w:footnoteReference w:id="11"/>
      </w:r>
      <w:r w:rsidRPr="006E70C3">
        <w:rPr>
          <w:rFonts w:cs="Times New Roman"/>
          <w:szCs w:val="24"/>
        </w:rPr>
        <w:t xml:space="preserve"> The court than orders that the current level will be maintained until a new decision has been taken.</w:t>
      </w:r>
      <w:r w:rsidRPr="006E70C3">
        <w:rPr>
          <w:rStyle w:val="FootnoteReference"/>
          <w:rFonts w:cs="Times New Roman"/>
          <w:szCs w:val="24"/>
        </w:rPr>
        <w:footnoteReference w:id="12"/>
      </w:r>
      <w:r w:rsidRPr="006E70C3">
        <w:rPr>
          <w:rFonts w:cs="Times New Roman"/>
          <w:szCs w:val="24"/>
        </w:rPr>
        <w:t xml:space="preserve"> This fits in with a wider trend within Administrative Law for courts, in line with the wishes of the legislator, to promote finality of decision-making.  Recently the minister decided to stop extracting gas completely from 2030, a seismic shift in Dutch energy policy.</w:t>
      </w:r>
      <w:r w:rsidRPr="006E70C3">
        <w:rPr>
          <w:rStyle w:val="FootnoteReference"/>
          <w:rFonts w:cs="Times New Roman"/>
          <w:szCs w:val="24"/>
        </w:rPr>
        <w:footnoteReference w:id="13"/>
      </w:r>
    </w:p>
    <w:p w14:paraId="0C063158" w14:textId="2EF7ED00" w:rsidR="00735053" w:rsidRDefault="00735053" w:rsidP="00D239AB">
      <w:pPr>
        <w:spacing w:after="0"/>
        <w:ind w:firstLine="720"/>
        <w:jc w:val="both"/>
        <w:rPr>
          <w:rFonts w:cs="Times New Roman"/>
          <w:szCs w:val="24"/>
        </w:rPr>
      </w:pPr>
    </w:p>
    <w:p w14:paraId="4726DB94" w14:textId="77777777" w:rsidR="00735053" w:rsidRDefault="00735053" w:rsidP="00D239AB">
      <w:pPr>
        <w:spacing w:after="0"/>
        <w:ind w:firstLine="720"/>
        <w:jc w:val="both"/>
        <w:rPr>
          <w:rFonts w:cs="Times New Roman"/>
          <w:szCs w:val="24"/>
        </w:rPr>
      </w:pPr>
    </w:p>
    <w:p w14:paraId="15A7B98A" w14:textId="77777777" w:rsidR="00300D71" w:rsidRPr="006E70C3" w:rsidRDefault="00300D71" w:rsidP="00F97CB9">
      <w:pPr>
        <w:spacing w:after="0"/>
        <w:jc w:val="both"/>
        <w:rPr>
          <w:rFonts w:cs="Times New Roman"/>
          <w:szCs w:val="24"/>
        </w:rPr>
      </w:pPr>
    </w:p>
    <w:p w14:paraId="5E6F9F16" w14:textId="77777777" w:rsidR="00D239AB" w:rsidRPr="006E70C3" w:rsidRDefault="00D239AB" w:rsidP="00F97CB9">
      <w:pPr>
        <w:spacing w:after="0"/>
        <w:jc w:val="both"/>
        <w:rPr>
          <w:rFonts w:cs="Times New Roman"/>
          <w:szCs w:val="24"/>
        </w:rPr>
      </w:pPr>
    </w:p>
    <w:p w14:paraId="6B11AE6F" w14:textId="28ECAE21" w:rsidR="00E165B0" w:rsidRDefault="00EE3455" w:rsidP="00F97CB9">
      <w:pPr>
        <w:spacing w:after="0"/>
        <w:jc w:val="center"/>
        <w:rPr>
          <w:rFonts w:cs="Times New Roman"/>
          <w:smallCaps/>
          <w:sz w:val="28"/>
          <w:szCs w:val="28"/>
        </w:rPr>
      </w:pPr>
      <w:r>
        <w:rPr>
          <w:rFonts w:cs="Times New Roman"/>
          <w:smallCaps/>
          <w:sz w:val="28"/>
          <w:szCs w:val="28"/>
        </w:rPr>
        <w:t xml:space="preserve">V. </w:t>
      </w:r>
      <w:proofErr w:type="spellStart"/>
      <w:r w:rsidR="00E165B0" w:rsidRPr="00F97CB9">
        <w:rPr>
          <w:rFonts w:cs="Times New Roman"/>
          <w:smallCaps/>
          <w:sz w:val="28"/>
          <w:szCs w:val="28"/>
        </w:rPr>
        <w:t>Urgenda</w:t>
      </w:r>
      <w:proofErr w:type="spellEnd"/>
      <w:r w:rsidR="00E165B0" w:rsidRPr="00F97CB9">
        <w:rPr>
          <w:rFonts w:cs="Times New Roman"/>
          <w:smallCaps/>
          <w:sz w:val="28"/>
          <w:szCs w:val="28"/>
        </w:rPr>
        <w:t xml:space="preserve"> and the problem of climate change</w:t>
      </w:r>
    </w:p>
    <w:p w14:paraId="1B2C9D93" w14:textId="77777777" w:rsidR="00F97CB9" w:rsidRPr="000913DE" w:rsidRDefault="00F97CB9" w:rsidP="00F97CB9">
      <w:pPr>
        <w:spacing w:after="0"/>
        <w:rPr>
          <w:rFonts w:cs="Times New Roman"/>
          <w:smallCaps/>
          <w:szCs w:val="24"/>
        </w:rPr>
      </w:pPr>
    </w:p>
    <w:p w14:paraId="205DC8F2" w14:textId="46048D4E" w:rsidR="00E165B0" w:rsidRPr="006E70C3" w:rsidRDefault="00E165B0" w:rsidP="00A16885">
      <w:pPr>
        <w:spacing w:after="0"/>
        <w:jc w:val="both"/>
        <w:rPr>
          <w:rFonts w:cs="Times New Roman"/>
          <w:szCs w:val="24"/>
        </w:rPr>
      </w:pPr>
      <w:r w:rsidRPr="006E70C3">
        <w:rPr>
          <w:rFonts w:cs="Times New Roman"/>
          <w:szCs w:val="24"/>
        </w:rPr>
        <w:t>This case, which was based on a private law action based on an unlawful act considered the obligations under the various climate treaties the Dutch state is party to and resulted in an order for the Dutch state to reduce Carbon Emissions by 25% based on the level of 1999.</w:t>
      </w:r>
      <w:r w:rsidRPr="006E70C3">
        <w:rPr>
          <w:rStyle w:val="FootnoteReference"/>
          <w:rFonts w:cs="Times New Roman"/>
          <w:szCs w:val="24"/>
        </w:rPr>
        <w:footnoteReference w:id="14"/>
      </w:r>
      <w:r w:rsidRPr="006E70C3">
        <w:rPr>
          <w:rFonts w:cs="Times New Roman"/>
          <w:szCs w:val="24"/>
        </w:rPr>
        <w:t xml:space="preserve"> The main legal device the court used was a duty of care.</w:t>
      </w:r>
      <w:r w:rsidRPr="006E70C3">
        <w:rPr>
          <w:rStyle w:val="FootnoteReference"/>
          <w:rFonts w:cs="Times New Roman"/>
          <w:szCs w:val="24"/>
        </w:rPr>
        <w:footnoteReference w:id="15"/>
      </w:r>
      <w:r w:rsidRPr="006E70C3">
        <w:rPr>
          <w:rFonts w:cs="Times New Roman"/>
          <w:szCs w:val="24"/>
        </w:rPr>
        <w:t xml:space="preserve"> This duty of care was established by the court with reference to a large body of international treaties and reports from the IPCC. The novel use of the long existing concept of duty of care to mandate the state to reduce greenhouse gas emission to protect its population against the harmful effects of climate change deserves scrutiny as this has the potential to be employed in a wider context and in many different countries. The principle was first fully articulated in </w:t>
      </w:r>
      <w:r w:rsidRPr="006E70C3">
        <w:rPr>
          <w:rFonts w:cs="Times New Roman"/>
          <w:szCs w:val="24"/>
        </w:rPr>
        <w:lastRenderedPageBreak/>
        <w:t>the ‘basement-hatch judgement’</w:t>
      </w:r>
      <w:r w:rsidRPr="006E70C3">
        <w:rPr>
          <w:rStyle w:val="FootnoteReference"/>
          <w:rFonts w:cs="Times New Roman"/>
          <w:szCs w:val="24"/>
        </w:rPr>
        <w:footnoteReference w:id="16"/>
      </w:r>
      <w:r w:rsidRPr="006E70C3">
        <w:rPr>
          <w:rFonts w:cs="Times New Roman"/>
          <w:szCs w:val="24"/>
        </w:rPr>
        <w:t xml:space="preserve"> and the court uses the most recent climate science to articulate an unwritten duty of care that needs to be satisfied as to not commit an unlawful act.</w:t>
      </w:r>
      <w:r w:rsidRPr="006E70C3">
        <w:rPr>
          <w:rStyle w:val="FootnoteReference"/>
          <w:rFonts w:cs="Times New Roman"/>
          <w:szCs w:val="24"/>
        </w:rPr>
        <w:footnoteReference w:id="17"/>
      </w:r>
      <w:r w:rsidRPr="006E70C3">
        <w:rPr>
          <w:rFonts w:cs="Times New Roman"/>
          <w:szCs w:val="24"/>
        </w:rPr>
        <w:t xml:space="preserve"> The </w:t>
      </w:r>
      <w:proofErr w:type="spellStart"/>
      <w:r w:rsidRPr="006E70C3">
        <w:rPr>
          <w:rFonts w:cs="Times New Roman"/>
          <w:szCs w:val="24"/>
        </w:rPr>
        <w:t>Urgenda</w:t>
      </w:r>
      <w:proofErr w:type="spellEnd"/>
      <w:r w:rsidRPr="006E70C3">
        <w:rPr>
          <w:rFonts w:cs="Times New Roman"/>
          <w:szCs w:val="24"/>
        </w:rPr>
        <w:t xml:space="preserve"> case is noteworthy for its extensive discussion and justification provided by the court for giving this order, where the court argued it was not overreaching its powers and encroaching on the domain of the legislature.  The court carefully constructs a reasoning where it reiterates that it is required to enforce the law, and that legal norms drove the court to make the order to protect </w:t>
      </w:r>
      <w:proofErr w:type="spellStart"/>
      <w:r w:rsidRPr="006E70C3">
        <w:rPr>
          <w:rFonts w:cs="Times New Roman"/>
          <w:szCs w:val="24"/>
        </w:rPr>
        <w:t>Urgenda</w:t>
      </w:r>
      <w:proofErr w:type="spellEnd"/>
      <w:r w:rsidRPr="006E70C3">
        <w:rPr>
          <w:rFonts w:cs="Times New Roman"/>
          <w:szCs w:val="24"/>
        </w:rPr>
        <w:t xml:space="preserve"> against unlawful acts by the State.</w:t>
      </w:r>
      <w:r w:rsidRPr="006E70C3">
        <w:rPr>
          <w:rStyle w:val="FootnoteReference"/>
          <w:rFonts w:cs="Times New Roman"/>
          <w:szCs w:val="24"/>
        </w:rPr>
        <w:footnoteReference w:id="18"/>
      </w:r>
      <w:r w:rsidRPr="006E70C3">
        <w:rPr>
          <w:rFonts w:cs="Times New Roman"/>
          <w:szCs w:val="24"/>
        </w:rPr>
        <w:t xml:space="preserve"> The effects of this order on the State is acceptable in the view of the court, as it does not tell the State which measures to take to achieve the goal of 25% reduction of greenhouse gas emissions, this is left to the State to decide.</w:t>
      </w:r>
      <w:r w:rsidRPr="006E70C3">
        <w:rPr>
          <w:rStyle w:val="FootnoteReference"/>
          <w:rFonts w:cs="Times New Roman"/>
          <w:szCs w:val="24"/>
        </w:rPr>
        <w:footnoteReference w:id="19"/>
      </w:r>
    </w:p>
    <w:p w14:paraId="48F29FB0" w14:textId="1E3CBD02" w:rsidR="00E165B0" w:rsidRDefault="00E165B0" w:rsidP="00D239AB">
      <w:pPr>
        <w:spacing w:after="0"/>
        <w:ind w:firstLine="720"/>
        <w:jc w:val="both"/>
        <w:rPr>
          <w:rFonts w:cs="Times New Roman"/>
          <w:szCs w:val="24"/>
        </w:rPr>
      </w:pPr>
      <w:r w:rsidRPr="006E70C3">
        <w:rPr>
          <w:rFonts w:cs="Times New Roman"/>
          <w:szCs w:val="24"/>
        </w:rPr>
        <w:t>The state immediately lodged an appeal against the judgment, and the reasoning of the court of appeal is interesting because it scrutinises the decision-making of the executive in a different fashion.</w:t>
      </w:r>
      <w:r w:rsidRPr="006E70C3">
        <w:rPr>
          <w:rStyle w:val="FootnoteReference"/>
          <w:rFonts w:cs="Times New Roman"/>
          <w:szCs w:val="24"/>
        </w:rPr>
        <w:footnoteReference w:id="20"/>
      </w:r>
      <w:r w:rsidRPr="006E70C3">
        <w:rPr>
          <w:rFonts w:cs="Times New Roman"/>
          <w:szCs w:val="24"/>
        </w:rPr>
        <w:t xml:space="preserve"> The court does not employ an (extensive) interpretation of national law but anchors its reasoning directly to the risk of the violation of articles 2 and 8 of the European Convention of Human Rights.</w:t>
      </w:r>
      <w:r w:rsidRPr="006E70C3">
        <w:rPr>
          <w:rStyle w:val="FootnoteReference"/>
          <w:rFonts w:cs="Times New Roman"/>
          <w:szCs w:val="24"/>
        </w:rPr>
        <w:footnoteReference w:id="21"/>
      </w:r>
      <w:r w:rsidRPr="006E70C3">
        <w:rPr>
          <w:rFonts w:cs="Times New Roman"/>
          <w:szCs w:val="24"/>
        </w:rPr>
        <w:t xml:space="preserve"> The dangers of climate change are such that there is a real chance of loss of life which forces the state to act to protect its citizens from the harmful effects of climate change.</w:t>
      </w:r>
      <w:r w:rsidRPr="006E70C3">
        <w:rPr>
          <w:rStyle w:val="FootnoteReference"/>
          <w:rFonts w:cs="Times New Roman"/>
          <w:szCs w:val="24"/>
        </w:rPr>
        <w:footnoteReference w:id="22"/>
      </w:r>
      <w:r w:rsidRPr="006E70C3">
        <w:rPr>
          <w:rFonts w:cs="Times New Roman"/>
          <w:szCs w:val="24"/>
        </w:rPr>
        <w:t xml:space="preserve"> This use of international law means that the court does not have to show deference to an administrative interpretation but can independently assess the effectiveness of the actions of the executive. The use of this mechanism might be specific to this case or herald a wider shift towards a more litigious society and activist judiciary. The state has lodged a final appeal on points of law</w:t>
      </w:r>
      <w:r w:rsidR="00D239AB" w:rsidRPr="006E70C3">
        <w:rPr>
          <w:rFonts w:cs="Times New Roman"/>
          <w:szCs w:val="24"/>
        </w:rPr>
        <w:t xml:space="preserve"> which is yet to be determined.</w:t>
      </w:r>
    </w:p>
    <w:p w14:paraId="5E85958F" w14:textId="77777777" w:rsidR="00300D71" w:rsidRPr="006E70C3" w:rsidRDefault="00300D71" w:rsidP="00F97CB9">
      <w:pPr>
        <w:spacing w:after="0"/>
        <w:rPr>
          <w:rFonts w:cs="Times New Roman"/>
          <w:szCs w:val="24"/>
        </w:rPr>
      </w:pPr>
    </w:p>
    <w:p w14:paraId="22D0691D" w14:textId="77777777" w:rsidR="00D239AB" w:rsidRPr="006E70C3" w:rsidRDefault="00D239AB" w:rsidP="00F97CB9">
      <w:pPr>
        <w:spacing w:after="0"/>
        <w:rPr>
          <w:rFonts w:cs="Times New Roman"/>
          <w:szCs w:val="24"/>
        </w:rPr>
      </w:pPr>
    </w:p>
    <w:p w14:paraId="461BBE2D" w14:textId="1AE0E38F" w:rsidR="00D239AB" w:rsidRDefault="00EE3455" w:rsidP="00F97CB9">
      <w:pPr>
        <w:spacing w:after="0"/>
        <w:jc w:val="center"/>
        <w:rPr>
          <w:rFonts w:cs="Times New Roman"/>
          <w:smallCaps/>
          <w:sz w:val="28"/>
          <w:szCs w:val="28"/>
        </w:rPr>
      </w:pPr>
      <w:r>
        <w:rPr>
          <w:rFonts w:cs="Times New Roman"/>
          <w:smallCaps/>
          <w:sz w:val="28"/>
          <w:szCs w:val="28"/>
        </w:rPr>
        <w:t xml:space="preserve">VI. </w:t>
      </w:r>
      <w:r w:rsidR="00E165B0" w:rsidRPr="00F97CB9">
        <w:rPr>
          <w:rFonts w:cs="Times New Roman"/>
          <w:smallCaps/>
          <w:sz w:val="28"/>
          <w:szCs w:val="28"/>
        </w:rPr>
        <w:t>Conclusion</w:t>
      </w:r>
    </w:p>
    <w:p w14:paraId="1BC05FDC" w14:textId="77777777" w:rsidR="00F97CB9" w:rsidRPr="00F97CB9" w:rsidRDefault="00F97CB9" w:rsidP="00D94CEC">
      <w:pPr>
        <w:spacing w:after="0"/>
        <w:rPr>
          <w:rFonts w:cs="Times New Roman"/>
          <w:smallCaps/>
          <w:sz w:val="28"/>
          <w:szCs w:val="28"/>
        </w:rPr>
      </w:pPr>
    </w:p>
    <w:p w14:paraId="54B62DF3" w14:textId="7676F101" w:rsidR="00E165B0" w:rsidRPr="006E70C3" w:rsidRDefault="00E165B0" w:rsidP="00A16885">
      <w:pPr>
        <w:spacing w:after="0"/>
        <w:jc w:val="both"/>
        <w:rPr>
          <w:rFonts w:cs="Times New Roman"/>
          <w:szCs w:val="24"/>
        </w:rPr>
      </w:pPr>
      <w:r w:rsidRPr="006E70C3">
        <w:rPr>
          <w:rFonts w:cs="Times New Roman"/>
          <w:szCs w:val="24"/>
        </w:rPr>
        <w:t>Through the exploration of a landmark case this chapter has shown how the Dutch Administrative Law courts try to solve the tension between protecting the rights of citizens and the deference due to the (political) decisions of the executive. The more intense scrutiny of the powers of the executive follows a wider trend in Dutch Administrative law. This does as yet not correlate with a decrease or increase in request for judicial review rather the use of an objection procedure and the increase or decrease of cost of procedures present import</w:t>
      </w:r>
      <w:r w:rsidR="00D239AB" w:rsidRPr="006E70C3">
        <w:rPr>
          <w:rFonts w:cs="Times New Roman"/>
          <w:szCs w:val="24"/>
        </w:rPr>
        <w:t>ant mechanisms in that respect.</w:t>
      </w:r>
    </w:p>
    <w:p w14:paraId="56E24E48" w14:textId="77777777" w:rsidR="00A16885" w:rsidRPr="006E70C3" w:rsidRDefault="00A16885" w:rsidP="00A16885">
      <w:pPr>
        <w:spacing w:after="0"/>
        <w:jc w:val="both"/>
        <w:rPr>
          <w:rFonts w:cs="Times New Roman"/>
          <w:b/>
          <w:bCs/>
          <w:szCs w:val="24"/>
        </w:rPr>
      </w:pPr>
      <w:r w:rsidRPr="006E70C3">
        <w:rPr>
          <w:rFonts w:cs="Times New Roman"/>
          <w:b/>
          <w:bCs/>
          <w:szCs w:val="24"/>
        </w:rPr>
        <w:br w:type="page"/>
      </w:r>
    </w:p>
    <w:p w14:paraId="74D6BE11" w14:textId="79AFF215" w:rsidR="00E165B0" w:rsidRDefault="00D36E05" w:rsidP="000913DE">
      <w:pPr>
        <w:spacing w:after="120"/>
        <w:jc w:val="both"/>
        <w:rPr>
          <w:rFonts w:cs="Times New Roman"/>
          <w:b/>
          <w:bCs/>
          <w:szCs w:val="24"/>
        </w:rPr>
      </w:pPr>
      <w:r>
        <w:rPr>
          <w:rFonts w:cs="Times New Roman"/>
          <w:b/>
          <w:bCs/>
          <w:szCs w:val="24"/>
        </w:rPr>
        <w:lastRenderedPageBreak/>
        <w:t>Reference List</w:t>
      </w:r>
      <w:r w:rsidR="00E165B0" w:rsidRPr="006E70C3">
        <w:rPr>
          <w:rFonts w:cs="Times New Roman"/>
          <w:b/>
          <w:bCs/>
          <w:szCs w:val="24"/>
        </w:rPr>
        <w:t xml:space="preserve"> </w:t>
      </w:r>
    </w:p>
    <w:p w14:paraId="1BB54E90" w14:textId="77777777" w:rsidR="00B50CC2" w:rsidRDefault="00B50CC2" w:rsidP="00B50CC2">
      <w:pPr>
        <w:spacing w:after="0"/>
        <w:jc w:val="both"/>
        <w:rPr>
          <w:rFonts w:cs="Times New Roman"/>
          <w:b/>
          <w:bCs/>
          <w:szCs w:val="24"/>
        </w:rPr>
      </w:pPr>
    </w:p>
    <w:p w14:paraId="0C0BFBE4" w14:textId="77777777" w:rsidR="00115D44" w:rsidRPr="0055639D" w:rsidRDefault="00115D44" w:rsidP="00200C5F">
      <w:pPr>
        <w:spacing w:after="120"/>
        <w:jc w:val="both"/>
        <w:rPr>
          <w:szCs w:val="24"/>
        </w:rPr>
      </w:pPr>
      <w:r w:rsidRPr="0055639D">
        <w:rPr>
          <w:szCs w:val="24"/>
        </w:rPr>
        <w:t xml:space="preserve">A. T. Marseille &amp; I.M. </w:t>
      </w:r>
      <w:proofErr w:type="spellStart"/>
      <w:r w:rsidRPr="0055639D">
        <w:rPr>
          <w:szCs w:val="24"/>
        </w:rPr>
        <w:t>Boekema</w:t>
      </w:r>
      <w:proofErr w:type="spellEnd"/>
      <w:r w:rsidRPr="0055639D">
        <w:rPr>
          <w:szCs w:val="24"/>
        </w:rPr>
        <w:t xml:space="preserve">, </w:t>
      </w:r>
      <w:r w:rsidRPr="0055639D">
        <w:rPr>
          <w:i/>
          <w:szCs w:val="24"/>
        </w:rPr>
        <w:t xml:space="preserve">Administrative decision-making in reaction to a Court judgment can the administrative judge guide the decision-making </w:t>
      </w:r>
      <w:proofErr w:type="gramStart"/>
      <w:r w:rsidRPr="0055639D">
        <w:rPr>
          <w:i/>
          <w:szCs w:val="24"/>
        </w:rPr>
        <w:t>process?,</w:t>
      </w:r>
      <w:proofErr w:type="gramEnd"/>
      <w:r w:rsidRPr="0055639D">
        <w:rPr>
          <w:i/>
          <w:szCs w:val="24"/>
        </w:rPr>
        <w:t xml:space="preserve"> </w:t>
      </w:r>
      <w:r w:rsidRPr="0055639D">
        <w:rPr>
          <w:szCs w:val="24"/>
        </w:rPr>
        <w:t xml:space="preserve">9 </w:t>
      </w:r>
      <w:r w:rsidRPr="0055639D">
        <w:rPr>
          <w:smallCaps/>
          <w:szCs w:val="24"/>
        </w:rPr>
        <w:t>Utrecht Law Review</w:t>
      </w:r>
      <w:r w:rsidRPr="0055639D">
        <w:rPr>
          <w:szCs w:val="24"/>
        </w:rPr>
        <w:t xml:space="preserve"> (3) 51-61 (2013).</w:t>
      </w:r>
    </w:p>
    <w:p w14:paraId="42CB2030" w14:textId="77777777" w:rsidR="00115D44" w:rsidRPr="00B50E5D" w:rsidRDefault="00115D44" w:rsidP="00200C5F">
      <w:pPr>
        <w:spacing w:after="120"/>
        <w:jc w:val="both"/>
        <w:rPr>
          <w:smallCaps/>
          <w:szCs w:val="24"/>
          <w:lang w:val="nl-NL"/>
        </w:rPr>
      </w:pPr>
      <w:r w:rsidRPr="00B50E5D">
        <w:rPr>
          <w:smallCaps/>
          <w:szCs w:val="24"/>
          <w:lang w:val="nl-NL"/>
        </w:rPr>
        <w:t>A.T. Marseille et al.,</w:t>
      </w:r>
      <w:r w:rsidRPr="00B50E5D">
        <w:rPr>
          <w:szCs w:val="24"/>
          <w:lang w:val="nl-NL"/>
        </w:rPr>
        <w:t xml:space="preserve"> </w:t>
      </w:r>
      <w:r w:rsidRPr="00B50E5D">
        <w:rPr>
          <w:smallCaps/>
          <w:szCs w:val="24"/>
          <w:lang w:val="nl-NL"/>
        </w:rPr>
        <w:t xml:space="preserve">Bestuursrecht 2 </w:t>
      </w:r>
      <w:r w:rsidRPr="00B50E5D">
        <w:rPr>
          <w:szCs w:val="24"/>
          <w:lang w:val="nl-NL"/>
        </w:rPr>
        <w:t>(6th ed. 2016)</w:t>
      </w:r>
      <w:r w:rsidRPr="00B50E5D">
        <w:rPr>
          <w:smallCaps/>
          <w:szCs w:val="24"/>
          <w:lang w:val="nl-NL"/>
        </w:rPr>
        <w:t>.</w:t>
      </w:r>
    </w:p>
    <w:p w14:paraId="059E9A6C" w14:textId="0FA652CB" w:rsidR="00115D44" w:rsidRPr="00B50E5D" w:rsidRDefault="00115D44" w:rsidP="00200C5F">
      <w:pPr>
        <w:spacing w:after="120"/>
        <w:jc w:val="both"/>
        <w:rPr>
          <w:smallCaps/>
          <w:szCs w:val="24"/>
          <w:lang w:val="nl-NL"/>
        </w:rPr>
      </w:pPr>
      <w:r w:rsidRPr="00B50E5D">
        <w:rPr>
          <w:szCs w:val="24"/>
          <w:lang w:val="nl-NL"/>
        </w:rPr>
        <w:t>B</w:t>
      </w:r>
      <w:r w:rsidR="000F28F1" w:rsidRPr="00B50E5D">
        <w:rPr>
          <w:szCs w:val="24"/>
          <w:lang w:val="nl-NL"/>
        </w:rPr>
        <w:t>.</w:t>
      </w:r>
      <w:r w:rsidRPr="00B50E5D">
        <w:rPr>
          <w:szCs w:val="24"/>
          <w:lang w:val="nl-NL"/>
        </w:rPr>
        <w:t xml:space="preserve"> Marseille et al., </w:t>
      </w:r>
      <w:r w:rsidRPr="00B50E5D">
        <w:rPr>
          <w:i/>
          <w:szCs w:val="24"/>
          <w:lang w:val="nl-NL"/>
        </w:rPr>
        <w:t xml:space="preserve">Hoger beroep in het bestuursrecht: massaal gebruik, ontevreden gebruikers, </w:t>
      </w:r>
      <w:r w:rsidRPr="00B50E5D">
        <w:rPr>
          <w:szCs w:val="24"/>
          <w:lang w:val="nl-NL"/>
        </w:rPr>
        <w:t xml:space="preserve">38 </w:t>
      </w:r>
      <w:r w:rsidRPr="00B50E5D">
        <w:rPr>
          <w:smallCaps/>
          <w:szCs w:val="24"/>
          <w:lang w:val="nl-NL"/>
        </w:rPr>
        <w:t>Recht der Werkelijkheid (2) 76-98 (2017).</w:t>
      </w:r>
    </w:p>
    <w:p w14:paraId="3096D190" w14:textId="77777777" w:rsidR="00115D44" w:rsidRPr="00115D44" w:rsidRDefault="00115D44" w:rsidP="00200C5F">
      <w:pPr>
        <w:spacing w:after="120"/>
        <w:jc w:val="both"/>
        <w:rPr>
          <w:rFonts w:cs="Times New Roman"/>
          <w:bCs/>
          <w:szCs w:val="24"/>
          <w:lang w:val="pt-BR"/>
        </w:rPr>
      </w:pPr>
      <w:r w:rsidRPr="00115D44">
        <w:rPr>
          <w:rFonts w:cs="Times New Roman"/>
          <w:bCs/>
          <w:smallCaps/>
          <w:szCs w:val="24"/>
          <w:lang w:val="pt-BR"/>
        </w:rPr>
        <w:t xml:space="preserve">I.M. </w:t>
      </w:r>
      <w:proofErr w:type="spellStart"/>
      <w:r w:rsidRPr="00115D44">
        <w:rPr>
          <w:rFonts w:cs="Times New Roman"/>
          <w:bCs/>
          <w:smallCaps/>
          <w:szCs w:val="24"/>
          <w:lang w:val="pt-BR"/>
        </w:rPr>
        <w:t>Boekema</w:t>
      </w:r>
      <w:proofErr w:type="spellEnd"/>
      <w:r w:rsidRPr="00115D44">
        <w:rPr>
          <w:rFonts w:cs="Times New Roman"/>
          <w:bCs/>
          <w:smallCaps/>
          <w:szCs w:val="24"/>
          <w:lang w:val="pt-BR"/>
        </w:rPr>
        <w:t xml:space="preserve">, De </w:t>
      </w:r>
      <w:proofErr w:type="spellStart"/>
      <w:r w:rsidRPr="00115D44">
        <w:rPr>
          <w:rFonts w:cs="Times New Roman"/>
          <w:bCs/>
          <w:smallCaps/>
          <w:szCs w:val="24"/>
          <w:lang w:val="pt-BR"/>
        </w:rPr>
        <w:t>stap</w:t>
      </w:r>
      <w:proofErr w:type="spellEnd"/>
      <w:r w:rsidRPr="00115D44">
        <w:rPr>
          <w:rFonts w:cs="Times New Roman"/>
          <w:bCs/>
          <w:smallCaps/>
          <w:szCs w:val="24"/>
          <w:lang w:val="pt-BR"/>
        </w:rPr>
        <w:t xml:space="preserve"> </w:t>
      </w:r>
      <w:proofErr w:type="spellStart"/>
      <w:r w:rsidRPr="00115D44">
        <w:rPr>
          <w:rFonts w:cs="Times New Roman"/>
          <w:bCs/>
          <w:smallCaps/>
          <w:szCs w:val="24"/>
          <w:lang w:val="pt-BR"/>
        </w:rPr>
        <w:t>naar</w:t>
      </w:r>
      <w:proofErr w:type="spellEnd"/>
      <w:r w:rsidRPr="00115D44">
        <w:rPr>
          <w:rFonts w:cs="Times New Roman"/>
          <w:bCs/>
          <w:smallCaps/>
          <w:szCs w:val="24"/>
          <w:lang w:val="pt-BR"/>
        </w:rPr>
        <w:t xml:space="preserve"> </w:t>
      </w:r>
      <w:proofErr w:type="spellStart"/>
      <w:r w:rsidRPr="00115D44">
        <w:rPr>
          <w:rFonts w:cs="Times New Roman"/>
          <w:bCs/>
          <w:smallCaps/>
          <w:szCs w:val="24"/>
          <w:lang w:val="pt-BR"/>
        </w:rPr>
        <w:t>hoger</w:t>
      </w:r>
      <w:proofErr w:type="spellEnd"/>
      <w:r w:rsidRPr="00115D44">
        <w:rPr>
          <w:rFonts w:cs="Times New Roman"/>
          <w:bCs/>
          <w:smallCaps/>
          <w:szCs w:val="24"/>
          <w:lang w:val="pt-BR"/>
        </w:rPr>
        <w:t xml:space="preserve"> </w:t>
      </w:r>
      <w:proofErr w:type="spellStart"/>
      <w:r w:rsidRPr="00115D44">
        <w:rPr>
          <w:rFonts w:cs="Times New Roman"/>
          <w:bCs/>
          <w:smallCaps/>
          <w:szCs w:val="24"/>
          <w:lang w:val="pt-BR"/>
        </w:rPr>
        <w:t>beroep</w:t>
      </w:r>
      <w:proofErr w:type="spellEnd"/>
      <w:r w:rsidRPr="00115D44">
        <w:rPr>
          <w:rFonts w:cs="Times New Roman"/>
          <w:bCs/>
          <w:smallCaps/>
          <w:szCs w:val="24"/>
          <w:lang w:val="pt-BR"/>
        </w:rPr>
        <w:t xml:space="preserve"> (</w:t>
      </w:r>
      <w:r w:rsidRPr="00115D44">
        <w:rPr>
          <w:rFonts w:cs="Times New Roman"/>
          <w:bCs/>
          <w:szCs w:val="24"/>
          <w:lang w:val="pt-BR"/>
        </w:rPr>
        <w:t>2015).</w:t>
      </w:r>
    </w:p>
    <w:p w14:paraId="24F26139" w14:textId="77777777" w:rsidR="00115D44" w:rsidRPr="00B50E5D" w:rsidRDefault="00115D44" w:rsidP="00200C5F">
      <w:pPr>
        <w:spacing w:after="120"/>
        <w:jc w:val="both"/>
        <w:rPr>
          <w:smallCaps/>
          <w:szCs w:val="24"/>
          <w:lang w:val="nl-NL"/>
        </w:rPr>
      </w:pPr>
      <w:proofErr w:type="spellStart"/>
      <w:r w:rsidRPr="00B50E5D">
        <w:rPr>
          <w:smallCaps/>
          <w:szCs w:val="24"/>
          <w:lang w:val="nl-NL"/>
        </w:rPr>
        <w:t>J.G.van</w:t>
      </w:r>
      <w:proofErr w:type="spellEnd"/>
      <w:r w:rsidRPr="00B50E5D">
        <w:rPr>
          <w:smallCaps/>
          <w:szCs w:val="24"/>
          <w:lang w:val="nl-NL"/>
        </w:rPr>
        <w:t xml:space="preserve"> Erp &amp; C.M. Klein Haarhuis</w:t>
      </w:r>
      <w:r w:rsidRPr="00B50E5D">
        <w:rPr>
          <w:szCs w:val="24"/>
          <w:lang w:val="nl-NL"/>
        </w:rPr>
        <w:t xml:space="preserve">, </w:t>
      </w:r>
      <w:r w:rsidRPr="00B50E5D">
        <w:rPr>
          <w:smallCaps/>
          <w:szCs w:val="24"/>
          <w:lang w:val="nl-NL"/>
        </w:rPr>
        <w:t>De filterwerking van buitengerechtelijke procedures (</w:t>
      </w:r>
      <w:r w:rsidRPr="00B50E5D">
        <w:rPr>
          <w:szCs w:val="24"/>
          <w:lang w:val="nl-NL"/>
        </w:rPr>
        <w:t>Cahier</w:t>
      </w:r>
      <w:r w:rsidRPr="00B50E5D">
        <w:rPr>
          <w:smallCaps/>
          <w:szCs w:val="24"/>
          <w:lang w:val="nl-NL"/>
        </w:rPr>
        <w:t xml:space="preserve"> 2006-6, WODC 2006).</w:t>
      </w:r>
    </w:p>
    <w:p w14:paraId="01888E5E" w14:textId="794C2E16" w:rsidR="00115D44" w:rsidRDefault="00115D44" w:rsidP="00200C5F">
      <w:pPr>
        <w:spacing w:after="120"/>
        <w:jc w:val="both"/>
        <w:rPr>
          <w:szCs w:val="24"/>
        </w:rPr>
      </w:pPr>
      <w:r w:rsidRPr="0055639D">
        <w:rPr>
          <w:szCs w:val="24"/>
        </w:rPr>
        <w:t xml:space="preserve">K.J. de Graaf et al., </w:t>
      </w:r>
      <w:r w:rsidRPr="0055639D">
        <w:rPr>
          <w:i/>
          <w:szCs w:val="24"/>
        </w:rPr>
        <w:t xml:space="preserve">Administrative decision-making and legal quality: An introduction, in </w:t>
      </w:r>
      <w:r w:rsidRPr="0055639D">
        <w:rPr>
          <w:smallCaps/>
          <w:szCs w:val="24"/>
        </w:rPr>
        <w:t>Quality of decision-making in public law 3-10</w:t>
      </w:r>
      <w:r w:rsidRPr="0055639D">
        <w:rPr>
          <w:szCs w:val="24"/>
        </w:rPr>
        <w:t xml:space="preserve"> (K.J. de Graaf</w:t>
      </w:r>
      <w:r w:rsidR="001E1A39">
        <w:rPr>
          <w:szCs w:val="24"/>
        </w:rPr>
        <w:t>,</w:t>
      </w:r>
      <w:r w:rsidRPr="0055639D">
        <w:rPr>
          <w:szCs w:val="24"/>
        </w:rPr>
        <w:t xml:space="preserve"> J.H. </w:t>
      </w:r>
      <w:proofErr w:type="spellStart"/>
      <w:r w:rsidRPr="0055639D">
        <w:rPr>
          <w:szCs w:val="24"/>
        </w:rPr>
        <w:t>Jans</w:t>
      </w:r>
      <w:proofErr w:type="spellEnd"/>
      <w:r w:rsidR="001E1A39">
        <w:rPr>
          <w:szCs w:val="24"/>
        </w:rPr>
        <w:t>,</w:t>
      </w:r>
      <w:r w:rsidRPr="0055639D">
        <w:rPr>
          <w:szCs w:val="24"/>
        </w:rPr>
        <w:t xml:space="preserve"> A.T. Marseille</w:t>
      </w:r>
      <w:r w:rsidR="001E1A39">
        <w:rPr>
          <w:szCs w:val="24"/>
        </w:rPr>
        <w:t>,</w:t>
      </w:r>
      <w:r w:rsidRPr="0055639D">
        <w:rPr>
          <w:szCs w:val="24"/>
        </w:rPr>
        <w:t xml:space="preserve"> J. de Ridder 2007).</w:t>
      </w:r>
    </w:p>
    <w:p w14:paraId="6ECA6AA3" w14:textId="7D883444" w:rsidR="00115D44" w:rsidRPr="00B50E5D" w:rsidRDefault="00115D44" w:rsidP="00200C5F">
      <w:pPr>
        <w:spacing w:after="120"/>
        <w:jc w:val="both"/>
        <w:rPr>
          <w:szCs w:val="24"/>
          <w:lang w:val="nl-NL"/>
        </w:rPr>
      </w:pPr>
      <w:r w:rsidRPr="00BB52BD">
        <w:rPr>
          <w:rFonts w:cs="Times New Roman"/>
          <w:i/>
          <w:lang w:val="nl-NL"/>
        </w:rPr>
        <w:t>Kabinet: einde aan gaswinning in Groningen</w:t>
      </w:r>
      <w:r w:rsidRPr="00BB52BD">
        <w:rPr>
          <w:rFonts w:cs="Times New Roman"/>
          <w:lang w:val="nl-NL"/>
        </w:rPr>
        <w:t xml:space="preserve">, </w:t>
      </w:r>
      <w:r w:rsidRPr="00BB52BD">
        <w:rPr>
          <w:rFonts w:cs="Times New Roman"/>
          <w:smallCaps/>
          <w:lang w:val="nl-NL"/>
        </w:rPr>
        <w:t>Rijksoverheid</w:t>
      </w:r>
      <w:r w:rsidRPr="00BB52BD">
        <w:rPr>
          <w:rFonts w:cs="Times New Roman"/>
          <w:lang w:val="nl-NL"/>
        </w:rPr>
        <w:t xml:space="preserve"> (Mar. 29, 2018), </w:t>
      </w:r>
      <w:hyperlink r:id="rId8" w:history="1">
        <w:r w:rsidRPr="00BB52BD">
          <w:rPr>
            <w:rStyle w:val="Hyperlink"/>
            <w:rFonts w:cs="Times New Roman"/>
            <w:color w:val="auto"/>
            <w:u w:val="none"/>
            <w:lang w:val="nl-NL"/>
          </w:rPr>
          <w:t>https://www.rijksoverheid.nl/onderwerpen/gaswinning-in-groningen/nieuws/2018/03/29/kabinet-einde-aan-gaswinning-in-groningen</w:t>
        </w:r>
      </w:hyperlink>
    </w:p>
    <w:p w14:paraId="6669DBC9" w14:textId="1CD1F743" w:rsidR="00115D44" w:rsidRPr="0055639D" w:rsidRDefault="00115D44" w:rsidP="00200C5F">
      <w:pPr>
        <w:spacing w:after="120"/>
        <w:jc w:val="both"/>
        <w:rPr>
          <w:szCs w:val="24"/>
        </w:rPr>
      </w:pPr>
      <w:r w:rsidRPr="0055639D">
        <w:rPr>
          <w:szCs w:val="24"/>
        </w:rPr>
        <w:t>K</w:t>
      </w:r>
      <w:r w:rsidR="000F28F1">
        <w:rPr>
          <w:szCs w:val="24"/>
        </w:rPr>
        <w:t>.</w:t>
      </w:r>
      <w:r w:rsidRPr="0055639D">
        <w:rPr>
          <w:szCs w:val="24"/>
        </w:rPr>
        <w:t xml:space="preserve"> J. de Graaf &amp; Albert T. Marseille, </w:t>
      </w:r>
      <w:r w:rsidRPr="0055639D">
        <w:rPr>
          <w:i/>
          <w:szCs w:val="24"/>
        </w:rPr>
        <w:t xml:space="preserve">On administrative adjudication, administrative justice and public trust. </w:t>
      </w:r>
      <w:proofErr w:type="spellStart"/>
      <w:r w:rsidRPr="0055639D">
        <w:rPr>
          <w:i/>
          <w:szCs w:val="24"/>
        </w:rPr>
        <w:t>Analyzing</w:t>
      </w:r>
      <w:proofErr w:type="spellEnd"/>
      <w:r w:rsidRPr="0055639D">
        <w:rPr>
          <w:i/>
          <w:szCs w:val="24"/>
        </w:rPr>
        <w:t xml:space="preserve"> developments on access to justice in Dutch Administrative law and its application in practice, </w:t>
      </w:r>
      <w:proofErr w:type="gramStart"/>
      <w:r w:rsidRPr="0055639D">
        <w:rPr>
          <w:i/>
          <w:szCs w:val="24"/>
        </w:rPr>
        <w:t xml:space="preserve">in </w:t>
      </w:r>
      <w:r w:rsidRPr="0055639D">
        <w:rPr>
          <w:szCs w:val="24"/>
        </w:rPr>
        <w:t xml:space="preserve"> </w:t>
      </w:r>
      <w:r w:rsidRPr="0055639D">
        <w:rPr>
          <w:smallCaps/>
          <w:szCs w:val="24"/>
        </w:rPr>
        <w:t>On</w:t>
      </w:r>
      <w:proofErr w:type="gramEnd"/>
      <w:r w:rsidRPr="0055639D">
        <w:rPr>
          <w:smallCaps/>
          <w:szCs w:val="24"/>
        </w:rPr>
        <w:t xml:space="preserve"> </w:t>
      </w:r>
      <w:proofErr w:type="spellStart"/>
      <w:r w:rsidRPr="0055639D">
        <w:rPr>
          <w:smallCaps/>
          <w:szCs w:val="24"/>
        </w:rPr>
        <w:t>Lawmaking</w:t>
      </w:r>
      <w:proofErr w:type="spellEnd"/>
      <w:r w:rsidRPr="0055639D">
        <w:rPr>
          <w:smallCaps/>
          <w:szCs w:val="24"/>
        </w:rPr>
        <w:t xml:space="preserve"> and Public trust 103-120 </w:t>
      </w:r>
      <w:r w:rsidRPr="0055639D">
        <w:rPr>
          <w:szCs w:val="24"/>
        </w:rPr>
        <w:t>(</w:t>
      </w:r>
      <w:r w:rsidRPr="0055639D">
        <w:t xml:space="preserve">S. </w:t>
      </w:r>
      <w:proofErr w:type="spellStart"/>
      <w:r w:rsidRPr="0055639D">
        <w:t>Comtois</w:t>
      </w:r>
      <w:proofErr w:type="spellEnd"/>
      <w:r w:rsidRPr="0055639D">
        <w:t xml:space="preserve"> &amp; K. J. de Graaf</w:t>
      </w:r>
      <w:r w:rsidRPr="0055639D">
        <w:rPr>
          <w:szCs w:val="24"/>
        </w:rPr>
        <w:t xml:space="preserve"> 2016). </w:t>
      </w:r>
    </w:p>
    <w:p w14:paraId="06219B0B" w14:textId="5E1E0850" w:rsidR="00115D44" w:rsidRPr="00154AD3" w:rsidRDefault="00115D44" w:rsidP="00200C5F">
      <w:pPr>
        <w:spacing w:after="120"/>
        <w:jc w:val="both"/>
        <w:rPr>
          <w:smallCaps/>
          <w:szCs w:val="24"/>
        </w:rPr>
      </w:pPr>
      <w:r w:rsidRPr="0055639D">
        <w:rPr>
          <w:szCs w:val="24"/>
        </w:rPr>
        <w:t>M</w:t>
      </w:r>
      <w:r w:rsidR="000F28F1">
        <w:rPr>
          <w:szCs w:val="24"/>
        </w:rPr>
        <w:t>.</w:t>
      </w:r>
      <w:r w:rsidRPr="0055639D">
        <w:rPr>
          <w:szCs w:val="24"/>
        </w:rPr>
        <w:t xml:space="preserve"> </w:t>
      </w:r>
      <w:proofErr w:type="spellStart"/>
      <w:r w:rsidRPr="0055639D">
        <w:rPr>
          <w:szCs w:val="24"/>
        </w:rPr>
        <w:t>Wever</w:t>
      </w:r>
      <w:proofErr w:type="spellEnd"/>
      <w:r w:rsidRPr="0055639D">
        <w:rPr>
          <w:szCs w:val="24"/>
        </w:rPr>
        <w:t xml:space="preserve"> &amp; A</w:t>
      </w:r>
      <w:r w:rsidR="000F28F1">
        <w:rPr>
          <w:szCs w:val="24"/>
        </w:rPr>
        <w:t>.</w:t>
      </w:r>
      <w:r w:rsidRPr="0055639D">
        <w:rPr>
          <w:szCs w:val="24"/>
        </w:rPr>
        <w:t xml:space="preserve"> T. Marseille, </w:t>
      </w:r>
      <w:r w:rsidRPr="0055639D">
        <w:rPr>
          <w:i/>
          <w:szCs w:val="24"/>
        </w:rPr>
        <w:t xml:space="preserve">Neutrality and the Dutch objection procedure, </w:t>
      </w:r>
      <w:r w:rsidRPr="0055639D">
        <w:rPr>
          <w:szCs w:val="24"/>
        </w:rPr>
        <w:t>15</w:t>
      </w:r>
      <w:r>
        <w:rPr>
          <w:smallCaps/>
          <w:szCs w:val="24"/>
        </w:rPr>
        <w:t xml:space="preserve"> </w:t>
      </w:r>
      <w:r w:rsidRPr="00154AD3">
        <w:rPr>
          <w:smallCaps/>
          <w:szCs w:val="24"/>
        </w:rPr>
        <w:t>International public administration review 107-</w:t>
      </w:r>
      <w:r w:rsidRPr="007D7450">
        <w:rPr>
          <w:smallCaps/>
          <w:szCs w:val="24"/>
        </w:rPr>
        <w:t>128 (2018).</w:t>
      </w:r>
    </w:p>
    <w:p w14:paraId="5245B37C" w14:textId="77777777" w:rsidR="00115D44" w:rsidRPr="00B50E5D" w:rsidRDefault="00115D44" w:rsidP="00200C5F">
      <w:pPr>
        <w:pStyle w:val="Bibliography"/>
        <w:spacing w:after="120"/>
        <w:jc w:val="both"/>
        <w:rPr>
          <w:szCs w:val="24"/>
          <w:lang w:val="nl-NL"/>
        </w:rPr>
      </w:pPr>
      <w:r w:rsidRPr="00B50E5D">
        <w:rPr>
          <w:smallCaps/>
          <w:szCs w:val="24"/>
          <w:lang w:val="nl-NL"/>
        </w:rPr>
        <w:t xml:space="preserve">Ring </w:t>
      </w:r>
      <w:r w:rsidRPr="00B50E5D">
        <w:rPr>
          <w:szCs w:val="24"/>
          <w:lang w:val="nl-NL"/>
        </w:rPr>
        <w:t>et al</w:t>
      </w:r>
      <w:r w:rsidRPr="00B50E5D">
        <w:rPr>
          <w:smallCaps/>
          <w:szCs w:val="24"/>
          <w:lang w:val="nl-NL"/>
        </w:rPr>
        <w:t>., bestuursrecht 1 (</w:t>
      </w:r>
      <w:r w:rsidRPr="00B50E5D">
        <w:rPr>
          <w:szCs w:val="24"/>
          <w:lang w:val="nl-NL"/>
        </w:rPr>
        <w:t>5th ed. 2016).</w:t>
      </w:r>
    </w:p>
    <w:p w14:paraId="5703889E" w14:textId="029EDA3D" w:rsidR="00115D44" w:rsidRDefault="00115D44" w:rsidP="00F97CB9">
      <w:pPr>
        <w:spacing w:after="120"/>
        <w:jc w:val="both"/>
        <w:rPr>
          <w:smallCaps/>
          <w:szCs w:val="24"/>
        </w:rPr>
      </w:pPr>
      <w:r w:rsidRPr="00154AD3">
        <w:rPr>
          <w:smallCaps/>
          <w:szCs w:val="24"/>
        </w:rPr>
        <w:t>T</w:t>
      </w:r>
      <w:r w:rsidR="000F28F1">
        <w:rPr>
          <w:smallCaps/>
          <w:szCs w:val="24"/>
        </w:rPr>
        <w:t>.</w:t>
      </w:r>
      <w:r w:rsidRPr="00154AD3">
        <w:rPr>
          <w:smallCaps/>
          <w:szCs w:val="24"/>
        </w:rPr>
        <w:t xml:space="preserve"> R. Tyler, Why people obey the law (2006).</w:t>
      </w:r>
    </w:p>
    <w:p w14:paraId="4237AF0E" w14:textId="77777777" w:rsidR="003F1F4F" w:rsidRDefault="003F1F4F" w:rsidP="00B50CC2">
      <w:pPr>
        <w:spacing w:after="0"/>
        <w:jc w:val="both"/>
        <w:rPr>
          <w:smallCaps/>
          <w:szCs w:val="24"/>
        </w:rPr>
      </w:pPr>
    </w:p>
    <w:p w14:paraId="7B6784B2" w14:textId="77777777" w:rsidR="00867D17" w:rsidRDefault="00867D17" w:rsidP="00B50CC2">
      <w:pPr>
        <w:spacing w:after="0"/>
        <w:jc w:val="both"/>
        <w:rPr>
          <w:smallCaps/>
          <w:szCs w:val="24"/>
        </w:rPr>
      </w:pPr>
    </w:p>
    <w:p w14:paraId="6D437DC1" w14:textId="7F10D0D0" w:rsidR="003F1F4F" w:rsidRDefault="003F1F4F" w:rsidP="000913DE">
      <w:pPr>
        <w:spacing w:after="120"/>
        <w:jc w:val="both"/>
        <w:rPr>
          <w:b/>
          <w:szCs w:val="24"/>
        </w:rPr>
      </w:pPr>
      <w:r w:rsidRPr="00867D17">
        <w:rPr>
          <w:b/>
          <w:szCs w:val="24"/>
        </w:rPr>
        <w:t>Cases</w:t>
      </w:r>
    </w:p>
    <w:p w14:paraId="2A600ADF" w14:textId="77777777" w:rsidR="00B50CC2" w:rsidRPr="00201E81" w:rsidRDefault="00B50CC2" w:rsidP="00B50CC2">
      <w:pPr>
        <w:spacing w:after="0"/>
        <w:jc w:val="both"/>
      </w:pPr>
    </w:p>
    <w:p w14:paraId="277DC7FC" w14:textId="40E8AC71" w:rsidR="00867D17" w:rsidRPr="00867D17" w:rsidRDefault="000F28F1" w:rsidP="00867D17">
      <w:pPr>
        <w:spacing w:after="120"/>
        <w:jc w:val="both"/>
        <w:rPr>
          <w:rFonts w:cs="Times New Roman"/>
          <w:szCs w:val="24"/>
        </w:rPr>
      </w:pPr>
      <w:r w:rsidRPr="00867D17">
        <w:rPr>
          <w:rFonts w:cs="Times New Roman"/>
          <w:szCs w:val="24"/>
        </w:rPr>
        <w:t xml:space="preserve">Administrative Jurisdiction Division </w:t>
      </w:r>
      <w:r>
        <w:rPr>
          <w:rFonts w:cs="Times New Roman"/>
          <w:szCs w:val="24"/>
        </w:rPr>
        <w:t>o</w:t>
      </w:r>
      <w:r w:rsidRPr="00867D17">
        <w:rPr>
          <w:rFonts w:cs="Times New Roman"/>
          <w:szCs w:val="24"/>
        </w:rPr>
        <w:t xml:space="preserve">f The Council </w:t>
      </w:r>
      <w:r>
        <w:rPr>
          <w:rFonts w:cs="Times New Roman"/>
          <w:szCs w:val="24"/>
        </w:rPr>
        <w:t>o</w:t>
      </w:r>
      <w:r w:rsidRPr="00867D17">
        <w:rPr>
          <w:rFonts w:cs="Times New Roman"/>
          <w:szCs w:val="24"/>
        </w:rPr>
        <w:t xml:space="preserve">f State, </w:t>
      </w:r>
      <w:r w:rsidR="00867D17" w:rsidRPr="00867D17">
        <w:rPr>
          <w:rFonts w:cs="Times New Roman"/>
          <w:szCs w:val="24"/>
        </w:rPr>
        <w:t>ECLI:</w:t>
      </w:r>
      <w:proofErr w:type="gramStart"/>
      <w:r w:rsidR="00867D17" w:rsidRPr="00867D17">
        <w:rPr>
          <w:rFonts w:cs="Times New Roman"/>
          <w:szCs w:val="24"/>
        </w:rPr>
        <w:t>NL:RVS</w:t>
      </w:r>
      <w:proofErr w:type="gramEnd"/>
      <w:r w:rsidR="00867D17" w:rsidRPr="00867D17">
        <w:rPr>
          <w:rFonts w:cs="Times New Roman"/>
          <w:szCs w:val="24"/>
        </w:rPr>
        <w:t>:2017:3156 (Nov. 15, 2017).</w:t>
      </w:r>
    </w:p>
    <w:p w14:paraId="1F6DCC37" w14:textId="603D1E44" w:rsidR="00867D17" w:rsidRPr="00867D17" w:rsidRDefault="000F28F1" w:rsidP="00867D17">
      <w:pPr>
        <w:pStyle w:val="FootnoteText"/>
        <w:spacing w:after="120"/>
        <w:jc w:val="both"/>
        <w:rPr>
          <w:rFonts w:cs="Times New Roman"/>
          <w:sz w:val="24"/>
          <w:szCs w:val="24"/>
        </w:rPr>
      </w:pPr>
      <w:r w:rsidRPr="00867D17">
        <w:rPr>
          <w:rFonts w:cs="Times New Roman"/>
          <w:sz w:val="24"/>
          <w:szCs w:val="24"/>
        </w:rPr>
        <w:t xml:space="preserve">Court </w:t>
      </w:r>
      <w:r>
        <w:rPr>
          <w:rFonts w:cs="Times New Roman"/>
          <w:sz w:val="24"/>
          <w:szCs w:val="24"/>
        </w:rPr>
        <w:t>o</w:t>
      </w:r>
      <w:r w:rsidRPr="00867D17">
        <w:rPr>
          <w:rFonts w:cs="Times New Roman"/>
          <w:sz w:val="24"/>
          <w:szCs w:val="24"/>
        </w:rPr>
        <w:t xml:space="preserve">f Appeal The Hague, </w:t>
      </w:r>
      <w:r w:rsidR="00867D17" w:rsidRPr="00867D17">
        <w:rPr>
          <w:rFonts w:cs="Times New Roman"/>
          <w:sz w:val="24"/>
          <w:szCs w:val="24"/>
        </w:rPr>
        <w:t>ECLI:</w:t>
      </w:r>
      <w:proofErr w:type="gramStart"/>
      <w:r w:rsidR="00867D17" w:rsidRPr="00867D17">
        <w:rPr>
          <w:rFonts w:cs="Times New Roman"/>
          <w:sz w:val="24"/>
          <w:szCs w:val="24"/>
        </w:rPr>
        <w:t>NL:GHDHA</w:t>
      </w:r>
      <w:proofErr w:type="gramEnd"/>
      <w:r w:rsidR="00867D17" w:rsidRPr="00867D17">
        <w:rPr>
          <w:rFonts w:cs="Times New Roman"/>
          <w:sz w:val="24"/>
          <w:szCs w:val="24"/>
        </w:rPr>
        <w:t>:2018:2610 (</w:t>
      </w:r>
      <w:proofErr w:type="spellStart"/>
      <w:r w:rsidR="00867D17" w:rsidRPr="00867D17">
        <w:rPr>
          <w:rFonts w:cs="Times New Roman"/>
          <w:sz w:val="24"/>
          <w:szCs w:val="24"/>
        </w:rPr>
        <w:t>english</w:t>
      </w:r>
      <w:proofErr w:type="spellEnd"/>
      <w:r w:rsidR="00867D17" w:rsidRPr="00867D17">
        <w:rPr>
          <w:rFonts w:cs="Times New Roman"/>
          <w:sz w:val="24"/>
          <w:szCs w:val="24"/>
        </w:rPr>
        <w:t xml:space="preserve"> translation), (Oct. 09, 2018). </w:t>
      </w:r>
    </w:p>
    <w:p w14:paraId="52402043" w14:textId="20848B48" w:rsidR="00867D17" w:rsidRPr="00867D17" w:rsidRDefault="000F28F1" w:rsidP="00867D17">
      <w:pPr>
        <w:pStyle w:val="FootnoteText"/>
        <w:spacing w:after="120"/>
        <w:jc w:val="both"/>
        <w:rPr>
          <w:rFonts w:cs="Times New Roman"/>
          <w:sz w:val="24"/>
          <w:szCs w:val="24"/>
        </w:rPr>
      </w:pPr>
      <w:r w:rsidRPr="00867D17">
        <w:rPr>
          <w:rFonts w:cs="Times New Roman"/>
          <w:sz w:val="24"/>
          <w:szCs w:val="24"/>
        </w:rPr>
        <w:t xml:space="preserve">Court </w:t>
      </w:r>
      <w:r>
        <w:rPr>
          <w:rFonts w:cs="Times New Roman"/>
          <w:sz w:val="24"/>
          <w:szCs w:val="24"/>
        </w:rPr>
        <w:t>o</w:t>
      </w:r>
      <w:r w:rsidRPr="00867D17">
        <w:rPr>
          <w:rFonts w:cs="Times New Roman"/>
          <w:sz w:val="24"/>
          <w:szCs w:val="24"/>
        </w:rPr>
        <w:t>f The Hague</w:t>
      </w:r>
      <w:r w:rsidR="00867D17" w:rsidRPr="00867D17">
        <w:rPr>
          <w:rFonts w:cs="Times New Roman"/>
          <w:sz w:val="24"/>
          <w:szCs w:val="24"/>
        </w:rPr>
        <w:t>, ECLI:</w:t>
      </w:r>
      <w:proofErr w:type="gramStart"/>
      <w:r w:rsidR="00867D17" w:rsidRPr="00867D17">
        <w:rPr>
          <w:rFonts w:cs="Times New Roman"/>
          <w:sz w:val="24"/>
          <w:szCs w:val="24"/>
        </w:rPr>
        <w:t>NL:RBDHA</w:t>
      </w:r>
      <w:proofErr w:type="gramEnd"/>
      <w:r w:rsidR="00867D17" w:rsidRPr="00867D17">
        <w:rPr>
          <w:rFonts w:cs="Times New Roman"/>
          <w:sz w:val="24"/>
          <w:szCs w:val="24"/>
        </w:rPr>
        <w:t>:7196 (</w:t>
      </w:r>
      <w:proofErr w:type="spellStart"/>
      <w:r w:rsidR="00867D17" w:rsidRPr="00867D17">
        <w:rPr>
          <w:rFonts w:cs="Times New Roman"/>
          <w:sz w:val="24"/>
          <w:szCs w:val="24"/>
        </w:rPr>
        <w:t>english</w:t>
      </w:r>
      <w:proofErr w:type="spellEnd"/>
      <w:r w:rsidR="00867D17" w:rsidRPr="00867D17">
        <w:rPr>
          <w:rFonts w:cs="Times New Roman"/>
          <w:sz w:val="24"/>
          <w:szCs w:val="24"/>
        </w:rPr>
        <w:t xml:space="preserve"> translation) (June 24, 2015). </w:t>
      </w:r>
    </w:p>
    <w:p w14:paraId="2663514C" w14:textId="069BF92A" w:rsidR="00867D17" w:rsidRPr="00867D17" w:rsidRDefault="000F28F1" w:rsidP="00867D17">
      <w:pPr>
        <w:pStyle w:val="FootnoteText"/>
        <w:spacing w:after="120"/>
        <w:jc w:val="both"/>
        <w:rPr>
          <w:rFonts w:cs="Times New Roman"/>
          <w:sz w:val="24"/>
          <w:szCs w:val="24"/>
        </w:rPr>
      </w:pPr>
      <w:r w:rsidRPr="00867D17">
        <w:rPr>
          <w:rFonts w:cs="Times New Roman"/>
          <w:sz w:val="24"/>
          <w:szCs w:val="24"/>
        </w:rPr>
        <w:t>Supreme Court</w:t>
      </w:r>
      <w:r w:rsidR="00867D17" w:rsidRPr="00867D17">
        <w:rPr>
          <w:rFonts w:cs="Times New Roman"/>
          <w:sz w:val="24"/>
          <w:szCs w:val="24"/>
        </w:rPr>
        <w:t>, ECLI:NL:HR:</w:t>
      </w:r>
      <w:proofErr w:type="gramStart"/>
      <w:r w:rsidR="00867D17" w:rsidRPr="00867D17">
        <w:rPr>
          <w:rFonts w:cs="Times New Roman"/>
          <w:sz w:val="24"/>
          <w:szCs w:val="24"/>
        </w:rPr>
        <w:t>1965:AB</w:t>
      </w:r>
      <w:proofErr w:type="gramEnd"/>
      <w:r w:rsidR="00867D17" w:rsidRPr="00867D17">
        <w:rPr>
          <w:rFonts w:cs="Times New Roman"/>
          <w:sz w:val="24"/>
          <w:szCs w:val="24"/>
        </w:rPr>
        <w:t>7079 (Nov. 05, 1965).</w:t>
      </w:r>
    </w:p>
    <w:p w14:paraId="65F03E9C" w14:textId="77777777" w:rsidR="00867D17" w:rsidRPr="00867D17" w:rsidRDefault="00867D17" w:rsidP="00F97CB9">
      <w:pPr>
        <w:spacing w:after="120"/>
        <w:jc w:val="both"/>
        <w:rPr>
          <w:szCs w:val="24"/>
        </w:rPr>
      </w:pPr>
    </w:p>
    <w:p w14:paraId="45F015FB" w14:textId="77777777" w:rsidR="00867D17" w:rsidRPr="00867D17" w:rsidRDefault="00867D17" w:rsidP="00F97CB9">
      <w:pPr>
        <w:spacing w:after="120"/>
        <w:jc w:val="both"/>
        <w:rPr>
          <w:szCs w:val="24"/>
        </w:rPr>
      </w:pPr>
    </w:p>
    <w:sectPr w:rsidR="00867D17" w:rsidRPr="00867D17" w:rsidSect="0096759D">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9AA38" w14:textId="77777777" w:rsidR="00F14FB9" w:rsidRDefault="00F14FB9" w:rsidP="00E165B0">
      <w:pPr>
        <w:spacing w:after="0"/>
      </w:pPr>
      <w:r>
        <w:separator/>
      </w:r>
    </w:p>
  </w:endnote>
  <w:endnote w:type="continuationSeparator" w:id="0">
    <w:p w14:paraId="6B8BA091" w14:textId="77777777" w:rsidR="00F14FB9" w:rsidRDefault="00F14FB9" w:rsidP="00E165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C00DE" w14:textId="77777777" w:rsidR="00F14FB9" w:rsidRDefault="00F14FB9" w:rsidP="00E165B0">
      <w:pPr>
        <w:spacing w:after="0"/>
      </w:pPr>
      <w:r>
        <w:separator/>
      </w:r>
    </w:p>
  </w:footnote>
  <w:footnote w:type="continuationSeparator" w:id="0">
    <w:p w14:paraId="1E369440" w14:textId="77777777" w:rsidR="00F14FB9" w:rsidRDefault="00F14FB9" w:rsidP="00E165B0">
      <w:pPr>
        <w:spacing w:after="0"/>
      </w:pPr>
      <w:r>
        <w:continuationSeparator/>
      </w:r>
    </w:p>
  </w:footnote>
  <w:footnote w:id="1">
    <w:p w14:paraId="091E2B51" w14:textId="70C75826" w:rsidR="000913DE" w:rsidRPr="00B50E5D" w:rsidRDefault="000913DE" w:rsidP="000913DE">
      <w:pPr>
        <w:spacing w:after="0"/>
        <w:jc w:val="both"/>
        <w:rPr>
          <w:sz w:val="20"/>
          <w:szCs w:val="20"/>
        </w:rPr>
      </w:pPr>
      <w:r w:rsidRPr="00B50E5D">
        <w:rPr>
          <w:rFonts w:cs="Times New Roman"/>
          <w:sz w:val="20"/>
          <w:szCs w:val="20"/>
          <w:shd w:val="clear" w:color="auto" w:fill="FFFFFF"/>
          <w:lang w:val="en-US"/>
        </w:rPr>
        <w:t>* Exp</w:t>
      </w:r>
      <w:r w:rsidR="00B50E5D" w:rsidRPr="00B50E5D">
        <w:rPr>
          <w:rFonts w:cs="Times New Roman"/>
          <w:sz w:val="20"/>
          <w:szCs w:val="20"/>
          <w:shd w:val="clear" w:color="auto" w:fill="FFFFFF"/>
          <w:lang w:val="en-US"/>
        </w:rPr>
        <w:t>anded abstract adapted from the presentations</w:t>
      </w:r>
      <w:r w:rsidRPr="00B50E5D">
        <w:rPr>
          <w:rFonts w:cs="Times New Roman"/>
          <w:sz w:val="20"/>
          <w:szCs w:val="20"/>
          <w:shd w:val="clear" w:color="auto" w:fill="FFFFFF"/>
          <w:lang w:val="en-US"/>
        </w:rPr>
        <w:t xml:space="preserve"> given </w:t>
      </w:r>
      <w:r w:rsidR="00B50E5D" w:rsidRPr="00B50E5D">
        <w:rPr>
          <w:rFonts w:cs="Times New Roman"/>
          <w:sz w:val="20"/>
          <w:szCs w:val="20"/>
          <w:shd w:val="clear" w:color="auto" w:fill="FFFFFF"/>
          <w:lang w:val="en-US"/>
        </w:rPr>
        <w:t>during</w:t>
      </w:r>
      <w:r w:rsidRPr="00B50E5D">
        <w:rPr>
          <w:rFonts w:cs="Times New Roman"/>
          <w:sz w:val="20"/>
          <w:szCs w:val="20"/>
          <w:shd w:val="clear" w:color="auto" w:fill="FFFFFF"/>
          <w:lang w:val="en-US"/>
        </w:rPr>
        <w:t xml:space="preserve"> the following events: 1) seminar “Comparative Study of the Theoretical Foundations of Judicial Deference” held in Rio de Janeiro on September 3, 2018 as part of the Post-Graduate Law Program of the </w:t>
      </w:r>
      <w:proofErr w:type="spellStart"/>
      <w:r w:rsidRPr="00B50E5D">
        <w:rPr>
          <w:rFonts w:cs="Times New Roman"/>
          <w:sz w:val="20"/>
          <w:szCs w:val="20"/>
          <w:shd w:val="clear" w:color="auto" w:fill="FFFFFF"/>
          <w:lang w:val="en-US"/>
        </w:rPr>
        <w:t>Estácio</w:t>
      </w:r>
      <w:proofErr w:type="spellEnd"/>
      <w:r w:rsidRPr="00B50E5D">
        <w:rPr>
          <w:rFonts w:cs="Times New Roman"/>
          <w:sz w:val="20"/>
          <w:szCs w:val="20"/>
          <w:shd w:val="clear" w:color="auto" w:fill="FFFFFF"/>
          <w:lang w:val="en-US"/>
        </w:rPr>
        <w:t xml:space="preserve"> de Sá University / PPGD-</w:t>
      </w:r>
      <w:proofErr w:type="spellStart"/>
      <w:r w:rsidRPr="00B50E5D">
        <w:rPr>
          <w:rFonts w:cs="Times New Roman"/>
          <w:sz w:val="20"/>
          <w:szCs w:val="20"/>
          <w:shd w:val="clear" w:color="auto" w:fill="FFFFFF"/>
          <w:lang w:val="en-US"/>
        </w:rPr>
        <w:t>Unesa</w:t>
      </w:r>
      <w:proofErr w:type="spellEnd"/>
      <w:r w:rsidRPr="00B50E5D">
        <w:rPr>
          <w:rFonts w:cs="Times New Roman"/>
          <w:sz w:val="20"/>
          <w:szCs w:val="20"/>
          <w:shd w:val="clear" w:color="auto" w:fill="FFFFFF"/>
          <w:lang w:val="en-US"/>
        </w:rPr>
        <w:t>, 2) the roundtable “Comparative Study of the Theoretical Foundations of Judicial Deference”, organized by the Law and Society Association’s collaborative research network “Comparative Constitutional Law and Legal Culture: Asia and the Americas”, at the 2019 Annual Meeting of the Law and Society Association, on 30 June 2019, in Washington, D.C., and 3) the roundtable “The Judiciary and the Administrative State” as part of the seminar “Global Constitutional Dialogue: Judicial Challenges for the 21</w:t>
      </w:r>
      <w:r w:rsidRPr="00B50E5D">
        <w:rPr>
          <w:rFonts w:cs="Times New Roman"/>
          <w:sz w:val="20"/>
          <w:szCs w:val="20"/>
          <w:shd w:val="clear" w:color="auto" w:fill="FFFFFF"/>
          <w:vertAlign w:val="superscript"/>
          <w:lang w:val="en-US"/>
        </w:rPr>
        <w:t>st</w:t>
      </w:r>
      <w:r w:rsidRPr="00B50E5D">
        <w:rPr>
          <w:rFonts w:cs="Times New Roman"/>
          <w:sz w:val="20"/>
          <w:szCs w:val="20"/>
          <w:shd w:val="clear" w:color="auto" w:fill="FFFFFF"/>
          <w:lang w:val="en-US"/>
        </w:rPr>
        <w:t xml:space="preserve"> Century” held at Birmingham City University, in Birmingham, UK, on 4 September 2019. All the above-mentioned events were carried out in the framework of the research project “The “Comparative Study of the Theoretical Foundations of Judicial Deference”, carried out by the Centre for American Legal Studies (The School of Law, Birmingham City University - BCU) jointly with the Post-Graduate Law Program of the </w:t>
      </w:r>
      <w:proofErr w:type="spellStart"/>
      <w:r w:rsidRPr="00B50E5D">
        <w:rPr>
          <w:rFonts w:cs="Times New Roman"/>
          <w:sz w:val="20"/>
          <w:szCs w:val="20"/>
          <w:shd w:val="clear" w:color="auto" w:fill="FFFFFF"/>
          <w:lang w:val="en-US"/>
        </w:rPr>
        <w:t>Estácio</w:t>
      </w:r>
      <w:proofErr w:type="spellEnd"/>
      <w:r w:rsidRPr="00B50E5D">
        <w:rPr>
          <w:rFonts w:cs="Times New Roman"/>
          <w:sz w:val="20"/>
          <w:szCs w:val="20"/>
          <w:shd w:val="clear" w:color="auto" w:fill="FFFFFF"/>
          <w:lang w:val="en-US"/>
        </w:rPr>
        <w:t xml:space="preserve"> de Sá University / PPGD-</w:t>
      </w:r>
      <w:proofErr w:type="spellStart"/>
      <w:r w:rsidRPr="00B50E5D">
        <w:rPr>
          <w:rFonts w:cs="Times New Roman"/>
          <w:sz w:val="20"/>
          <w:szCs w:val="20"/>
          <w:shd w:val="clear" w:color="auto" w:fill="FFFFFF"/>
          <w:lang w:val="en-US"/>
        </w:rPr>
        <w:t>Unesa</w:t>
      </w:r>
      <w:proofErr w:type="spellEnd"/>
      <w:r w:rsidRPr="00B50E5D">
        <w:rPr>
          <w:rFonts w:cs="Times New Roman"/>
          <w:sz w:val="20"/>
          <w:szCs w:val="20"/>
          <w:shd w:val="clear" w:color="auto" w:fill="FFFFFF"/>
          <w:lang w:val="en-US"/>
        </w:rPr>
        <w:t>, under the coordination of the professors Ricardo Perlingeiro (</w:t>
      </w:r>
      <w:proofErr w:type="spellStart"/>
      <w:r w:rsidRPr="00B50E5D">
        <w:rPr>
          <w:rFonts w:cs="Times New Roman"/>
          <w:sz w:val="20"/>
          <w:szCs w:val="20"/>
          <w:shd w:val="clear" w:color="auto" w:fill="FFFFFF"/>
          <w:lang w:val="en-US"/>
        </w:rPr>
        <w:t>Unesa</w:t>
      </w:r>
      <w:proofErr w:type="spellEnd"/>
      <w:r w:rsidRPr="00B50E5D">
        <w:rPr>
          <w:rFonts w:cs="Times New Roman"/>
          <w:sz w:val="20"/>
          <w:szCs w:val="20"/>
          <w:shd w:val="clear" w:color="auto" w:fill="FFFFFF"/>
          <w:lang w:val="en-US"/>
        </w:rPr>
        <w:t>) and Anne Oakes (BCU).</w:t>
      </w:r>
    </w:p>
    <w:p w14:paraId="66ACAAB7" w14:textId="78BFDD17" w:rsidR="000913DE" w:rsidRDefault="000913DE" w:rsidP="000913DE">
      <w:pPr>
        <w:pStyle w:val="FootnoteText"/>
        <w:jc w:val="both"/>
        <w:rPr>
          <w:rFonts w:cs="Times New Roman"/>
        </w:rPr>
      </w:pPr>
      <w:r w:rsidRPr="00B50E5D">
        <w:t xml:space="preserve">** </w:t>
      </w:r>
      <w:r w:rsidRPr="00B50E5D">
        <w:rPr>
          <w:rFonts w:eastAsia="Times New Roman" w:cs="Times New Roman"/>
          <w:lang w:val="en-US" w:eastAsia="pt-BR"/>
        </w:rPr>
        <w:t>Dr Friso</w:t>
      </w:r>
      <w:r w:rsidR="00472DE7">
        <w:rPr>
          <w:rFonts w:eastAsia="Times New Roman" w:cs="Times New Roman"/>
          <w:lang w:val="en-US" w:eastAsia="pt-BR"/>
        </w:rPr>
        <w:t xml:space="preserve"> Johannes</w:t>
      </w:r>
      <w:r w:rsidRPr="00B50E5D">
        <w:rPr>
          <w:rFonts w:eastAsia="Times New Roman" w:cs="Times New Roman"/>
          <w:lang w:val="en-US" w:eastAsia="pt-BR"/>
        </w:rPr>
        <w:t xml:space="preserve"> Jansen is a </w:t>
      </w:r>
      <w:r w:rsidR="00B50E5D" w:rsidRPr="00B50E5D">
        <w:rPr>
          <w:rFonts w:eastAsia="Times New Roman" w:cs="Times New Roman"/>
          <w:lang w:val="en-US" w:eastAsia="pt-BR"/>
        </w:rPr>
        <w:t xml:space="preserve">Senior </w:t>
      </w:r>
      <w:r w:rsidRPr="00B50E5D">
        <w:rPr>
          <w:rFonts w:eastAsia="Times New Roman" w:cs="Times New Roman"/>
          <w:lang w:val="en-US" w:eastAsia="pt-BR"/>
        </w:rPr>
        <w:t>Lecturer in Law</w:t>
      </w:r>
      <w:r w:rsidR="00472DE7">
        <w:rPr>
          <w:rFonts w:eastAsia="Times New Roman" w:cs="Times New Roman"/>
          <w:lang w:val="en-US" w:eastAsia="pt-BR"/>
        </w:rPr>
        <w:t xml:space="preserve"> at BCU</w:t>
      </w:r>
      <w:r w:rsidRPr="00B50E5D">
        <w:rPr>
          <w:rFonts w:eastAsia="Times New Roman" w:cs="Times New Roman"/>
          <w:lang w:val="en-US" w:eastAsia="pt-BR"/>
        </w:rPr>
        <w:t xml:space="preserve">. He is the module leader for Public Law on the </w:t>
      </w:r>
      <w:r w:rsidR="00B50E5D" w:rsidRPr="00B50E5D">
        <w:rPr>
          <w:rFonts w:eastAsia="Times New Roman" w:cs="Times New Roman"/>
          <w:lang w:val="en-US" w:eastAsia="pt-BR"/>
        </w:rPr>
        <w:t xml:space="preserve">PGDL </w:t>
      </w:r>
      <w:proofErr w:type="spellStart"/>
      <w:r w:rsidR="00B50E5D" w:rsidRPr="00B50E5D">
        <w:rPr>
          <w:rFonts w:eastAsia="Times New Roman" w:cs="Times New Roman"/>
          <w:lang w:val="en-US" w:eastAsia="pt-BR"/>
        </w:rPr>
        <w:t>programme</w:t>
      </w:r>
      <w:proofErr w:type="spellEnd"/>
      <w:r w:rsidRPr="00B50E5D">
        <w:rPr>
          <w:rFonts w:eastAsia="Times New Roman" w:cs="Times New Roman"/>
          <w:lang w:val="en-US" w:eastAsia="pt-BR"/>
        </w:rPr>
        <w:t>. He is also responsible for the</w:t>
      </w:r>
      <w:r w:rsidR="00B50E5D" w:rsidRPr="00B50E5D">
        <w:rPr>
          <w:rFonts w:eastAsia="Times New Roman" w:cs="Times New Roman"/>
          <w:lang w:val="en-US" w:eastAsia="pt-BR"/>
        </w:rPr>
        <w:t xml:space="preserve"> LLB Module on Medical Law &amp; Ethics and</w:t>
      </w:r>
      <w:r w:rsidRPr="00B50E5D">
        <w:rPr>
          <w:rFonts w:eastAsia="Times New Roman" w:cs="Times New Roman"/>
          <w:lang w:val="en-US" w:eastAsia="pt-BR"/>
        </w:rPr>
        <w:t xml:space="preserve"> LLM module on Global Health Law.</w:t>
      </w:r>
    </w:p>
    <w:p w14:paraId="1BC0F281" w14:textId="77777777" w:rsidR="00E165B0" w:rsidRPr="00E56076" w:rsidRDefault="00E165B0" w:rsidP="00E56076">
      <w:pPr>
        <w:pStyle w:val="FootnoteText"/>
        <w:jc w:val="both"/>
        <w:rPr>
          <w:rFonts w:cs="Times New Roman"/>
        </w:rPr>
      </w:pPr>
      <w:r w:rsidRPr="00E56076">
        <w:rPr>
          <w:rStyle w:val="FootnoteReference"/>
          <w:rFonts w:cs="Times New Roman"/>
        </w:rPr>
        <w:footnoteRef/>
      </w:r>
      <w:r w:rsidRPr="00E56076">
        <w:rPr>
          <w:rFonts w:cs="Times New Roman"/>
        </w:rPr>
        <w:t xml:space="preserve"> Article 7:1 General Administrative Law Act. </w:t>
      </w:r>
    </w:p>
  </w:footnote>
  <w:footnote w:id="2">
    <w:p w14:paraId="4A347BA2" w14:textId="5D975C4E" w:rsidR="00D36E05" w:rsidRPr="00B50E5D" w:rsidRDefault="00D36E05">
      <w:pPr>
        <w:pStyle w:val="FootnoteText"/>
        <w:rPr>
          <w:lang w:val="nl-NL"/>
        </w:rPr>
      </w:pPr>
      <w:r>
        <w:rPr>
          <w:rStyle w:val="FootnoteReference"/>
        </w:rPr>
        <w:footnoteRef/>
      </w:r>
      <w:r w:rsidRPr="00B50E5D">
        <w:rPr>
          <w:lang w:val="nl-NL"/>
        </w:rPr>
        <w:t xml:space="preserve"> </w:t>
      </w:r>
      <w:r w:rsidRPr="006E70C3">
        <w:rPr>
          <w:rFonts w:cs="Times New Roman"/>
          <w:szCs w:val="24"/>
        </w:rPr>
        <w:fldChar w:fldCharType="begin"/>
      </w:r>
      <w:r w:rsidRPr="00B50E5D">
        <w:rPr>
          <w:rFonts w:cs="Times New Roman"/>
          <w:szCs w:val="24"/>
          <w:lang w:val="nl-NL"/>
        </w:rPr>
        <w:instrText xml:space="preserve"> ADDIN ZOTERO_ITEM CSL_CITATION {"citationID":"G1Bp09QK","properties":{"formattedCitation":"{\\scaps A.T. Marseille et al.}, {\\scaps Bestuursrecht 2}, at 173 (6th ed. 2016).","plainCitation":"A.T. Marseille et al., Bestuursrecht 2, at 173 (6th ed. 2016).","noteIndex":0},"citationItems":[{"id":"18JJQufH/enGp1bRt","uris":["http://zotero.org/users/1623662/items/DRCSJ6EW"],"uri":["http://zotero.org/users/1623662/items/DRCSJ6EW"],"itemData":{"id":5459,"type":"book","title":"Bestuursrecht 2","publisher":"Boom Juridische Uitgevers","publisher-place":"The Hague","edition":"6","source":"Open WorldCat","event-place":"The Hague","ISBN":"978-94-6290-183-4","note":"OCLC: 958295097","language":"Dutch","author":[{"family":"Marseille","given":"A.T"},{"family":"Tolsma","given":"H.D"},{"family":"Bröring","given":"H.E"},{"family":"Damen","given":"L.J.A"},{"family":"Graaf","given":"K.J.","dropping-particle":"de"},{"family":"Montfort","given":"A.J.G.M.","dropping-particle":"van"},{"family":"Schueler","given":"B.J"},{"family":"Winter","given":"H.B"}],"issued":{"date-parts":[["2016"]]}},"locator":"173"}],"schema":"https://github.com/citation-style-language/schema/raw/master/csl-citation.json"} </w:instrText>
      </w:r>
      <w:r w:rsidRPr="006E70C3">
        <w:rPr>
          <w:rFonts w:cs="Times New Roman"/>
          <w:szCs w:val="24"/>
        </w:rPr>
        <w:fldChar w:fldCharType="separate"/>
      </w:r>
      <w:r w:rsidRPr="00B50E5D">
        <w:rPr>
          <w:rFonts w:cs="Times New Roman"/>
          <w:szCs w:val="24"/>
          <w:lang w:val="nl-NL"/>
        </w:rPr>
        <w:t>A.T.</w:t>
      </w:r>
      <w:r w:rsidRPr="00B50E5D">
        <w:rPr>
          <w:rFonts w:cs="Times New Roman"/>
          <w:smallCaps/>
          <w:szCs w:val="24"/>
          <w:lang w:val="nl-NL"/>
        </w:rPr>
        <w:t xml:space="preserve"> Marseille </w:t>
      </w:r>
      <w:r w:rsidRPr="00B50E5D">
        <w:rPr>
          <w:rFonts w:cs="Times New Roman"/>
          <w:szCs w:val="24"/>
          <w:lang w:val="nl-NL"/>
        </w:rPr>
        <w:t>et al</w:t>
      </w:r>
      <w:r w:rsidRPr="00B50E5D">
        <w:rPr>
          <w:rFonts w:cs="Times New Roman"/>
          <w:smallCaps/>
          <w:szCs w:val="24"/>
          <w:lang w:val="nl-NL"/>
        </w:rPr>
        <w:t>.</w:t>
      </w:r>
      <w:r w:rsidRPr="00B50E5D">
        <w:rPr>
          <w:rFonts w:cs="Times New Roman"/>
          <w:szCs w:val="24"/>
          <w:lang w:val="nl-NL"/>
        </w:rPr>
        <w:t xml:space="preserve">, </w:t>
      </w:r>
      <w:r w:rsidRPr="00B50E5D">
        <w:rPr>
          <w:rFonts w:cs="Times New Roman"/>
          <w:smallCaps/>
          <w:szCs w:val="24"/>
          <w:lang w:val="nl-NL"/>
        </w:rPr>
        <w:t>Bestuursrecht 2,</w:t>
      </w:r>
      <w:r w:rsidRPr="00B50E5D">
        <w:rPr>
          <w:rFonts w:cs="Times New Roman"/>
          <w:szCs w:val="24"/>
          <w:lang w:val="nl-NL"/>
        </w:rPr>
        <w:t xml:space="preserve"> 173 (6th ed. 2016).</w:t>
      </w:r>
      <w:r w:rsidRPr="006E70C3">
        <w:rPr>
          <w:rFonts w:cs="Times New Roman"/>
          <w:szCs w:val="24"/>
        </w:rPr>
        <w:fldChar w:fldCharType="end"/>
      </w:r>
    </w:p>
  </w:footnote>
  <w:footnote w:id="3">
    <w:p w14:paraId="28E7F8A7" w14:textId="1D33309E" w:rsidR="00274ED8" w:rsidRPr="00B50E5D" w:rsidRDefault="00274ED8" w:rsidP="00563FC9">
      <w:pPr>
        <w:pStyle w:val="FootnoteText"/>
        <w:jc w:val="both"/>
        <w:rPr>
          <w:lang w:val="nl-NL"/>
        </w:rPr>
      </w:pPr>
      <w:r>
        <w:rPr>
          <w:rStyle w:val="FootnoteReference"/>
        </w:rPr>
        <w:footnoteRef/>
      </w:r>
      <w:r w:rsidRPr="00B50E5D">
        <w:rPr>
          <w:lang w:val="nl-NL"/>
        </w:rPr>
        <w:t xml:space="preserve"> </w:t>
      </w:r>
      <w:r w:rsidRPr="006E70C3">
        <w:rPr>
          <w:rFonts w:cs="Times New Roman"/>
          <w:szCs w:val="24"/>
          <w:lang w:val="nl-NL"/>
        </w:rPr>
        <w:t xml:space="preserve">J.G. van Erp &amp; C.M. Klein Haarhuis, </w:t>
      </w:r>
      <w:r w:rsidRPr="00F97CB9">
        <w:rPr>
          <w:rFonts w:cs="Times New Roman"/>
          <w:iCs/>
          <w:smallCaps/>
          <w:szCs w:val="24"/>
          <w:lang w:val="nl-NL"/>
        </w:rPr>
        <w:t>De filterwerking van buitengerechtelijke procedures</w:t>
      </w:r>
      <w:r w:rsidRPr="006E70C3">
        <w:rPr>
          <w:rFonts w:cs="Times New Roman"/>
          <w:szCs w:val="24"/>
          <w:lang w:val="nl-NL"/>
        </w:rPr>
        <w:t xml:space="preserve"> (Cahier 2006-6, WODC 2006)</w:t>
      </w:r>
      <w:r>
        <w:rPr>
          <w:rFonts w:cs="Times New Roman"/>
          <w:szCs w:val="24"/>
          <w:lang w:val="nl-NL"/>
        </w:rPr>
        <w:t>.</w:t>
      </w:r>
    </w:p>
  </w:footnote>
  <w:footnote w:id="4">
    <w:p w14:paraId="1109FDD9" w14:textId="1F65D9DE" w:rsidR="00E165B0" w:rsidRPr="00025066" w:rsidRDefault="00E165B0" w:rsidP="00D20FCB">
      <w:pPr>
        <w:pStyle w:val="FootnoteText"/>
        <w:jc w:val="both"/>
        <w:rPr>
          <w:rFonts w:cs="Times New Roman"/>
        </w:rPr>
      </w:pPr>
      <w:r w:rsidRPr="006E70C3">
        <w:rPr>
          <w:rStyle w:val="FootnoteReference"/>
          <w:rFonts w:cs="Times New Roman"/>
        </w:rPr>
        <w:footnoteRef/>
      </w:r>
      <w:r w:rsidRPr="006E70C3">
        <w:rPr>
          <w:rFonts w:cs="Times New Roman"/>
        </w:rPr>
        <w:t xml:space="preserve"> Among many: </w:t>
      </w:r>
      <w:r w:rsidRPr="00D36E05">
        <w:rPr>
          <w:rFonts w:cs="Times New Roman"/>
        </w:rPr>
        <w:fldChar w:fldCharType="begin"/>
      </w:r>
      <w:r w:rsidRPr="00025066">
        <w:rPr>
          <w:rFonts w:cs="Times New Roman"/>
        </w:rPr>
        <w:instrText xml:space="preserve"> ADDIN ZOTERO_ITEM CSL_CITATION {"citationID":"BzNDo4ze","properties":{"formattedCitation":"A.T. Marseille &amp; I.M. Boekema, {\\i{}Administrative Decision-Making in Reaction to a Court Judgment Can the Administrative Judge Guide the Decision-Making Process?}, 9 {\\scaps Utrecht Law Review} 51 (2013); Bert Marseille et al., {\\i{}Hoger beroep in het bestuursrecht: massaal gebruik, ontevreden gebruikers}, 38 {\\scaps Recht der Werkelijkheid} (2017); Marc Wever &amp; Albert T. Marseille, {\\i{}Neutrality and the Dutch Objection Procedure}, 15 {\\scaps International Public Administration Review} 107 (2018); Kars J. de Graaf &amp; Albert T. Marseille, {\\i{}On Administrative Adjudication, Administrative Justice and Public Trust. Analyzing Developments on Access to Justice in Dutch Administrative Law and Its Application in Practice}, {\\i{}in} {\\scaps On Lawmaking and Public Trust} 19 (Governance &amp; Recht, volume 14, 2016); Marseille &amp; Boekema, {\\i{}supra}; K.J. de Graaf et al., {\\i{}Administrative Decision-Making and Legal Quality: An Introduction}, {\\i{}in} {\\scaps Quality of Decision-Making in Public Law} 11 (2007); {\\scaps I.M. Boekema}, {\\scaps De stap naar hoger beroep.} (2015).","plainCitation":"A.T. Marseille &amp; I.M. Boekema, Administrative Decision-Making in Reaction to a Court Judgment Can the Administrative Judge Guide the Decision-Making Process?, 9 Utrecht Law Review 51 (2013); Bert Marseille et al., Hoger beroep in het bestuursrecht: massaal gebruik, ontevreden gebruikers, 38 Recht der Werkelijkheid (2017); Marc Wever &amp; Albert T. Marseille, Neutrality and the Dutch Objection Procedure, 15 International Public Administration Review 107 (2018); Kars J. de Graaf &amp; Albert T. Marseille, On Administrative Adjudication, Administrative Justice and Public Trust. Analyzing Developments on Access to Justice in Dutch Administrative Law and Its Application in Practice, in On Lawmaking and Public Trust 19 (Governance &amp; Recht, volume 14, 2016); Marseille &amp; Boekema, supra; K.J. de Graaf et al., Administrative Decision-Making and Legal Quality: An Introduction, in Quality of Decision-Making in Public Law 11 (2007); I.M. Boekema, De stap naar hoger beroep. (2015).","noteIndex":2},"citationItems":[{"id":"18JJQufH/CbshdC5X","uris":["http://zotero.org/users/1623662/items/3C56KX68"],"uri":["http://zotero.org/users/1623662/items/3C56KX68"],"itemData":{"id":5454,"type":"article-journal","title":"Administrative Decision-Making in Reaction to a Court Judgment Can the Administrative Judge Guide the Decision-Making Process?","container-title":"Utrecht Law Review","page":"51","volume":"9","issue":"3","source":"Crossref","DOI":"10.18352/ulr.236","ISSN":"1871-515X","language":"en","author":[{"family":"Marseille","given":"A.T."},{"family":"Boekema","given":"I.M."}],"issued":{"date-parts":[["2013",7,12]]}},"label":"page"},{"id":"18JJQufH/eKkxwGnC","uris":["http://zotero.org/users/1623662/items/L8Q82U8J"],"uri":["http://zotero.org/users/1623662/items/L8Q82U8J"],"itemData":{"id":5455,"type":"article-journal","title":"Hoger beroep in het bestuursrecht: massaal gebruik, ontevreden gebruikers","container-title":"Recht der Werkelijkheid","volume":"38","issue":"2","source":"Crossref","URL":"http://www.bjutijdschriften.nl/doi/10.5553/RdW/138064242017038002005","DOI":"10.5553/RdW/138064242017038002005","ISSN":"1380-6424","title-short":"Hoger beroep in het bestuursrecht","language":"nl","author":[{"family":"Marseille","given":"Bert"},{"family":"Brink","given":"Barbara"},{"family":"Boekema","given":"Martje"}],"issued":{"date-parts":[["2017",11]]},"accessed":{"date-parts":[["2018",8,14]]}},"label":"page"},{"id":"18JJQufH/xZ2hSBKq","uris":["http://zotero.org/users/1623662/items/XIXEVWKB"],"uri":["http://zotero.org/users/1623662/items/XIXEVWKB"],"itemData":{"id":5457,"type":"article-journal","title":"Neutrality and the Dutch Objection Procedure","container-title":"International Public Administration Review","page":"107","volume":"15","issue":"3-4","source":"Crossref","abstract":"In the Netherlands, if someone disagrees with an administrative order, he is only allowed to seek redress with the administrative courts after he has lodged an objection with the administrative authority responsible for the order. The objection procedure entails that an administrative body reconsiders its own decision. In this contribution we study the preference of objectors concerning the organization of the procedure and to what extent their preference is related to the perceived (lack of) neutrality of the person who conducted their hearing. In particular we focus on the effects of the use of neutral ‘outsiders’ when conducting hearings. Based on the literature we assumed that the use of outsiders would benefit the experienced impartiality of the person(s) conducting the hearing. The results of two discussed studies however do not support this assumption. The formal status of the persons conducting the hearing is a poor predictor of the extent to which they are perceived as neutral by participants of the procedure.","DOI":"10.17573/ipar.2017.3-4.05","ISSN":"2385-9717, 2335-3414","language":"en","author":[{"family":"Wever","given":"Marc"},{"family":"Marseille","given":"Albert T."}],"issued":{"date-parts":[["2018",1,5]]}},"label":"page"},{"id":"18JJQufH/mNBlpToM","uris":["http://zotero.org/users/1623662/items/SR7QMEMN"],"uri":["http://zotero.org/users/1623662/items/SR7QMEMN"],"itemData":{"id":5456,"type":"chapter","title":"On Administrative Adjudication, Administrative Justice and Public Trust. Analyzing Developments on Access to Justice in Dutch Administrative Law and Its Application in Practice","container-title":"On Lawmaking and Public Trust","collection-title":"Governance &amp; Recht","collection-number":"14","publisher":"Eleven International Publishing","publisher-place":"The Hague","page":"19","source":"Zotero","event-place":"The Hague","language":"en","author":[{"family":"Graaf","given":"Kars J","non-dropping-particle":"de"},{"family":"Marseille","given":"Albert T"}],"issued":{"date-parts":[["2016"]]}},"label":"page"},{"id":"18JJQufH/CbshdC5X","uris":["http://zotero.org/users/1623662/items/3C56KX68"],"uri":["http://zotero.org/users/1623662/items/3C56KX68"],"itemData":{"id":5454,"type":"article-journal","title":"Administrative Decision-Making in Reaction to a Court Judgment Can the Administrative Judge Guide the Decision-Making Process?","container-title":"Utrecht Law Review","page":"51","volume":"9","issue":"3","source":"Crossref","DOI":"10.18352/ulr.236","ISSN":"1871-515X","language":"en","author":[{"family":"Marseille","given":"A.T."},{"family":"Boekema","given":"I.M."}],"issued":{"date-parts":[["2013",7,12]]}},"label":"page"},{"id":"18JJQufH/qW0X2vt9","uris":["http://zotero.org/users/1623662/items/LB3BXP62"],"uri":["http://zotero.org/users/1623662/items/LB3BXP62"],"itemData":{"id":5452,"type":"chapter","title":"Administrative decision-making and legal quality: an introduction","container-title":"Quality of Decision-Making in Public Law","publisher":"Europa Law Publishing","publisher-place":"Groningen","page":"11","source":"Zotero","event-place":"Groningen","language":"en","author":[{"family":"Graaf","given":"K J","non-dropping-particle":"de"},{"family":"Jans","given":"J H"},{"family":"Marseille","given":"A T"},{"family":"Ridder","given":"J","non-dropping-particle":"de"}],"issued":{"date-parts":[["2007"]]}},"label":"page"},{"id":"18JJQufH/e72diS1E","uris":["http://zotero.org/users/1623662/items/WSJMFAMY"],"uri":["http://zotero.org/users/1623662/items/WSJMFAMY"],"itemData":{"id":5451,"type":"book","title":"De stap naar hoger beroep.","publisher":"Boom Juridische uitgevers","publisher-place":"Den Haag","source":"Open WorldCat","event-place":"Den Haag","abstract":"Burgers die hun geschil met een overheidsinstantie aan de bestuursrechter hebben voorgelegd, gaan opvallend vaak in hoger beroep als ze hun zaak verliezen. Wat is daar de reden van? Is de procedure in de eerste aanleg dan zo onzorgvuldig? Roept de gang van zaken bij de rechter weerstanden op? Of wegen burgers de kosten en baten van doorprocederen zorgvuldig af? En bevat het stelsel kennelijk prikkels om door te procederen? Dit zijn de vragen die in dit omvangrijke feitenonderzoek stap voor stap worden beantwoord. Uit een nauwkeurige statistische analyse van interviews met meer dan 300 burgers komt naar voren dat rechtzoekenden vaak afzien van hoger beroep omdat zij de kosten hiervan te hoog vinden en de baten te gering. Degenen die juist wel hoger beroep instellen, zijn vaker ontevreden over de besluitvorming tot nog toe. Deze appellanten willen vooral dat er nu eindelijk aan hen recht wordt gedaan. Dit boek is daarmee een absolute must voor een ieder die betrokken is bij bestuursrechtelijke procedures. Maar dit boek is ook van groot belang voor al diegenen die plannen ontwerpen en bekritiseren om ons stelsel van bestuursrechtspraak meer doelmatig te laten werken.0.","ISBN":"978-94-6290-104-9","note":"OCLC: 911019778","language":"nl","author":[{"family":"Boekema","given":"I. M"}],"issued":{"date-parts":[["2015"]]}},"label":"page"}],"schema":"https://github.com/citation-style-language/schema/raw/master/csl-citation.json"} </w:instrText>
      </w:r>
      <w:r w:rsidRPr="00D36E05">
        <w:rPr>
          <w:rFonts w:cs="Times New Roman"/>
        </w:rPr>
        <w:fldChar w:fldCharType="separate"/>
      </w:r>
      <w:r w:rsidRPr="00025066">
        <w:rPr>
          <w:rFonts w:cs="Times New Roman"/>
        </w:rPr>
        <w:t xml:space="preserve">A.T. Marseille &amp; I.M. </w:t>
      </w:r>
      <w:proofErr w:type="spellStart"/>
      <w:r w:rsidRPr="00025066">
        <w:rPr>
          <w:rFonts w:cs="Times New Roman"/>
        </w:rPr>
        <w:t>Boekema</w:t>
      </w:r>
      <w:proofErr w:type="spellEnd"/>
      <w:r w:rsidRPr="00025066">
        <w:rPr>
          <w:rFonts w:cs="Times New Roman"/>
        </w:rPr>
        <w:t xml:space="preserve">, </w:t>
      </w:r>
      <w:r w:rsidRPr="00025066">
        <w:rPr>
          <w:rFonts w:cs="Times New Roman"/>
          <w:i/>
          <w:iCs/>
        </w:rPr>
        <w:t xml:space="preserve">Administrative </w:t>
      </w:r>
      <w:r w:rsidR="00B431D0" w:rsidRPr="00025066">
        <w:rPr>
          <w:rFonts w:cs="Times New Roman"/>
          <w:i/>
          <w:iCs/>
        </w:rPr>
        <w:t>d</w:t>
      </w:r>
      <w:r w:rsidRPr="00025066">
        <w:rPr>
          <w:rFonts w:cs="Times New Roman"/>
          <w:i/>
          <w:iCs/>
        </w:rPr>
        <w:t>ecision-</w:t>
      </w:r>
      <w:r w:rsidR="00B431D0" w:rsidRPr="00025066">
        <w:rPr>
          <w:rFonts w:cs="Times New Roman"/>
          <w:i/>
          <w:iCs/>
        </w:rPr>
        <w:t>m</w:t>
      </w:r>
      <w:r w:rsidRPr="00025066">
        <w:rPr>
          <w:rFonts w:cs="Times New Roman"/>
          <w:i/>
          <w:iCs/>
        </w:rPr>
        <w:t xml:space="preserve">aking in </w:t>
      </w:r>
      <w:r w:rsidR="00B431D0" w:rsidRPr="00025066">
        <w:rPr>
          <w:rFonts w:cs="Times New Roman"/>
          <w:i/>
          <w:iCs/>
        </w:rPr>
        <w:t>r</w:t>
      </w:r>
      <w:r w:rsidRPr="00025066">
        <w:rPr>
          <w:rFonts w:cs="Times New Roman"/>
          <w:i/>
          <w:iCs/>
        </w:rPr>
        <w:t xml:space="preserve">eaction to a Court </w:t>
      </w:r>
      <w:r w:rsidR="00B431D0" w:rsidRPr="00025066">
        <w:rPr>
          <w:rFonts w:cs="Times New Roman"/>
          <w:i/>
          <w:iCs/>
        </w:rPr>
        <w:t>j</w:t>
      </w:r>
      <w:r w:rsidRPr="00025066">
        <w:rPr>
          <w:rFonts w:cs="Times New Roman"/>
          <w:i/>
          <w:iCs/>
        </w:rPr>
        <w:t xml:space="preserve">udgment </w:t>
      </w:r>
      <w:r w:rsidR="00B431D0" w:rsidRPr="00025066">
        <w:rPr>
          <w:rFonts w:cs="Times New Roman"/>
          <w:i/>
          <w:iCs/>
        </w:rPr>
        <w:t>c</w:t>
      </w:r>
      <w:r w:rsidRPr="00025066">
        <w:rPr>
          <w:rFonts w:cs="Times New Roman"/>
          <w:i/>
          <w:iCs/>
        </w:rPr>
        <w:t xml:space="preserve">an the </w:t>
      </w:r>
      <w:r w:rsidR="00B431D0" w:rsidRPr="00025066">
        <w:rPr>
          <w:rFonts w:cs="Times New Roman"/>
          <w:i/>
          <w:iCs/>
        </w:rPr>
        <w:t>a</w:t>
      </w:r>
      <w:r w:rsidRPr="00025066">
        <w:rPr>
          <w:rFonts w:cs="Times New Roman"/>
          <w:i/>
          <w:iCs/>
        </w:rPr>
        <w:t xml:space="preserve">dministrative </w:t>
      </w:r>
      <w:r w:rsidR="00B431D0" w:rsidRPr="00025066">
        <w:rPr>
          <w:rFonts w:cs="Times New Roman"/>
          <w:i/>
          <w:iCs/>
        </w:rPr>
        <w:t>j</w:t>
      </w:r>
      <w:r w:rsidRPr="00025066">
        <w:rPr>
          <w:rFonts w:cs="Times New Roman"/>
          <w:i/>
          <w:iCs/>
        </w:rPr>
        <w:t xml:space="preserve">udge </w:t>
      </w:r>
      <w:r w:rsidR="00B431D0" w:rsidRPr="00025066">
        <w:rPr>
          <w:rFonts w:cs="Times New Roman"/>
          <w:i/>
          <w:iCs/>
        </w:rPr>
        <w:t>g</w:t>
      </w:r>
      <w:r w:rsidRPr="00025066">
        <w:rPr>
          <w:rFonts w:cs="Times New Roman"/>
          <w:i/>
          <w:iCs/>
        </w:rPr>
        <w:t xml:space="preserve">uide the </w:t>
      </w:r>
      <w:r w:rsidR="00B431D0" w:rsidRPr="00025066">
        <w:rPr>
          <w:rFonts w:cs="Times New Roman"/>
          <w:i/>
          <w:iCs/>
        </w:rPr>
        <w:t>d</w:t>
      </w:r>
      <w:r w:rsidRPr="00025066">
        <w:rPr>
          <w:rFonts w:cs="Times New Roman"/>
          <w:i/>
          <w:iCs/>
        </w:rPr>
        <w:t>ecision-</w:t>
      </w:r>
      <w:r w:rsidR="00B431D0" w:rsidRPr="00025066">
        <w:rPr>
          <w:rFonts w:cs="Times New Roman"/>
          <w:i/>
          <w:iCs/>
        </w:rPr>
        <w:t>m</w:t>
      </w:r>
      <w:r w:rsidRPr="00025066">
        <w:rPr>
          <w:rFonts w:cs="Times New Roman"/>
          <w:i/>
          <w:iCs/>
        </w:rPr>
        <w:t xml:space="preserve">aking </w:t>
      </w:r>
      <w:r w:rsidR="00B431D0" w:rsidRPr="00025066">
        <w:rPr>
          <w:rFonts w:cs="Times New Roman"/>
          <w:i/>
          <w:iCs/>
        </w:rPr>
        <w:t>p</w:t>
      </w:r>
      <w:r w:rsidRPr="00025066">
        <w:rPr>
          <w:rFonts w:cs="Times New Roman"/>
          <w:i/>
          <w:iCs/>
        </w:rPr>
        <w:t>rocess?</w:t>
      </w:r>
      <w:r w:rsidRPr="00025066">
        <w:rPr>
          <w:rFonts w:cs="Times New Roman"/>
        </w:rPr>
        <w:t xml:space="preserve">, 9 </w:t>
      </w:r>
      <w:r w:rsidRPr="00025066">
        <w:rPr>
          <w:rFonts w:cs="Times New Roman"/>
          <w:smallCaps/>
        </w:rPr>
        <w:t>Utrecht Law Review</w:t>
      </w:r>
      <w:r w:rsidRPr="00025066">
        <w:rPr>
          <w:rFonts w:cs="Times New Roman"/>
        </w:rPr>
        <w:t xml:space="preserve"> </w:t>
      </w:r>
      <w:r w:rsidR="00B36F12" w:rsidRPr="00025066">
        <w:rPr>
          <w:rFonts w:cs="Times New Roman"/>
        </w:rPr>
        <w:t xml:space="preserve">(3) </w:t>
      </w:r>
      <w:r w:rsidRPr="00025066">
        <w:rPr>
          <w:rFonts w:cs="Times New Roman"/>
        </w:rPr>
        <w:t xml:space="preserve">51 (2013); Bert Marseille et al., </w:t>
      </w:r>
      <w:proofErr w:type="spellStart"/>
      <w:r w:rsidRPr="00025066">
        <w:rPr>
          <w:rFonts w:cs="Times New Roman"/>
          <w:i/>
          <w:iCs/>
        </w:rPr>
        <w:t>Hoger</w:t>
      </w:r>
      <w:proofErr w:type="spellEnd"/>
      <w:r w:rsidRPr="00025066">
        <w:rPr>
          <w:rFonts w:cs="Times New Roman"/>
          <w:i/>
          <w:iCs/>
        </w:rPr>
        <w:t xml:space="preserve"> </w:t>
      </w:r>
      <w:proofErr w:type="spellStart"/>
      <w:r w:rsidRPr="00025066">
        <w:rPr>
          <w:rFonts w:cs="Times New Roman"/>
          <w:i/>
          <w:iCs/>
        </w:rPr>
        <w:t>beroep</w:t>
      </w:r>
      <w:proofErr w:type="spellEnd"/>
      <w:r w:rsidRPr="00025066">
        <w:rPr>
          <w:rFonts w:cs="Times New Roman"/>
          <w:i/>
          <w:iCs/>
        </w:rPr>
        <w:t xml:space="preserve"> in het </w:t>
      </w:r>
      <w:proofErr w:type="spellStart"/>
      <w:r w:rsidRPr="00025066">
        <w:rPr>
          <w:rFonts w:cs="Times New Roman"/>
          <w:i/>
          <w:iCs/>
        </w:rPr>
        <w:t>bestuursrecht</w:t>
      </w:r>
      <w:proofErr w:type="spellEnd"/>
      <w:r w:rsidRPr="00025066">
        <w:rPr>
          <w:rFonts w:cs="Times New Roman"/>
          <w:i/>
          <w:iCs/>
        </w:rPr>
        <w:t xml:space="preserve">: </w:t>
      </w:r>
      <w:proofErr w:type="spellStart"/>
      <w:r w:rsidRPr="00025066">
        <w:rPr>
          <w:rFonts w:cs="Times New Roman"/>
          <w:i/>
          <w:iCs/>
        </w:rPr>
        <w:t>massaal</w:t>
      </w:r>
      <w:proofErr w:type="spellEnd"/>
      <w:r w:rsidRPr="00025066">
        <w:rPr>
          <w:rFonts w:cs="Times New Roman"/>
          <w:i/>
          <w:iCs/>
        </w:rPr>
        <w:t xml:space="preserve"> </w:t>
      </w:r>
      <w:proofErr w:type="spellStart"/>
      <w:r w:rsidRPr="00025066">
        <w:rPr>
          <w:rFonts w:cs="Times New Roman"/>
          <w:i/>
          <w:iCs/>
        </w:rPr>
        <w:t>gebruik</w:t>
      </w:r>
      <w:proofErr w:type="spellEnd"/>
      <w:r w:rsidRPr="00025066">
        <w:rPr>
          <w:rFonts w:cs="Times New Roman"/>
          <w:i/>
          <w:iCs/>
        </w:rPr>
        <w:t xml:space="preserve">, </w:t>
      </w:r>
      <w:proofErr w:type="spellStart"/>
      <w:r w:rsidRPr="00025066">
        <w:rPr>
          <w:rFonts w:cs="Times New Roman"/>
          <w:i/>
          <w:iCs/>
        </w:rPr>
        <w:t>ontevreden</w:t>
      </w:r>
      <w:proofErr w:type="spellEnd"/>
      <w:r w:rsidRPr="00025066">
        <w:rPr>
          <w:rFonts w:cs="Times New Roman"/>
          <w:i/>
          <w:iCs/>
        </w:rPr>
        <w:t xml:space="preserve"> </w:t>
      </w:r>
      <w:proofErr w:type="spellStart"/>
      <w:r w:rsidRPr="00025066">
        <w:rPr>
          <w:rFonts w:cs="Times New Roman"/>
          <w:i/>
          <w:iCs/>
        </w:rPr>
        <w:t>gebruikers</w:t>
      </w:r>
      <w:proofErr w:type="spellEnd"/>
      <w:r w:rsidRPr="00025066">
        <w:rPr>
          <w:rFonts w:cs="Times New Roman"/>
        </w:rPr>
        <w:t xml:space="preserve">, 38 </w:t>
      </w:r>
      <w:proofErr w:type="spellStart"/>
      <w:r w:rsidRPr="00025066">
        <w:rPr>
          <w:rFonts w:cs="Times New Roman"/>
          <w:smallCaps/>
        </w:rPr>
        <w:t>Recht</w:t>
      </w:r>
      <w:proofErr w:type="spellEnd"/>
      <w:r w:rsidRPr="00025066">
        <w:rPr>
          <w:rFonts w:cs="Times New Roman"/>
          <w:smallCaps/>
        </w:rPr>
        <w:t xml:space="preserve"> der </w:t>
      </w:r>
      <w:proofErr w:type="spellStart"/>
      <w:r w:rsidRPr="00025066">
        <w:rPr>
          <w:rFonts w:cs="Times New Roman"/>
          <w:smallCaps/>
        </w:rPr>
        <w:t>Werkelijkheid</w:t>
      </w:r>
      <w:proofErr w:type="spellEnd"/>
      <w:r w:rsidRPr="00025066">
        <w:rPr>
          <w:rFonts w:cs="Times New Roman"/>
        </w:rPr>
        <w:t xml:space="preserve"> </w:t>
      </w:r>
      <w:r w:rsidR="00B431D0" w:rsidRPr="00025066">
        <w:rPr>
          <w:rFonts w:cs="Times New Roman"/>
        </w:rPr>
        <w:t xml:space="preserve">(2) </w:t>
      </w:r>
      <w:r w:rsidR="00B36F12" w:rsidRPr="00025066">
        <w:rPr>
          <w:rFonts w:cs="Times New Roman"/>
        </w:rPr>
        <w:t xml:space="preserve">76 </w:t>
      </w:r>
      <w:r w:rsidRPr="00025066">
        <w:rPr>
          <w:rFonts w:cs="Times New Roman"/>
        </w:rPr>
        <w:t xml:space="preserve">(2017); Marc </w:t>
      </w:r>
      <w:proofErr w:type="spellStart"/>
      <w:r w:rsidRPr="00025066">
        <w:rPr>
          <w:rFonts w:cs="Times New Roman"/>
        </w:rPr>
        <w:t>Wever</w:t>
      </w:r>
      <w:proofErr w:type="spellEnd"/>
      <w:r w:rsidRPr="00025066">
        <w:rPr>
          <w:rFonts w:cs="Times New Roman"/>
        </w:rPr>
        <w:t xml:space="preserve"> &amp; Albert T. Marseille, </w:t>
      </w:r>
      <w:r w:rsidRPr="00025066">
        <w:rPr>
          <w:rFonts w:cs="Times New Roman"/>
          <w:i/>
          <w:iCs/>
        </w:rPr>
        <w:t xml:space="preserve">Neutrality and the Dutch </w:t>
      </w:r>
      <w:r w:rsidR="00B431D0" w:rsidRPr="00025066">
        <w:rPr>
          <w:rFonts w:cs="Times New Roman"/>
          <w:i/>
          <w:iCs/>
        </w:rPr>
        <w:t>o</w:t>
      </w:r>
      <w:r w:rsidRPr="00025066">
        <w:rPr>
          <w:rFonts w:cs="Times New Roman"/>
          <w:i/>
          <w:iCs/>
        </w:rPr>
        <w:t xml:space="preserve">bjection </w:t>
      </w:r>
      <w:r w:rsidR="00B431D0" w:rsidRPr="00025066">
        <w:rPr>
          <w:rFonts w:cs="Times New Roman"/>
          <w:i/>
          <w:iCs/>
        </w:rPr>
        <w:t>p</w:t>
      </w:r>
      <w:r w:rsidRPr="00025066">
        <w:rPr>
          <w:rFonts w:cs="Times New Roman"/>
          <w:i/>
          <w:iCs/>
        </w:rPr>
        <w:t>rocedure</w:t>
      </w:r>
      <w:r w:rsidRPr="00025066">
        <w:rPr>
          <w:rFonts w:cs="Times New Roman"/>
        </w:rPr>
        <w:t xml:space="preserve">, 15 </w:t>
      </w:r>
      <w:r w:rsidRPr="00025066">
        <w:rPr>
          <w:rFonts w:cs="Times New Roman"/>
          <w:smallCaps/>
        </w:rPr>
        <w:t>International Public Administration Review</w:t>
      </w:r>
      <w:r w:rsidRPr="00025066">
        <w:rPr>
          <w:rFonts w:cs="Times New Roman"/>
        </w:rPr>
        <w:t xml:space="preserve"> 107 (2018); Kars J. de Graaf &amp; Albert T. Marseille, </w:t>
      </w:r>
      <w:r w:rsidRPr="00025066">
        <w:rPr>
          <w:rFonts w:cs="Times New Roman"/>
          <w:i/>
          <w:iCs/>
        </w:rPr>
        <w:t xml:space="preserve">On </w:t>
      </w:r>
      <w:r w:rsidR="00675840" w:rsidRPr="00025066">
        <w:rPr>
          <w:rFonts w:cs="Times New Roman"/>
          <w:i/>
          <w:iCs/>
        </w:rPr>
        <w:t>a</w:t>
      </w:r>
      <w:r w:rsidRPr="00025066">
        <w:rPr>
          <w:rFonts w:cs="Times New Roman"/>
          <w:i/>
          <w:iCs/>
        </w:rPr>
        <w:t xml:space="preserve">dministrative </w:t>
      </w:r>
      <w:r w:rsidR="00675840" w:rsidRPr="00025066">
        <w:rPr>
          <w:rFonts w:cs="Times New Roman"/>
          <w:i/>
          <w:iCs/>
        </w:rPr>
        <w:t>a</w:t>
      </w:r>
      <w:r w:rsidRPr="00025066">
        <w:rPr>
          <w:rFonts w:cs="Times New Roman"/>
          <w:i/>
          <w:iCs/>
        </w:rPr>
        <w:t xml:space="preserve">djudication, </w:t>
      </w:r>
      <w:r w:rsidR="00675840" w:rsidRPr="00025066">
        <w:rPr>
          <w:rFonts w:cs="Times New Roman"/>
          <w:i/>
          <w:iCs/>
        </w:rPr>
        <w:t>a</w:t>
      </w:r>
      <w:r w:rsidRPr="00025066">
        <w:rPr>
          <w:rFonts w:cs="Times New Roman"/>
          <w:i/>
          <w:iCs/>
        </w:rPr>
        <w:t xml:space="preserve">dministrative </w:t>
      </w:r>
      <w:r w:rsidR="00675840" w:rsidRPr="00025066">
        <w:rPr>
          <w:rFonts w:cs="Times New Roman"/>
          <w:i/>
          <w:iCs/>
        </w:rPr>
        <w:t>j</w:t>
      </w:r>
      <w:r w:rsidRPr="00025066">
        <w:rPr>
          <w:rFonts w:cs="Times New Roman"/>
          <w:i/>
          <w:iCs/>
        </w:rPr>
        <w:t xml:space="preserve">ustice and </w:t>
      </w:r>
      <w:r w:rsidR="00675840" w:rsidRPr="00025066">
        <w:rPr>
          <w:rFonts w:cs="Times New Roman"/>
          <w:i/>
          <w:iCs/>
        </w:rPr>
        <w:t>p</w:t>
      </w:r>
      <w:r w:rsidRPr="00025066">
        <w:rPr>
          <w:rFonts w:cs="Times New Roman"/>
          <w:i/>
          <w:iCs/>
        </w:rPr>
        <w:t xml:space="preserve">ublic </w:t>
      </w:r>
      <w:r w:rsidR="00675840" w:rsidRPr="009C621D">
        <w:rPr>
          <w:rFonts w:cs="Times New Roman"/>
          <w:i/>
          <w:iCs/>
        </w:rPr>
        <w:t>t</w:t>
      </w:r>
      <w:r w:rsidRPr="009C621D">
        <w:rPr>
          <w:rFonts w:cs="Times New Roman"/>
          <w:i/>
          <w:iCs/>
        </w:rPr>
        <w:t xml:space="preserve">rust. </w:t>
      </w:r>
      <w:proofErr w:type="spellStart"/>
      <w:r w:rsidRPr="009C621D">
        <w:rPr>
          <w:rFonts w:cs="Times New Roman"/>
          <w:i/>
          <w:iCs/>
        </w:rPr>
        <w:t>Analyzing</w:t>
      </w:r>
      <w:proofErr w:type="spellEnd"/>
      <w:r w:rsidRPr="009C621D">
        <w:rPr>
          <w:rFonts w:cs="Times New Roman"/>
          <w:i/>
          <w:iCs/>
        </w:rPr>
        <w:t xml:space="preserve"> </w:t>
      </w:r>
      <w:r w:rsidR="00675840" w:rsidRPr="009C621D">
        <w:rPr>
          <w:rFonts w:cs="Times New Roman"/>
          <w:i/>
          <w:iCs/>
        </w:rPr>
        <w:t>d</w:t>
      </w:r>
      <w:r w:rsidRPr="009C621D">
        <w:rPr>
          <w:rFonts w:cs="Times New Roman"/>
          <w:i/>
          <w:iCs/>
        </w:rPr>
        <w:t xml:space="preserve">evelopments on </w:t>
      </w:r>
      <w:r w:rsidR="00675840" w:rsidRPr="009C621D">
        <w:rPr>
          <w:rFonts w:cs="Times New Roman"/>
          <w:i/>
          <w:iCs/>
        </w:rPr>
        <w:t>a</w:t>
      </w:r>
      <w:r w:rsidRPr="009C621D">
        <w:rPr>
          <w:rFonts w:cs="Times New Roman"/>
          <w:i/>
          <w:iCs/>
        </w:rPr>
        <w:t xml:space="preserve">ccess to </w:t>
      </w:r>
      <w:r w:rsidR="00675840" w:rsidRPr="009C621D">
        <w:rPr>
          <w:rFonts w:cs="Times New Roman"/>
          <w:i/>
          <w:iCs/>
        </w:rPr>
        <w:t>j</w:t>
      </w:r>
      <w:r w:rsidRPr="009C621D">
        <w:rPr>
          <w:rFonts w:cs="Times New Roman"/>
          <w:i/>
          <w:iCs/>
        </w:rPr>
        <w:t xml:space="preserve">ustice in Dutch Administrative </w:t>
      </w:r>
      <w:r w:rsidR="00675840" w:rsidRPr="00694F06">
        <w:rPr>
          <w:rFonts w:cs="Times New Roman"/>
          <w:i/>
          <w:iCs/>
        </w:rPr>
        <w:t>l</w:t>
      </w:r>
      <w:r w:rsidRPr="00694F06">
        <w:rPr>
          <w:rFonts w:cs="Times New Roman"/>
          <w:i/>
          <w:iCs/>
        </w:rPr>
        <w:t xml:space="preserve">aw and </w:t>
      </w:r>
      <w:r w:rsidR="00675840" w:rsidRPr="00025066">
        <w:rPr>
          <w:rFonts w:cs="Times New Roman"/>
          <w:i/>
          <w:iCs/>
        </w:rPr>
        <w:t>i</w:t>
      </w:r>
      <w:r w:rsidRPr="00025066">
        <w:rPr>
          <w:rFonts w:cs="Times New Roman"/>
          <w:i/>
          <w:iCs/>
        </w:rPr>
        <w:t xml:space="preserve">ts </w:t>
      </w:r>
      <w:r w:rsidR="00675840" w:rsidRPr="00025066">
        <w:rPr>
          <w:rFonts w:cs="Times New Roman"/>
          <w:i/>
          <w:iCs/>
        </w:rPr>
        <w:t>a</w:t>
      </w:r>
      <w:r w:rsidRPr="00025066">
        <w:rPr>
          <w:rFonts w:cs="Times New Roman"/>
          <w:i/>
          <w:iCs/>
        </w:rPr>
        <w:t xml:space="preserve">pplication in </w:t>
      </w:r>
      <w:r w:rsidR="00675840" w:rsidRPr="00025066">
        <w:rPr>
          <w:rFonts w:cs="Times New Roman"/>
          <w:i/>
          <w:iCs/>
        </w:rPr>
        <w:t>p</w:t>
      </w:r>
      <w:r w:rsidRPr="00025066">
        <w:rPr>
          <w:rFonts w:cs="Times New Roman"/>
          <w:i/>
          <w:iCs/>
        </w:rPr>
        <w:t>ractice</w:t>
      </w:r>
      <w:r w:rsidRPr="00025066">
        <w:rPr>
          <w:rFonts w:cs="Times New Roman"/>
        </w:rPr>
        <w:t xml:space="preserve">, </w:t>
      </w:r>
      <w:r w:rsidR="007839D3" w:rsidRPr="00025066">
        <w:rPr>
          <w:rFonts w:cs="Times New Roman"/>
          <w:i/>
        </w:rPr>
        <w:t xml:space="preserve">in </w:t>
      </w:r>
      <w:r w:rsidRPr="00025066">
        <w:rPr>
          <w:rFonts w:cs="Times New Roman"/>
          <w:smallCaps/>
        </w:rPr>
        <w:t xml:space="preserve">On </w:t>
      </w:r>
      <w:proofErr w:type="spellStart"/>
      <w:r w:rsidRPr="00025066">
        <w:rPr>
          <w:rFonts w:cs="Times New Roman"/>
          <w:smallCaps/>
        </w:rPr>
        <w:t>Lawmaking</w:t>
      </w:r>
      <w:proofErr w:type="spellEnd"/>
      <w:r w:rsidRPr="00025066">
        <w:rPr>
          <w:rFonts w:cs="Times New Roman"/>
          <w:smallCaps/>
        </w:rPr>
        <w:t xml:space="preserve"> and Public Trust</w:t>
      </w:r>
      <w:r w:rsidR="00B50E5D">
        <w:rPr>
          <w:rFonts w:cs="Times New Roman"/>
        </w:rPr>
        <w:t xml:space="preserve"> </w:t>
      </w:r>
      <w:r w:rsidRPr="00025066">
        <w:rPr>
          <w:rFonts w:cs="Times New Roman"/>
        </w:rPr>
        <w:t xml:space="preserve"> (</w:t>
      </w:r>
      <w:r w:rsidR="00675840" w:rsidRPr="00025066">
        <w:t xml:space="preserve">S. </w:t>
      </w:r>
      <w:proofErr w:type="spellStart"/>
      <w:r w:rsidR="00675840" w:rsidRPr="00025066">
        <w:t>Comtois</w:t>
      </w:r>
      <w:proofErr w:type="spellEnd"/>
      <w:r w:rsidR="00675840" w:rsidRPr="00025066">
        <w:t xml:space="preserve"> &amp; K. J. de Graaf</w:t>
      </w:r>
      <w:r w:rsidR="00675840" w:rsidRPr="00025066">
        <w:rPr>
          <w:szCs w:val="24"/>
        </w:rPr>
        <w:t xml:space="preserve"> </w:t>
      </w:r>
      <w:r w:rsidRPr="00025066">
        <w:rPr>
          <w:rFonts w:cs="Times New Roman"/>
        </w:rPr>
        <w:t xml:space="preserve"> 2016); K.J. de Graaf et al., </w:t>
      </w:r>
      <w:r w:rsidRPr="00025066">
        <w:rPr>
          <w:rFonts w:cs="Times New Roman"/>
          <w:i/>
          <w:iCs/>
        </w:rPr>
        <w:t xml:space="preserve">Administrative </w:t>
      </w:r>
      <w:r w:rsidR="00675840" w:rsidRPr="00025066">
        <w:rPr>
          <w:rFonts w:cs="Times New Roman"/>
          <w:i/>
          <w:iCs/>
        </w:rPr>
        <w:t>decision</w:t>
      </w:r>
      <w:r w:rsidRPr="00025066">
        <w:rPr>
          <w:rFonts w:cs="Times New Roman"/>
          <w:i/>
          <w:iCs/>
        </w:rPr>
        <w:t>-</w:t>
      </w:r>
      <w:r w:rsidR="00675840" w:rsidRPr="00025066">
        <w:rPr>
          <w:rFonts w:cs="Times New Roman"/>
          <w:i/>
          <w:iCs/>
        </w:rPr>
        <w:t xml:space="preserve">making </w:t>
      </w:r>
      <w:r w:rsidRPr="00025066">
        <w:rPr>
          <w:rFonts w:cs="Times New Roman"/>
          <w:i/>
          <w:iCs/>
        </w:rPr>
        <w:t xml:space="preserve">and </w:t>
      </w:r>
      <w:r w:rsidR="00675840" w:rsidRPr="00025066">
        <w:rPr>
          <w:rFonts w:cs="Times New Roman"/>
          <w:i/>
          <w:iCs/>
        </w:rPr>
        <w:t>legal quality</w:t>
      </w:r>
      <w:r w:rsidRPr="00025066">
        <w:rPr>
          <w:rFonts w:cs="Times New Roman"/>
          <w:i/>
          <w:iCs/>
        </w:rPr>
        <w:t xml:space="preserve">: An </w:t>
      </w:r>
      <w:r w:rsidR="00675840" w:rsidRPr="00025066">
        <w:rPr>
          <w:rFonts w:cs="Times New Roman"/>
          <w:i/>
          <w:iCs/>
        </w:rPr>
        <w:t>introduction</w:t>
      </w:r>
      <w:r w:rsidRPr="00025066">
        <w:rPr>
          <w:rFonts w:cs="Times New Roman"/>
        </w:rPr>
        <w:t xml:space="preserve">, </w:t>
      </w:r>
      <w:r w:rsidRPr="00025066">
        <w:rPr>
          <w:rFonts w:cs="Times New Roman"/>
          <w:i/>
          <w:iCs/>
        </w:rPr>
        <w:t>in</w:t>
      </w:r>
      <w:r w:rsidRPr="00025066">
        <w:rPr>
          <w:rFonts w:cs="Times New Roman"/>
        </w:rPr>
        <w:t xml:space="preserve"> </w:t>
      </w:r>
      <w:r w:rsidRPr="00025066">
        <w:rPr>
          <w:rFonts w:cs="Times New Roman"/>
          <w:smallCaps/>
        </w:rPr>
        <w:t>Quality of Decision-Making in Public Law</w:t>
      </w:r>
      <w:r w:rsidRPr="00025066">
        <w:rPr>
          <w:rFonts w:cs="Times New Roman"/>
        </w:rPr>
        <w:t xml:space="preserve"> 11 (</w:t>
      </w:r>
      <w:r w:rsidR="00675840" w:rsidRPr="00025066">
        <w:rPr>
          <w:szCs w:val="24"/>
        </w:rPr>
        <w:t xml:space="preserve">K.J. de Graaf; J.H. </w:t>
      </w:r>
      <w:proofErr w:type="spellStart"/>
      <w:r w:rsidR="00675840" w:rsidRPr="00025066">
        <w:rPr>
          <w:szCs w:val="24"/>
        </w:rPr>
        <w:t>Jans</w:t>
      </w:r>
      <w:proofErr w:type="spellEnd"/>
      <w:r w:rsidR="00675840" w:rsidRPr="00025066">
        <w:rPr>
          <w:szCs w:val="24"/>
        </w:rPr>
        <w:t xml:space="preserve">; A.T. Marseille; J. de Ridder </w:t>
      </w:r>
      <w:r w:rsidRPr="00025066">
        <w:rPr>
          <w:rFonts w:cs="Times New Roman"/>
        </w:rPr>
        <w:t xml:space="preserve">2007); </w:t>
      </w:r>
      <w:r w:rsidRPr="00025066">
        <w:rPr>
          <w:rFonts w:cs="Times New Roman"/>
          <w:smallCaps/>
        </w:rPr>
        <w:t xml:space="preserve">I.M. </w:t>
      </w:r>
      <w:proofErr w:type="spellStart"/>
      <w:r w:rsidRPr="00025066">
        <w:rPr>
          <w:rFonts w:cs="Times New Roman"/>
          <w:smallCaps/>
        </w:rPr>
        <w:t>Boekema</w:t>
      </w:r>
      <w:proofErr w:type="spellEnd"/>
      <w:r w:rsidRPr="00025066">
        <w:rPr>
          <w:rFonts w:cs="Times New Roman"/>
        </w:rPr>
        <w:t xml:space="preserve">, </w:t>
      </w:r>
      <w:r w:rsidRPr="00025066">
        <w:rPr>
          <w:rFonts w:cs="Times New Roman"/>
          <w:smallCaps/>
        </w:rPr>
        <w:t xml:space="preserve">De </w:t>
      </w:r>
      <w:proofErr w:type="spellStart"/>
      <w:r w:rsidRPr="00025066">
        <w:rPr>
          <w:rFonts w:cs="Times New Roman"/>
          <w:smallCaps/>
        </w:rPr>
        <w:t>stap</w:t>
      </w:r>
      <w:proofErr w:type="spellEnd"/>
      <w:r w:rsidRPr="00025066">
        <w:rPr>
          <w:rFonts w:cs="Times New Roman"/>
          <w:smallCaps/>
        </w:rPr>
        <w:t xml:space="preserve"> </w:t>
      </w:r>
      <w:proofErr w:type="spellStart"/>
      <w:r w:rsidRPr="00025066">
        <w:rPr>
          <w:rFonts w:cs="Times New Roman"/>
          <w:smallCaps/>
        </w:rPr>
        <w:t>naar</w:t>
      </w:r>
      <w:proofErr w:type="spellEnd"/>
      <w:r w:rsidRPr="00025066">
        <w:rPr>
          <w:rFonts w:cs="Times New Roman"/>
          <w:smallCaps/>
        </w:rPr>
        <w:t xml:space="preserve"> </w:t>
      </w:r>
      <w:proofErr w:type="spellStart"/>
      <w:r w:rsidRPr="00025066">
        <w:rPr>
          <w:rFonts w:cs="Times New Roman"/>
          <w:smallCaps/>
        </w:rPr>
        <w:t>hoger</w:t>
      </w:r>
      <w:proofErr w:type="spellEnd"/>
      <w:r w:rsidRPr="00025066">
        <w:rPr>
          <w:rFonts w:cs="Times New Roman"/>
          <w:smallCaps/>
        </w:rPr>
        <w:t xml:space="preserve"> </w:t>
      </w:r>
      <w:proofErr w:type="spellStart"/>
      <w:r w:rsidRPr="00025066">
        <w:rPr>
          <w:rFonts w:cs="Times New Roman"/>
          <w:smallCaps/>
        </w:rPr>
        <w:t>beroep</w:t>
      </w:r>
      <w:proofErr w:type="spellEnd"/>
      <w:r w:rsidRPr="00025066">
        <w:rPr>
          <w:rFonts w:cs="Times New Roman"/>
        </w:rPr>
        <w:t xml:space="preserve"> (2015).</w:t>
      </w:r>
      <w:r w:rsidRPr="00D36E05">
        <w:rPr>
          <w:rFonts w:cs="Times New Roman"/>
        </w:rPr>
        <w:fldChar w:fldCharType="end"/>
      </w:r>
    </w:p>
  </w:footnote>
  <w:footnote w:id="5">
    <w:p w14:paraId="34D33C17" w14:textId="1466D452" w:rsidR="00274ED8" w:rsidRPr="00274ED8" w:rsidRDefault="00274ED8" w:rsidP="00274ED8">
      <w:pPr>
        <w:pStyle w:val="FootnoteText"/>
        <w:jc w:val="both"/>
      </w:pPr>
      <w:r>
        <w:rPr>
          <w:rStyle w:val="FootnoteReference"/>
        </w:rPr>
        <w:footnoteRef/>
      </w:r>
      <w:r>
        <w:t xml:space="preserve"> </w:t>
      </w:r>
      <w:r w:rsidRPr="006E70C3">
        <w:rPr>
          <w:rFonts w:cs="Times New Roman"/>
          <w:szCs w:val="24"/>
        </w:rPr>
        <w:t xml:space="preserve">Tom R. Tyler, </w:t>
      </w:r>
      <w:r w:rsidRPr="006E70C3">
        <w:rPr>
          <w:rFonts w:cs="Times New Roman"/>
          <w:smallCaps/>
          <w:szCs w:val="24"/>
        </w:rPr>
        <w:t>Why People Obey the Law</w:t>
      </w:r>
      <w:r w:rsidRPr="006E70C3">
        <w:rPr>
          <w:rFonts w:cs="Times New Roman"/>
          <w:szCs w:val="24"/>
        </w:rPr>
        <w:t xml:space="preserve"> (2006); I.M.</w:t>
      </w:r>
      <w:r w:rsidRPr="006E70C3">
        <w:rPr>
          <w:rFonts w:cs="Times New Roman"/>
          <w:smallCaps/>
          <w:szCs w:val="24"/>
        </w:rPr>
        <w:t xml:space="preserve"> </w:t>
      </w:r>
      <w:proofErr w:type="spellStart"/>
      <w:r w:rsidRPr="006E70C3">
        <w:rPr>
          <w:rFonts w:cs="Times New Roman"/>
          <w:smallCaps/>
          <w:szCs w:val="24"/>
        </w:rPr>
        <w:t>B</w:t>
      </w:r>
      <w:r w:rsidRPr="006E70C3">
        <w:rPr>
          <w:rFonts w:cs="Times New Roman"/>
          <w:szCs w:val="24"/>
        </w:rPr>
        <w:t>oekema</w:t>
      </w:r>
      <w:proofErr w:type="spellEnd"/>
      <w:r w:rsidRPr="006E70C3">
        <w:rPr>
          <w:rFonts w:cs="Times New Roman"/>
          <w:szCs w:val="24"/>
        </w:rPr>
        <w:t xml:space="preserve">, </w:t>
      </w:r>
      <w:r w:rsidRPr="006E70C3">
        <w:rPr>
          <w:rFonts w:cs="Times New Roman"/>
          <w:smallCaps/>
          <w:szCs w:val="24"/>
        </w:rPr>
        <w:t xml:space="preserve">De </w:t>
      </w:r>
      <w:proofErr w:type="spellStart"/>
      <w:r w:rsidRPr="006E70C3">
        <w:rPr>
          <w:rFonts w:cs="Times New Roman"/>
          <w:smallCaps/>
          <w:szCs w:val="24"/>
        </w:rPr>
        <w:t>stap</w:t>
      </w:r>
      <w:proofErr w:type="spellEnd"/>
      <w:r w:rsidRPr="006E70C3">
        <w:rPr>
          <w:rFonts w:cs="Times New Roman"/>
          <w:smallCaps/>
          <w:szCs w:val="24"/>
        </w:rPr>
        <w:t xml:space="preserve"> </w:t>
      </w:r>
      <w:proofErr w:type="spellStart"/>
      <w:r w:rsidRPr="006E70C3">
        <w:rPr>
          <w:rFonts w:cs="Times New Roman"/>
          <w:smallCaps/>
          <w:szCs w:val="24"/>
        </w:rPr>
        <w:t>naar</w:t>
      </w:r>
      <w:proofErr w:type="spellEnd"/>
      <w:r w:rsidRPr="006E70C3">
        <w:rPr>
          <w:rFonts w:cs="Times New Roman"/>
          <w:smallCaps/>
          <w:szCs w:val="24"/>
        </w:rPr>
        <w:t xml:space="preserve"> </w:t>
      </w:r>
      <w:proofErr w:type="spellStart"/>
      <w:r w:rsidRPr="006E70C3">
        <w:rPr>
          <w:rFonts w:cs="Times New Roman"/>
          <w:smallCaps/>
          <w:szCs w:val="24"/>
        </w:rPr>
        <w:t>hoger</w:t>
      </w:r>
      <w:proofErr w:type="spellEnd"/>
      <w:r w:rsidRPr="006E70C3">
        <w:rPr>
          <w:rFonts w:cs="Times New Roman"/>
          <w:smallCaps/>
          <w:szCs w:val="24"/>
        </w:rPr>
        <w:t xml:space="preserve"> </w:t>
      </w:r>
      <w:proofErr w:type="spellStart"/>
      <w:r w:rsidRPr="006E70C3">
        <w:rPr>
          <w:rFonts w:cs="Times New Roman"/>
          <w:smallCaps/>
          <w:szCs w:val="24"/>
        </w:rPr>
        <w:t>beroep</w:t>
      </w:r>
      <w:proofErr w:type="spellEnd"/>
      <w:r w:rsidRPr="006E70C3">
        <w:rPr>
          <w:rFonts w:cs="Times New Roman"/>
          <w:szCs w:val="24"/>
        </w:rPr>
        <w:t xml:space="preserve"> (2015)</w:t>
      </w:r>
      <w:r>
        <w:rPr>
          <w:rFonts w:cs="Times New Roman"/>
          <w:szCs w:val="24"/>
        </w:rPr>
        <w:t>.</w:t>
      </w:r>
    </w:p>
  </w:footnote>
  <w:footnote w:id="6">
    <w:p w14:paraId="376AA35C" w14:textId="2DFAD7E0" w:rsidR="00E165B0" w:rsidRPr="00A16885" w:rsidRDefault="00E165B0" w:rsidP="00E165B0">
      <w:pPr>
        <w:pStyle w:val="FootnoteText"/>
        <w:rPr>
          <w:rFonts w:cs="Times New Roman"/>
        </w:rPr>
      </w:pPr>
      <w:r w:rsidRPr="00025066">
        <w:rPr>
          <w:rStyle w:val="FootnoteReference"/>
          <w:rFonts w:cs="Times New Roman"/>
        </w:rPr>
        <w:footnoteRef/>
      </w:r>
      <w:r w:rsidRPr="00025066">
        <w:rPr>
          <w:rFonts w:cs="Times New Roman"/>
        </w:rPr>
        <w:t xml:space="preserve"> Which is a point that will be further developed</w:t>
      </w:r>
      <w:r w:rsidRPr="006E70C3">
        <w:rPr>
          <w:rFonts w:cs="Times New Roman"/>
        </w:rPr>
        <w:t xml:space="preserve"> in the chapter.</w:t>
      </w:r>
    </w:p>
  </w:footnote>
  <w:footnote w:id="7">
    <w:p w14:paraId="434F5A78" w14:textId="2A62DD0B" w:rsidR="00274ED8" w:rsidRPr="00BB52BD" w:rsidRDefault="00274ED8">
      <w:pPr>
        <w:pStyle w:val="FootnoteText"/>
        <w:rPr>
          <w:lang w:val="da-DK"/>
        </w:rPr>
      </w:pPr>
      <w:r>
        <w:rPr>
          <w:rStyle w:val="FootnoteReference"/>
        </w:rPr>
        <w:footnoteRef/>
      </w:r>
      <w:r w:rsidRPr="00BB52BD">
        <w:rPr>
          <w:lang w:val="da-DK"/>
        </w:rPr>
        <w:t xml:space="preserve"> </w:t>
      </w:r>
      <w:r w:rsidRPr="006E70C3">
        <w:rPr>
          <w:rFonts w:cs="Times New Roman"/>
          <w:szCs w:val="24"/>
        </w:rPr>
        <w:fldChar w:fldCharType="begin"/>
      </w:r>
      <w:r w:rsidRPr="00BB52BD">
        <w:rPr>
          <w:rFonts w:cs="Times New Roman"/>
          <w:szCs w:val="24"/>
          <w:lang w:val="da-DK"/>
        </w:rPr>
        <w:instrText xml:space="preserve"> ADDIN ZOTERO_ITEM CSL_CITATION {"citationID":"2lVOtlyx","properties":{"formattedCitation":"{\\scaps H.E. Br\\uc0\\u246{}ring et al.}, {\\scaps Bestuursrecht 1}, at 280 (5th ed. 2016).","plainCitation":"H.E. Bröring et al., Bestuursrecht 1, at 280 (5th ed. 2016).","noteIndex":0},"citationItems":[{"id":"18JJQufH/48Zh8dpA","uris":["http://zotero.org/users/1623662/items/8AAXNVXE"],"uri":["http://zotero.org/users/1623662/items/8AAXNVXE"],"itemData":{"id":5437,"type":"book","title":"Bestuursrecht 1","publisher":"Boom Juridische Uitgevers","publisher-place":"The Hague","edition":"5","source":"Open WorldCat","event-place":"The Hague","ISBN":"978-94-6290-182-7","note":"OCLC: 958127381","language":"Dutch","author":[{"family":"Bröring","given":"H.E"},{"family":"Graaf","given":"K.J.","dropping-particle":"de"},{"family":"Albers","given":"C.L.G.F.H"},{"family":"Damen","given":"L.J.A"},{"family":"Klap","given":"Arnout"},{"family":"Klingenberg","given":"A.M"},{"family":"Marseille","given":"A.T"},{"family":"Tolsma","given":"H.D"},{"family":"Veen","given":"G.A.","dropping-particle":"van der"}],"issued":{"date-parts":[["2016"]]}},"locator":"280"}],"schema":"https://github.com/citation-style-language/schema/raw/master/csl-citation.json"} </w:instrText>
      </w:r>
      <w:r w:rsidRPr="006E70C3">
        <w:rPr>
          <w:rFonts w:cs="Times New Roman"/>
          <w:szCs w:val="24"/>
        </w:rPr>
        <w:fldChar w:fldCharType="separate"/>
      </w:r>
      <w:r w:rsidRPr="00BB52BD">
        <w:rPr>
          <w:rFonts w:cs="Times New Roman"/>
          <w:szCs w:val="24"/>
          <w:lang w:val="da-DK"/>
        </w:rPr>
        <w:t xml:space="preserve">H.E. </w:t>
      </w:r>
      <w:proofErr w:type="spellStart"/>
      <w:r w:rsidRPr="00BB52BD">
        <w:rPr>
          <w:rFonts w:cs="Times New Roman"/>
          <w:szCs w:val="24"/>
          <w:lang w:val="da-DK"/>
        </w:rPr>
        <w:t>Bröring</w:t>
      </w:r>
      <w:proofErr w:type="spellEnd"/>
      <w:r w:rsidRPr="00BB52BD">
        <w:rPr>
          <w:rFonts w:cs="Times New Roman"/>
          <w:szCs w:val="24"/>
          <w:lang w:val="da-DK"/>
        </w:rPr>
        <w:t xml:space="preserve"> et al</w:t>
      </w:r>
      <w:r w:rsidRPr="00BB52BD">
        <w:rPr>
          <w:rFonts w:cs="Times New Roman"/>
          <w:smallCaps/>
          <w:szCs w:val="24"/>
          <w:lang w:val="da-DK"/>
        </w:rPr>
        <w:t>.</w:t>
      </w:r>
      <w:r w:rsidRPr="00BB52BD">
        <w:rPr>
          <w:rFonts w:cs="Times New Roman"/>
          <w:szCs w:val="24"/>
          <w:lang w:val="da-DK"/>
        </w:rPr>
        <w:t xml:space="preserve">, </w:t>
      </w:r>
      <w:proofErr w:type="spellStart"/>
      <w:r w:rsidRPr="00BB52BD">
        <w:rPr>
          <w:rFonts w:cs="Times New Roman"/>
          <w:smallCaps/>
          <w:szCs w:val="24"/>
          <w:lang w:val="da-DK"/>
        </w:rPr>
        <w:t>Bestuursrecht</w:t>
      </w:r>
      <w:proofErr w:type="spellEnd"/>
      <w:r w:rsidRPr="00BB52BD">
        <w:rPr>
          <w:rFonts w:cs="Times New Roman"/>
          <w:smallCaps/>
          <w:szCs w:val="24"/>
          <w:lang w:val="da-DK"/>
        </w:rPr>
        <w:t xml:space="preserve"> 1</w:t>
      </w:r>
      <w:r w:rsidRPr="00BB52BD">
        <w:rPr>
          <w:rFonts w:cs="Times New Roman"/>
          <w:szCs w:val="24"/>
          <w:lang w:val="da-DK"/>
        </w:rPr>
        <w:t>, at 280 (5th ed. 2016)</w:t>
      </w:r>
      <w:r w:rsidRPr="006E70C3">
        <w:rPr>
          <w:rFonts w:cs="Times New Roman"/>
          <w:szCs w:val="24"/>
        </w:rPr>
        <w:fldChar w:fldCharType="end"/>
      </w:r>
      <w:r w:rsidRPr="00BB52BD">
        <w:rPr>
          <w:rFonts w:cs="Times New Roman"/>
          <w:szCs w:val="24"/>
          <w:lang w:val="da-DK"/>
        </w:rPr>
        <w:t>.</w:t>
      </w:r>
    </w:p>
  </w:footnote>
  <w:footnote w:id="8">
    <w:p w14:paraId="3AC9514F" w14:textId="5A8864BC" w:rsidR="00274ED8" w:rsidRPr="00BB52BD" w:rsidRDefault="00274ED8">
      <w:pPr>
        <w:pStyle w:val="FootnoteText"/>
        <w:rPr>
          <w:lang w:val="da-DK"/>
        </w:rPr>
      </w:pPr>
      <w:r>
        <w:rPr>
          <w:rStyle w:val="FootnoteReference"/>
        </w:rPr>
        <w:footnoteRef/>
      </w:r>
      <w:r w:rsidRPr="00BB52BD">
        <w:rPr>
          <w:lang w:val="da-DK"/>
        </w:rPr>
        <w:t xml:space="preserve"> </w:t>
      </w:r>
      <w:r w:rsidRPr="00025066">
        <w:rPr>
          <w:rFonts w:cs="Times New Roman"/>
          <w:szCs w:val="24"/>
        </w:rPr>
        <w:fldChar w:fldCharType="begin"/>
      </w:r>
      <w:r w:rsidRPr="00BB52BD">
        <w:rPr>
          <w:rFonts w:cs="Times New Roman"/>
          <w:szCs w:val="24"/>
          <w:lang w:val="da-DK"/>
        </w:rPr>
        <w:instrText xml:space="preserve"> ADDIN ZOTERO_ITEM CSL_CITATION {"citationID":"UHgay0g6","properties":{"formattedCitation":"{\\i{}id.} at 289.","plainCitation":"id. at 289.","noteIndex":0},"citationItems":[{"id":"18JJQufH/48Zh8dpA","uris":["http://zotero.org/users/1623662/items/8AAXNVXE"],"uri":["http://zotero.org/users/1623662/items/8AAXNVXE"],"itemData":{"id":5437,"type":"book","title":"Bestuursrecht 1","publisher":"Boom Juridische Uitgevers","publisher-place":"The Hague","edition":"5","source":"Open WorldCat","event-place":"The Hague","ISBN":"978-94-6290-182-7","note":"OCLC: 958127381","language":"Dutch","author":[{"family":"Bröring","given":"H.E"},{"family":"Graaf","given":"K.J.","dropping-particle":"de"},{"family":"Albers","given":"C.L.G.F.H"},{"family":"Damen","given":"L.J.A"},{"family":"Klap","given":"Arnout"},{"family":"Klingenberg","given":"A.M"},{"family":"Marseille","given":"A.T"},{"family":"Tolsma","given":"H.D"},{"family":"Veen","given":"G.A.","dropping-particle":"van der"}],"issued":{"date-parts":[["2016"]]}},"locator":"289"}],"schema":"https://github.com/citation-style-language/schema/raw/master/csl-citation.json"} </w:instrText>
      </w:r>
      <w:r w:rsidRPr="00025066">
        <w:rPr>
          <w:rFonts w:cs="Times New Roman"/>
          <w:szCs w:val="24"/>
        </w:rPr>
        <w:fldChar w:fldCharType="separate"/>
      </w:r>
      <w:r w:rsidRPr="00BB52BD">
        <w:rPr>
          <w:rFonts w:cs="Times New Roman"/>
          <w:i/>
          <w:iCs/>
          <w:szCs w:val="24"/>
          <w:lang w:val="da-DK"/>
        </w:rPr>
        <w:t>Id.</w:t>
      </w:r>
      <w:r w:rsidRPr="00BB52BD">
        <w:rPr>
          <w:rFonts w:cs="Times New Roman"/>
          <w:szCs w:val="24"/>
          <w:lang w:val="da-DK"/>
        </w:rPr>
        <w:t xml:space="preserve"> at 289</w:t>
      </w:r>
      <w:r w:rsidRPr="00025066">
        <w:rPr>
          <w:rFonts w:cs="Times New Roman"/>
          <w:szCs w:val="24"/>
        </w:rPr>
        <w:fldChar w:fldCharType="end"/>
      </w:r>
      <w:r w:rsidRPr="00BB52BD">
        <w:rPr>
          <w:rFonts w:cs="Times New Roman"/>
          <w:szCs w:val="24"/>
          <w:lang w:val="da-DK"/>
        </w:rPr>
        <w:t>.</w:t>
      </w:r>
    </w:p>
  </w:footnote>
  <w:footnote w:id="9">
    <w:p w14:paraId="73A34C84" w14:textId="4F86F0AF" w:rsidR="00274ED8" w:rsidRPr="00274ED8" w:rsidRDefault="00274ED8">
      <w:pPr>
        <w:pStyle w:val="FootnoteText"/>
      </w:pPr>
      <w:r>
        <w:rPr>
          <w:rStyle w:val="FootnoteReference"/>
        </w:rPr>
        <w:footnoteRef/>
      </w:r>
      <w:r>
        <w:t xml:space="preserve"> </w:t>
      </w:r>
      <w:r w:rsidRPr="006E70C3">
        <w:rPr>
          <w:rFonts w:cs="Times New Roman"/>
          <w:szCs w:val="24"/>
        </w:rPr>
        <w:fldChar w:fldCharType="begin"/>
      </w:r>
      <w:r w:rsidRPr="006E70C3">
        <w:rPr>
          <w:rFonts w:cs="Times New Roman"/>
          <w:szCs w:val="24"/>
        </w:rPr>
        <w:instrText xml:space="preserve"> ADDIN ZOTERO_ITEM CSL_CITATION {"citationID":"86URa6zh","properties":{"formattedCitation":"{\\i{}id.}","plainCitation":"id.","noteIndex":0},"citationItems":[{"id":"18JJQufH/48Zh8dpA","uris":["http://zotero.org/users/1623662/items/8AAXNVXE"],"uri":["http://zotero.org/users/1623662/items/8AAXNVXE"],"itemData":{"id":5437,"type":"book","title":"Bestuursrecht 1","publisher":"Boom Juridische Uitgevers","publisher-place":"The Hague","edition":"5","source":"Open WorldCat","event-place":"The Hague","ISBN":"978-94-6290-182-7","note":"OCLC: 958127381","language":"Dutch","author":[{"family":"Bröring","given":"H.E"},{"family":"Graaf","given":"K.J.","dropping-particle":"de"},{"family":"Albers","given":"C.L.G.F.H"},{"family":"Damen","given":"L.J.A"},{"family":"Klap","given":"Arnout"},{"family":"Klingenberg","given":"A.M"},{"family":"Marseille","given":"A.T"},{"family":"Tolsma","given":"H.D"},{"family":"Veen","given":"G.A.","dropping-particle":"van der"}],"issued":{"date-parts":[["2016"]]}},"locator":"289"}],"schema":"https://github.com/citation-style-language/schema/raw/master/csl-citation.json"} </w:instrText>
      </w:r>
      <w:r w:rsidRPr="006E70C3">
        <w:rPr>
          <w:rFonts w:cs="Times New Roman"/>
          <w:szCs w:val="24"/>
        </w:rPr>
        <w:fldChar w:fldCharType="separate"/>
      </w:r>
      <w:proofErr w:type="spellStart"/>
      <w:r>
        <w:rPr>
          <w:rFonts w:cs="Times New Roman"/>
          <w:i/>
          <w:iCs/>
          <w:szCs w:val="24"/>
        </w:rPr>
        <w:t>I</w:t>
      </w:r>
      <w:r w:rsidRPr="006E70C3">
        <w:rPr>
          <w:rFonts w:cs="Times New Roman"/>
          <w:i/>
          <w:iCs/>
          <w:szCs w:val="24"/>
        </w:rPr>
        <w:t>d.</w:t>
      </w:r>
      <w:r w:rsidRPr="006E70C3">
        <w:rPr>
          <w:rFonts w:cs="Times New Roman"/>
          <w:szCs w:val="24"/>
        </w:rPr>
        <w:fldChar w:fldCharType="end"/>
      </w:r>
      <w:r>
        <w:rPr>
          <w:rFonts w:cs="Times New Roman"/>
          <w:szCs w:val="24"/>
        </w:rPr>
        <w:t>.</w:t>
      </w:r>
      <w:r w:rsidR="00B50E5D">
        <w:rPr>
          <w:rFonts w:cs="Times New Roman"/>
          <w:szCs w:val="24"/>
        </w:rPr>
        <w:t>at</w:t>
      </w:r>
      <w:proofErr w:type="spellEnd"/>
      <w:r w:rsidR="00B50E5D">
        <w:rPr>
          <w:rFonts w:cs="Times New Roman"/>
          <w:szCs w:val="24"/>
        </w:rPr>
        <w:t xml:space="preserve"> 289</w:t>
      </w:r>
    </w:p>
  </w:footnote>
  <w:footnote w:id="10">
    <w:p w14:paraId="29DD8B89" w14:textId="4974BFE3" w:rsidR="00E165B0" w:rsidRPr="00376730" w:rsidRDefault="00E165B0" w:rsidP="00D20FCB">
      <w:pPr>
        <w:spacing w:after="0"/>
        <w:jc w:val="both"/>
        <w:rPr>
          <w:rFonts w:cs="Times New Roman"/>
          <w:sz w:val="20"/>
          <w:szCs w:val="20"/>
        </w:rPr>
      </w:pPr>
      <w:r w:rsidRPr="00A16885">
        <w:rPr>
          <w:rStyle w:val="FootnoteReference"/>
          <w:rFonts w:cs="Times New Roman"/>
          <w:sz w:val="20"/>
          <w:szCs w:val="20"/>
        </w:rPr>
        <w:footnoteRef/>
      </w:r>
      <w:r w:rsidRPr="00A16885">
        <w:rPr>
          <w:rFonts w:cs="Times New Roman"/>
          <w:sz w:val="20"/>
          <w:szCs w:val="20"/>
        </w:rPr>
        <w:t xml:space="preserve"> </w:t>
      </w:r>
      <w:r w:rsidRPr="00376730">
        <w:rPr>
          <w:rFonts w:cs="Times New Roman"/>
          <w:sz w:val="20"/>
          <w:szCs w:val="20"/>
        </w:rPr>
        <w:t>Administrative Jurisdiction Division of the Council of State, ECLI:</w:t>
      </w:r>
      <w:proofErr w:type="gramStart"/>
      <w:r w:rsidRPr="00376730">
        <w:rPr>
          <w:rFonts w:cs="Times New Roman"/>
          <w:sz w:val="20"/>
          <w:szCs w:val="20"/>
        </w:rPr>
        <w:t>NL:RVS</w:t>
      </w:r>
      <w:proofErr w:type="gramEnd"/>
      <w:r w:rsidRPr="00376730">
        <w:rPr>
          <w:rFonts w:cs="Times New Roman"/>
          <w:sz w:val="20"/>
          <w:szCs w:val="20"/>
        </w:rPr>
        <w:t>:2017:3156</w:t>
      </w:r>
      <w:r w:rsidR="0039601F" w:rsidRPr="00376730">
        <w:rPr>
          <w:rFonts w:cs="Times New Roman"/>
          <w:sz w:val="20"/>
          <w:szCs w:val="20"/>
        </w:rPr>
        <w:t xml:space="preserve"> (Nov. </w:t>
      </w:r>
      <w:r w:rsidR="003F1F4F">
        <w:rPr>
          <w:rFonts w:cs="Times New Roman"/>
          <w:sz w:val="20"/>
          <w:szCs w:val="20"/>
        </w:rPr>
        <w:t xml:space="preserve">15, </w:t>
      </w:r>
      <w:r w:rsidR="0039601F" w:rsidRPr="00376730">
        <w:rPr>
          <w:rFonts w:cs="Times New Roman"/>
          <w:sz w:val="20"/>
          <w:szCs w:val="20"/>
        </w:rPr>
        <w:t>2017).</w:t>
      </w:r>
    </w:p>
  </w:footnote>
  <w:footnote w:id="11">
    <w:p w14:paraId="333EE1A9" w14:textId="7BB27BE4" w:rsidR="00E165B0" w:rsidRPr="00376730" w:rsidRDefault="00E165B0" w:rsidP="00D20FCB">
      <w:pPr>
        <w:spacing w:after="0"/>
        <w:jc w:val="both"/>
        <w:rPr>
          <w:rFonts w:cs="Times New Roman"/>
          <w:sz w:val="20"/>
          <w:szCs w:val="20"/>
        </w:rPr>
      </w:pPr>
      <w:r w:rsidRPr="00376730">
        <w:rPr>
          <w:rStyle w:val="FootnoteReference"/>
          <w:rFonts w:cs="Times New Roman"/>
          <w:sz w:val="20"/>
          <w:szCs w:val="20"/>
        </w:rPr>
        <w:footnoteRef/>
      </w:r>
      <w:r w:rsidRPr="00376730">
        <w:rPr>
          <w:rFonts w:cs="Times New Roman"/>
          <w:sz w:val="20"/>
          <w:szCs w:val="20"/>
        </w:rPr>
        <w:t xml:space="preserve"> </w:t>
      </w:r>
      <w:r w:rsidR="00F379AD">
        <w:rPr>
          <w:rFonts w:cs="Times New Roman"/>
          <w:i/>
          <w:sz w:val="20"/>
          <w:szCs w:val="20"/>
        </w:rPr>
        <w:t xml:space="preserve">Id. </w:t>
      </w:r>
      <w:proofErr w:type="gramStart"/>
      <w:r w:rsidR="00F379AD">
        <w:rPr>
          <w:rFonts w:cs="Times New Roman"/>
          <w:sz w:val="20"/>
          <w:szCs w:val="20"/>
        </w:rPr>
        <w:t xml:space="preserve">at </w:t>
      </w:r>
      <w:r w:rsidR="0039601F" w:rsidRPr="00376730">
        <w:rPr>
          <w:rFonts w:cs="Times New Roman"/>
          <w:sz w:val="20"/>
          <w:szCs w:val="20"/>
        </w:rPr>
        <w:t xml:space="preserve"> </w:t>
      </w:r>
      <w:r w:rsidRPr="00376730">
        <w:rPr>
          <w:rFonts w:cs="Times New Roman"/>
          <w:sz w:val="20"/>
          <w:szCs w:val="20"/>
        </w:rPr>
        <w:t>Par.</w:t>
      </w:r>
      <w:proofErr w:type="gramEnd"/>
      <w:r w:rsidRPr="00376730">
        <w:rPr>
          <w:rFonts w:cs="Times New Roman"/>
          <w:sz w:val="20"/>
          <w:szCs w:val="20"/>
        </w:rPr>
        <w:t xml:space="preserve"> 14 and 20-23.</w:t>
      </w:r>
      <w:r w:rsidR="0039601F" w:rsidRPr="00376730">
        <w:rPr>
          <w:rFonts w:cs="Times New Roman"/>
          <w:sz w:val="20"/>
          <w:szCs w:val="20"/>
        </w:rPr>
        <w:t xml:space="preserve"> </w:t>
      </w:r>
      <w:r w:rsidRPr="00376730">
        <w:rPr>
          <w:rFonts w:cs="Times New Roman"/>
          <w:sz w:val="20"/>
          <w:szCs w:val="20"/>
        </w:rPr>
        <w:t xml:space="preserve"> </w:t>
      </w:r>
    </w:p>
  </w:footnote>
  <w:footnote w:id="12">
    <w:p w14:paraId="0E63D089" w14:textId="0AC4C73C" w:rsidR="00E165B0" w:rsidRPr="00BB52BD" w:rsidRDefault="00E165B0" w:rsidP="00D20FCB">
      <w:pPr>
        <w:pStyle w:val="FootnoteText"/>
        <w:jc w:val="both"/>
        <w:rPr>
          <w:rFonts w:cs="Times New Roman"/>
        </w:rPr>
      </w:pPr>
      <w:r w:rsidRPr="00376730">
        <w:rPr>
          <w:rStyle w:val="FootnoteReference"/>
          <w:rFonts w:cs="Times New Roman"/>
        </w:rPr>
        <w:footnoteRef/>
      </w:r>
      <w:r w:rsidRPr="00376730">
        <w:rPr>
          <w:rFonts w:cs="Times New Roman"/>
        </w:rPr>
        <w:t xml:space="preserve"> Administrative Jurisdiction Division of the Council of State, ECLI:</w:t>
      </w:r>
      <w:proofErr w:type="gramStart"/>
      <w:r w:rsidRPr="00376730">
        <w:rPr>
          <w:rFonts w:cs="Times New Roman"/>
        </w:rPr>
        <w:t>NL:RVS</w:t>
      </w:r>
      <w:proofErr w:type="gramEnd"/>
      <w:r w:rsidRPr="00376730">
        <w:rPr>
          <w:rFonts w:cs="Times New Roman"/>
        </w:rPr>
        <w:t>:2017:3156</w:t>
      </w:r>
      <w:r w:rsidR="001803FD" w:rsidRPr="00376730">
        <w:rPr>
          <w:rFonts w:cs="Times New Roman"/>
        </w:rPr>
        <w:t>,</w:t>
      </w:r>
      <w:r w:rsidRPr="00376730">
        <w:rPr>
          <w:rFonts w:cs="Times New Roman"/>
        </w:rPr>
        <w:t xml:space="preserve"> </w:t>
      </w:r>
      <w:r w:rsidRPr="00BB52BD">
        <w:rPr>
          <w:rFonts w:cs="Times New Roman"/>
        </w:rPr>
        <w:t>Par. 32</w:t>
      </w:r>
      <w:r w:rsidR="0039601F" w:rsidRPr="00BB52BD">
        <w:rPr>
          <w:rFonts w:cs="Times New Roman"/>
        </w:rPr>
        <w:t xml:space="preserve"> (</w:t>
      </w:r>
      <w:r w:rsidR="0039601F" w:rsidRPr="00376730">
        <w:rPr>
          <w:rFonts w:cs="Times New Roman"/>
        </w:rPr>
        <w:t xml:space="preserve">Nov. </w:t>
      </w:r>
      <w:r w:rsidR="003F1F4F">
        <w:rPr>
          <w:rFonts w:cs="Times New Roman"/>
        </w:rPr>
        <w:t xml:space="preserve">15, </w:t>
      </w:r>
      <w:r w:rsidR="0039601F" w:rsidRPr="00376730">
        <w:rPr>
          <w:rFonts w:cs="Times New Roman"/>
        </w:rPr>
        <w:t>2017)</w:t>
      </w:r>
      <w:r w:rsidRPr="00BB52BD">
        <w:rPr>
          <w:rFonts w:cs="Times New Roman"/>
        </w:rPr>
        <w:t>.</w:t>
      </w:r>
    </w:p>
  </w:footnote>
  <w:footnote w:id="13">
    <w:p w14:paraId="2643DDD4" w14:textId="732B37BB" w:rsidR="00E165B0" w:rsidRPr="00BB52BD" w:rsidRDefault="00E165B0" w:rsidP="00D20FCB">
      <w:pPr>
        <w:pStyle w:val="FootnoteText"/>
        <w:jc w:val="both"/>
        <w:rPr>
          <w:rFonts w:cs="Times New Roman"/>
          <w:lang w:val="nl-NL"/>
        </w:rPr>
      </w:pPr>
      <w:r w:rsidRPr="00143962">
        <w:rPr>
          <w:rStyle w:val="FootnoteReference"/>
          <w:rFonts w:cs="Times New Roman"/>
        </w:rPr>
        <w:footnoteRef/>
      </w:r>
      <w:r w:rsidRPr="00BB52BD">
        <w:rPr>
          <w:rFonts w:cs="Times New Roman"/>
          <w:lang w:val="nl-NL"/>
        </w:rPr>
        <w:t xml:space="preserve"> </w:t>
      </w:r>
      <w:r w:rsidR="006B5322" w:rsidRPr="00BB52BD">
        <w:rPr>
          <w:rFonts w:cs="Times New Roman"/>
          <w:i/>
          <w:lang w:val="nl-NL"/>
        </w:rPr>
        <w:t>Kabinet: einde aan gaswinning in Groningen</w:t>
      </w:r>
      <w:r w:rsidR="008000F1" w:rsidRPr="00BB52BD">
        <w:rPr>
          <w:rFonts w:cs="Times New Roman"/>
          <w:lang w:val="nl-NL"/>
        </w:rPr>
        <w:t>,</w:t>
      </w:r>
      <w:r w:rsidR="006B5322" w:rsidRPr="00BB52BD">
        <w:rPr>
          <w:rFonts w:cs="Times New Roman"/>
          <w:lang w:val="nl-NL"/>
        </w:rPr>
        <w:t xml:space="preserve"> </w:t>
      </w:r>
      <w:r w:rsidR="004D0F1C" w:rsidRPr="00BB52BD">
        <w:rPr>
          <w:rFonts w:cs="Times New Roman"/>
          <w:smallCaps/>
          <w:lang w:val="nl-NL"/>
        </w:rPr>
        <w:t>Rijksoverheid</w:t>
      </w:r>
      <w:r w:rsidR="006B5322" w:rsidRPr="00BB52BD">
        <w:rPr>
          <w:rFonts w:cs="Times New Roman"/>
          <w:lang w:val="nl-NL"/>
        </w:rPr>
        <w:t xml:space="preserve"> </w:t>
      </w:r>
      <w:r w:rsidR="008000F1" w:rsidRPr="00BB52BD">
        <w:rPr>
          <w:rFonts w:cs="Times New Roman"/>
          <w:lang w:val="nl-NL"/>
        </w:rPr>
        <w:t>(</w:t>
      </w:r>
      <w:r w:rsidR="004D0F1C" w:rsidRPr="00BB52BD">
        <w:rPr>
          <w:rFonts w:cs="Times New Roman"/>
          <w:lang w:val="nl-NL"/>
        </w:rPr>
        <w:t>Mar</w:t>
      </w:r>
      <w:r w:rsidR="00935A15" w:rsidRPr="00BB52BD">
        <w:rPr>
          <w:rFonts w:cs="Times New Roman"/>
          <w:lang w:val="nl-NL"/>
        </w:rPr>
        <w:t>.</w:t>
      </w:r>
      <w:r w:rsidR="004D0F1C" w:rsidRPr="00BB52BD">
        <w:rPr>
          <w:rFonts w:cs="Times New Roman"/>
          <w:lang w:val="nl-NL"/>
        </w:rPr>
        <w:t xml:space="preserve"> </w:t>
      </w:r>
      <w:r w:rsidR="003F1F4F" w:rsidRPr="00BB52BD">
        <w:rPr>
          <w:rFonts w:cs="Times New Roman"/>
          <w:lang w:val="nl-NL"/>
        </w:rPr>
        <w:t xml:space="preserve">29, </w:t>
      </w:r>
      <w:r w:rsidR="004D0F1C" w:rsidRPr="00BB52BD">
        <w:rPr>
          <w:rFonts w:cs="Times New Roman"/>
          <w:lang w:val="nl-NL"/>
        </w:rPr>
        <w:t>2018</w:t>
      </w:r>
      <w:r w:rsidR="00F379AD" w:rsidRPr="00BB52BD">
        <w:rPr>
          <w:rFonts w:cs="Times New Roman"/>
          <w:lang w:val="nl-NL"/>
        </w:rPr>
        <w:t>).</w:t>
      </w:r>
      <w:r w:rsidRPr="00BB52BD">
        <w:rPr>
          <w:rFonts w:cs="Times New Roman"/>
          <w:lang w:val="nl-NL"/>
        </w:rPr>
        <w:t xml:space="preserve"> </w:t>
      </w:r>
    </w:p>
  </w:footnote>
  <w:footnote w:id="14">
    <w:p w14:paraId="14A1E17D" w14:textId="0A6DE278" w:rsidR="00E165B0" w:rsidRPr="00376730" w:rsidRDefault="00E165B0" w:rsidP="00D20FCB">
      <w:pPr>
        <w:pStyle w:val="FootnoteText"/>
        <w:jc w:val="both"/>
        <w:rPr>
          <w:rFonts w:cs="Times New Roman"/>
        </w:rPr>
      </w:pPr>
      <w:r w:rsidRPr="00376730">
        <w:rPr>
          <w:rStyle w:val="FootnoteReference"/>
          <w:rFonts w:cs="Times New Roman"/>
        </w:rPr>
        <w:footnoteRef/>
      </w:r>
      <w:r w:rsidRPr="00376730">
        <w:rPr>
          <w:rFonts w:cs="Times New Roman"/>
        </w:rPr>
        <w:t xml:space="preserve"> Court of The Hague, ECLI:</w:t>
      </w:r>
      <w:proofErr w:type="gramStart"/>
      <w:r w:rsidRPr="00376730">
        <w:rPr>
          <w:rFonts w:cs="Times New Roman"/>
        </w:rPr>
        <w:t>NL:RBDHA</w:t>
      </w:r>
      <w:proofErr w:type="gramEnd"/>
      <w:r w:rsidRPr="00376730">
        <w:rPr>
          <w:rFonts w:cs="Times New Roman"/>
        </w:rPr>
        <w:t>:7196</w:t>
      </w:r>
      <w:r w:rsidR="001803FD" w:rsidRPr="00376730">
        <w:rPr>
          <w:rFonts w:cs="Times New Roman"/>
        </w:rPr>
        <w:t xml:space="preserve"> (</w:t>
      </w:r>
      <w:proofErr w:type="spellStart"/>
      <w:r w:rsidR="0055639D" w:rsidRPr="00376730">
        <w:rPr>
          <w:rFonts w:cs="Times New Roman"/>
        </w:rPr>
        <w:t>english</w:t>
      </w:r>
      <w:proofErr w:type="spellEnd"/>
      <w:r w:rsidR="0055639D" w:rsidRPr="00376730">
        <w:rPr>
          <w:rFonts w:cs="Times New Roman"/>
        </w:rPr>
        <w:t xml:space="preserve"> translation</w:t>
      </w:r>
      <w:r w:rsidR="001803FD" w:rsidRPr="00376730">
        <w:rPr>
          <w:rFonts w:cs="Times New Roman"/>
        </w:rPr>
        <w:t>)</w:t>
      </w:r>
      <w:r w:rsidR="0039601F" w:rsidRPr="00376730">
        <w:rPr>
          <w:rFonts w:cs="Times New Roman"/>
        </w:rPr>
        <w:t xml:space="preserve"> </w:t>
      </w:r>
      <w:r w:rsidR="001803FD" w:rsidRPr="00376730">
        <w:rPr>
          <w:rFonts w:cs="Times New Roman"/>
        </w:rPr>
        <w:t>(</w:t>
      </w:r>
      <w:r w:rsidR="0039601F" w:rsidRPr="00376730">
        <w:rPr>
          <w:rFonts w:cs="Times New Roman"/>
        </w:rPr>
        <w:t xml:space="preserve">June </w:t>
      </w:r>
      <w:r w:rsidR="003F1F4F">
        <w:rPr>
          <w:rFonts w:cs="Times New Roman"/>
        </w:rPr>
        <w:t xml:space="preserve">24, </w:t>
      </w:r>
      <w:r w:rsidR="0039601F" w:rsidRPr="00376730">
        <w:rPr>
          <w:rFonts w:cs="Times New Roman"/>
        </w:rPr>
        <w:t>2015</w:t>
      </w:r>
      <w:r w:rsidR="001803FD" w:rsidRPr="00376730">
        <w:rPr>
          <w:rFonts w:cs="Times New Roman"/>
        </w:rPr>
        <w:t>).</w:t>
      </w:r>
      <w:r w:rsidRPr="00376730">
        <w:rPr>
          <w:rFonts w:cs="Times New Roman"/>
        </w:rPr>
        <w:t xml:space="preserve"> </w:t>
      </w:r>
    </w:p>
  </w:footnote>
  <w:footnote w:id="15">
    <w:p w14:paraId="2154393A" w14:textId="7F238626" w:rsidR="00E165B0" w:rsidRPr="00376730" w:rsidRDefault="00E165B0" w:rsidP="00D20FCB">
      <w:pPr>
        <w:pStyle w:val="FootnoteText"/>
        <w:jc w:val="both"/>
        <w:rPr>
          <w:rFonts w:cs="Times New Roman"/>
        </w:rPr>
      </w:pPr>
      <w:r w:rsidRPr="00376730">
        <w:rPr>
          <w:rStyle w:val="FootnoteReference"/>
          <w:rFonts w:cs="Times New Roman"/>
        </w:rPr>
        <w:footnoteRef/>
      </w:r>
      <w:r w:rsidRPr="00376730">
        <w:rPr>
          <w:rFonts w:cs="Times New Roman"/>
        </w:rPr>
        <w:t xml:space="preserve"> </w:t>
      </w:r>
      <w:r w:rsidR="00F379AD">
        <w:rPr>
          <w:rFonts w:cs="Times New Roman"/>
          <w:i/>
        </w:rPr>
        <w:t xml:space="preserve">Id. </w:t>
      </w:r>
      <w:r w:rsidR="00F379AD">
        <w:rPr>
          <w:rFonts w:cs="Times New Roman"/>
        </w:rPr>
        <w:t>at</w:t>
      </w:r>
      <w:r w:rsidRPr="00376730">
        <w:rPr>
          <w:rFonts w:cs="Times New Roman"/>
        </w:rPr>
        <w:t xml:space="preserve"> Par. 4.64-4.92.</w:t>
      </w:r>
    </w:p>
  </w:footnote>
  <w:footnote w:id="16">
    <w:p w14:paraId="37241E1E" w14:textId="22E42DD7" w:rsidR="00E165B0" w:rsidRPr="00376730" w:rsidRDefault="00E165B0" w:rsidP="00D20FCB">
      <w:pPr>
        <w:pStyle w:val="FootnoteText"/>
        <w:jc w:val="both"/>
        <w:rPr>
          <w:rFonts w:cs="Times New Roman"/>
        </w:rPr>
      </w:pPr>
      <w:r w:rsidRPr="00376730">
        <w:rPr>
          <w:rStyle w:val="FootnoteReference"/>
          <w:rFonts w:cs="Times New Roman"/>
        </w:rPr>
        <w:footnoteRef/>
      </w:r>
      <w:r w:rsidRPr="00376730">
        <w:rPr>
          <w:rFonts w:cs="Times New Roman"/>
        </w:rPr>
        <w:t xml:space="preserve"> Supreme Court, ECLI:NL:HR:</w:t>
      </w:r>
      <w:proofErr w:type="gramStart"/>
      <w:r w:rsidRPr="00376730">
        <w:rPr>
          <w:rFonts w:cs="Times New Roman"/>
        </w:rPr>
        <w:t>1965:AB</w:t>
      </w:r>
      <w:proofErr w:type="gramEnd"/>
      <w:r w:rsidRPr="00376730">
        <w:rPr>
          <w:rFonts w:cs="Times New Roman"/>
        </w:rPr>
        <w:t>7079</w:t>
      </w:r>
      <w:r w:rsidR="0039601F" w:rsidRPr="00376730">
        <w:rPr>
          <w:rFonts w:cs="Times New Roman"/>
        </w:rPr>
        <w:t xml:space="preserve"> (Nov. </w:t>
      </w:r>
      <w:r w:rsidR="003F1F4F">
        <w:rPr>
          <w:rFonts w:cs="Times New Roman"/>
        </w:rPr>
        <w:t xml:space="preserve">05, </w:t>
      </w:r>
      <w:r w:rsidR="0039601F" w:rsidRPr="00376730">
        <w:rPr>
          <w:rFonts w:cs="Times New Roman"/>
        </w:rPr>
        <w:t>1965)</w:t>
      </w:r>
      <w:r w:rsidRPr="00376730">
        <w:rPr>
          <w:rFonts w:cs="Times New Roman"/>
        </w:rPr>
        <w:t>.</w:t>
      </w:r>
    </w:p>
  </w:footnote>
  <w:footnote w:id="17">
    <w:p w14:paraId="7FA439A4" w14:textId="0D4EB9C7" w:rsidR="00E165B0" w:rsidRPr="00A16885" w:rsidRDefault="00E165B0" w:rsidP="00D20FCB">
      <w:pPr>
        <w:pStyle w:val="FootnoteText"/>
        <w:jc w:val="both"/>
        <w:rPr>
          <w:rFonts w:cs="Times New Roman"/>
        </w:rPr>
      </w:pPr>
      <w:r w:rsidRPr="00376730">
        <w:rPr>
          <w:rStyle w:val="FootnoteReference"/>
          <w:rFonts w:cs="Times New Roman"/>
        </w:rPr>
        <w:footnoteRef/>
      </w:r>
      <w:r w:rsidRPr="00376730">
        <w:rPr>
          <w:rFonts w:cs="Times New Roman"/>
        </w:rPr>
        <w:t xml:space="preserve"> Court of The Hague</w:t>
      </w:r>
      <w:r w:rsidRPr="00A16885">
        <w:rPr>
          <w:rFonts w:cs="Times New Roman"/>
        </w:rPr>
        <w:t>, ECLI:</w:t>
      </w:r>
      <w:proofErr w:type="gramStart"/>
      <w:r w:rsidRPr="00A16885">
        <w:rPr>
          <w:rFonts w:cs="Times New Roman"/>
        </w:rPr>
        <w:t>NL:R</w:t>
      </w:r>
      <w:r w:rsidR="001803FD">
        <w:rPr>
          <w:rFonts w:cs="Times New Roman"/>
        </w:rPr>
        <w:t>BDHA</w:t>
      </w:r>
      <w:proofErr w:type="gramEnd"/>
      <w:r w:rsidR="001803FD">
        <w:rPr>
          <w:rFonts w:cs="Times New Roman"/>
        </w:rPr>
        <w:t>:7196 (</w:t>
      </w:r>
      <w:proofErr w:type="spellStart"/>
      <w:r w:rsidR="0055639D">
        <w:rPr>
          <w:rFonts w:cs="Times New Roman"/>
        </w:rPr>
        <w:t>e</w:t>
      </w:r>
      <w:r w:rsidR="001803FD">
        <w:rPr>
          <w:rFonts w:cs="Times New Roman"/>
        </w:rPr>
        <w:t>nglish</w:t>
      </w:r>
      <w:proofErr w:type="spellEnd"/>
      <w:r w:rsidR="001803FD">
        <w:rPr>
          <w:rFonts w:cs="Times New Roman"/>
        </w:rPr>
        <w:t xml:space="preserve"> </w:t>
      </w:r>
      <w:r w:rsidR="0055639D">
        <w:rPr>
          <w:rFonts w:cs="Times New Roman"/>
        </w:rPr>
        <w:t>t</w:t>
      </w:r>
      <w:r w:rsidR="001803FD">
        <w:rPr>
          <w:rFonts w:cs="Times New Roman"/>
        </w:rPr>
        <w:t>ranslation)</w:t>
      </w:r>
      <w:r w:rsidR="00376730">
        <w:rPr>
          <w:rFonts w:cs="Times New Roman"/>
        </w:rPr>
        <w:t>,</w:t>
      </w:r>
      <w:r w:rsidR="001803FD">
        <w:rPr>
          <w:rFonts w:cs="Times New Roman"/>
        </w:rPr>
        <w:t xml:space="preserve"> </w:t>
      </w:r>
      <w:r w:rsidRPr="00025066">
        <w:rPr>
          <w:rFonts w:cs="Times New Roman"/>
        </w:rPr>
        <w:t>Par</w:t>
      </w:r>
      <w:r w:rsidRPr="00A16885">
        <w:rPr>
          <w:rFonts w:cs="Times New Roman"/>
        </w:rPr>
        <w:t>. 4.73</w:t>
      </w:r>
      <w:r w:rsidR="0039601F" w:rsidRPr="00A16885">
        <w:rPr>
          <w:rFonts w:cs="Times New Roman"/>
        </w:rPr>
        <w:t xml:space="preserve"> </w:t>
      </w:r>
      <w:r w:rsidR="0039601F">
        <w:rPr>
          <w:rFonts w:cs="Times New Roman"/>
        </w:rPr>
        <w:t>(</w:t>
      </w:r>
      <w:r w:rsidR="0039601F" w:rsidRPr="00A16885">
        <w:rPr>
          <w:rFonts w:cs="Times New Roman"/>
        </w:rPr>
        <w:t xml:space="preserve">June </w:t>
      </w:r>
      <w:r w:rsidR="003F1F4F">
        <w:rPr>
          <w:rFonts w:cs="Times New Roman"/>
        </w:rPr>
        <w:t xml:space="preserve">24, </w:t>
      </w:r>
      <w:r w:rsidR="0039601F" w:rsidRPr="00A16885">
        <w:rPr>
          <w:rFonts w:cs="Times New Roman"/>
        </w:rPr>
        <w:t>2015</w:t>
      </w:r>
      <w:r w:rsidR="0039601F">
        <w:rPr>
          <w:rFonts w:cs="Times New Roman"/>
        </w:rPr>
        <w:t>).</w:t>
      </w:r>
    </w:p>
  </w:footnote>
  <w:footnote w:id="18">
    <w:p w14:paraId="5A443320" w14:textId="6E46AA8C" w:rsidR="00E165B0" w:rsidRPr="00BB52BD" w:rsidRDefault="00E165B0" w:rsidP="00D20FCB">
      <w:pPr>
        <w:pStyle w:val="FootnoteText"/>
        <w:jc w:val="both"/>
        <w:rPr>
          <w:rFonts w:cs="Times New Roman"/>
          <w:lang w:val="da-DK"/>
        </w:rPr>
      </w:pPr>
      <w:r w:rsidRPr="00A16885">
        <w:rPr>
          <w:rStyle w:val="FootnoteReference"/>
          <w:rFonts w:cs="Times New Roman"/>
        </w:rPr>
        <w:footnoteRef/>
      </w:r>
      <w:r w:rsidRPr="00BB52BD">
        <w:rPr>
          <w:rFonts w:cs="Times New Roman"/>
          <w:lang w:val="da-DK"/>
        </w:rPr>
        <w:t xml:space="preserve"> </w:t>
      </w:r>
      <w:r w:rsidR="00AC23BC" w:rsidRPr="00BB52BD">
        <w:rPr>
          <w:rFonts w:cs="Times New Roman"/>
          <w:i/>
          <w:lang w:val="da-DK"/>
        </w:rPr>
        <w:t>Id</w:t>
      </w:r>
      <w:r w:rsidR="00AC23BC" w:rsidRPr="00BB52BD">
        <w:rPr>
          <w:rFonts w:cs="Times New Roman"/>
          <w:lang w:val="da-DK"/>
        </w:rPr>
        <w:t>. at</w:t>
      </w:r>
      <w:r w:rsidR="00A81AE6" w:rsidRPr="00BB52BD">
        <w:rPr>
          <w:rFonts w:cs="Times New Roman"/>
          <w:lang w:val="da-DK"/>
        </w:rPr>
        <w:t xml:space="preserve"> </w:t>
      </w:r>
      <w:r w:rsidRPr="00BB52BD">
        <w:rPr>
          <w:rFonts w:cs="Times New Roman"/>
          <w:lang w:val="da-DK"/>
        </w:rPr>
        <w:t xml:space="preserve">Par. 4.99-4.102. </w:t>
      </w:r>
    </w:p>
  </w:footnote>
  <w:footnote w:id="19">
    <w:p w14:paraId="056A37DB" w14:textId="035A8365" w:rsidR="00E165B0" w:rsidRPr="00BB52BD" w:rsidRDefault="00E165B0" w:rsidP="00D20FCB">
      <w:pPr>
        <w:pStyle w:val="FootnoteText"/>
        <w:jc w:val="both"/>
        <w:rPr>
          <w:rFonts w:cs="Times New Roman"/>
          <w:lang w:val="da-DK"/>
        </w:rPr>
      </w:pPr>
      <w:r w:rsidRPr="00A16885">
        <w:rPr>
          <w:rStyle w:val="FootnoteReference"/>
          <w:rFonts w:cs="Times New Roman"/>
        </w:rPr>
        <w:footnoteRef/>
      </w:r>
      <w:r w:rsidRPr="00BB52BD">
        <w:rPr>
          <w:rFonts w:cs="Times New Roman"/>
          <w:lang w:val="da-DK"/>
        </w:rPr>
        <w:t xml:space="preserve"> </w:t>
      </w:r>
      <w:r w:rsidR="00AC23BC" w:rsidRPr="00BB52BD">
        <w:rPr>
          <w:rFonts w:cs="Times New Roman"/>
          <w:i/>
          <w:lang w:val="da-DK"/>
        </w:rPr>
        <w:t>Id.</w:t>
      </w:r>
      <w:r w:rsidR="00AC23BC" w:rsidRPr="00BB52BD">
        <w:rPr>
          <w:rFonts w:cs="Times New Roman"/>
          <w:lang w:val="da-DK"/>
        </w:rPr>
        <w:t xml:space="preserve"> at</w:t>
      </w:r>
      <w:r w:rsidR="00376730" w:rsidRPr="00BB52BD">
        <w:rPr>
          <w:rFonts w:cs="Times New Roman"/>
          <w:lang w:val="da-DK"/>
        </w:rPr>
        <w:t xml:space="preserve"> </w:t>
      </w:r>
      <w:r w:rsidRPr="00BB52BD">
        <w:rPr>
          <w:rFonts w:cs="Times New Roman"/>
          <w:lang w:val="da-DK"/>
        </w:rPr>
        <w:t xml:space="preserve">Par. 4.99-4.101. </w:t>
      </w:r>
    </w:p>
  </w:footnote>
  <w:footnote w:id="20">
    <w:p w14:paraId="56ED8F3E" w14:textId="306588A3" w:rsidR="00E165B0" w:rsidRPr="00A16885" w:rsidRDefault="00E165B0" w:rsidP="00D20FCB">
      <w:pPr>
        <w:pStyle w:val="FootnoteText"/>
        <w:jc w:val="both"/>
        <w:rPr>
          <w:rFonts w:cs="Times New Roman"/>
        </w:rPr>
      </w:pPr>
      <w:r w:rsidRPr="00A16885">
        <w:rPr>
          <w:rStyle w:val="FootnoteReference"/>
          <w:rFonts w:cs="Times New Roman"/>
        </w:rPr>
        <w:footnoteRef/>
      </w:r>
      <w:r w:rsidRPr="00A16885">
        <w:rPr>
          <w:rFonts w:cs="Times New Roman"/>
        </w:rPr>
        <w:t xml:space="preserve"> Court of Appeal The Hague, ECLI:</w:t>
      </w:r>
      <w:proofErr w:type="gramStart"/>
      <w:r w:rsidRPr="00A16885">
        <w:rPr>
          <w:rFonts w:cs="Times New Roman"/>
        </w:rPr>
        <w:t>NL:GHDHA</w:t>
      </w:r>
      <w:proofErr w:type="gramEnd"/>
      <w:r w:rsidRPr="00A16885">
        <w:rPr>
          <w:rFonts w:cs="Times New Roman"/>
        </w:rPr>
        <w:t>:2018:2610 (</w:t>
      </w:r>
      <w:proofErr w:type="spellStart"/>
      <w:r w:rsidR="0055639D">
        <w:rPr>
          <w:rFonts w:cs="Times New Roman"/>
        </w:rPr>
        <w:t>e</w:t>
      </w:r>
      <w:r w:rsidRPr="00A16885">
        <w:rPr>
          <w:rFonts w:cs="Times New Roman"/>
        </w:rPr>
        <w:t>nglish</w:t>
      </w:r>
      <w:proofErr w:type="spellEnd"/>
      <w:r w:rsidRPr="00A16885">
        <w:rPr>
          <w:rFonts w:cs="Times New Roman"/>
        </w:rPr>
        <w:t xml:space="preserve"> </w:t>
      </w:r>
      <w:r w:rsidR="0055639D">
        <w:rPr>
          <w:rFonts w:cs="Times New Roman"/>
        </w:rPr>
        <w:t>t</w:t>
      </w:r>
      <w:r w:rsidRPr="00A16885">
        <w:rPr>
          <w:rFonts w:cs="Times New Roman"/>
        </w:rPr>
        <w:t>ranslation)</w:t>
      </w:r>
      <w:r w:rsidR="00025066">
        <w:rPr>
          <w:rFonts w:cs="Times New Roman"/>
        </w:rPr>
        <w:t>,</w:t>
      </w:r>
      <w:r w:rsidR="001803FD">
        <w:rPr>
          <w:rFonts w:cs="Times New Roman"/>
        </w:rPr>
        <w:t xml:space="preserve"> (Oct. </w:t>
      </w:r>
      <w:r w:rsidR="003F1F4F">
        <w:rPr>
          <w:rFonts w:cs="Times New Roman"/>
        </w:rPr>
        <w:t xml:space="preserve">09, </w:t>
      </w:r>
      <w:r w:rsidR="001803FD">
        <w:rPr>
          <w:rFonts w:cs="Times New Roman"/>
        </w:rPr>
        <w:t>2018)</w:t>
      </w:r>
      <w:r w:rsidRPr="00A16885">
        <w:rPr>
          <w:rFonts w:cs="Times New Roman"/>
        </w:rPr>
        <w:t xml:space="preserve">. </w:t>
      </w:r>
    </w:p>
  </w:footnote>
  <w:footnote w:id="21">
    <w:p w14:paraId="729D30AF" w14:textId="77777777" w:rsidR="00E165B0" w:rsidRPr="00A16885" w:rsidRDefault="00E165B0" w:rsidP="00D20FCB">
      <w:pPr>
        <w:pStyle w:val="FootnoteText"/>
        <w:jc w:val="both"/>
        <w:rPr>
          <w:rFonts w:cs="Times New Roman"/>
        </w:rPr>
      </w:pPr>
      <w:r w:rsidRPr="00A16885">
        <w:rPr>
          <w:rStyle w:val="FootnoteReference"/>
          <w:rFonts w:cs="Times New Roman"/>
        </w:rPr>
        <w:footnoteRef/>
      </w:r>
      <w:r w:rsidRPr="00A16885">
        <w:rPr>
          <w:rFonts w:cs="Times New Roman"/>
        </w:rPr>
        <w:t xml:space="preserve"> The right to life and the right to private and family life respectively. </w:t>
      </w:r>
    </w:p>
  </w:footnote>
  <w:footnote w:id="22">
    <w:p w14:paraId="1361B0BF" w14:textId="31C5F960" w:rsidR="00E165B0" w:rsidRPr="00A16885" w:rsidRDefault="00E165B0" w:rsidP="00D20FCB">
      <w:pPr>
        <w:pStyle w:val="FootnoteText"/>
        <w:jc w:val="both"/>
        <w:rPr>
          <w:rFonts w:cs="Times New Roman"/>
        </w:rPr>
      </w:pPr>
      <w:r w:rsidRPr="00A16885">
        <w:rPr>
          <w:rStyle w:val="FootnoteReference"/>
          <w:rFonts w:cs="Times New Roman"/>
        </w:rPr>
        <w:footnoteRef/>
      </w:r>
      <w:r w:rsidRPr="00A16885">
        <w:rPr>
          <w:rFonts w:cs="Times New Roman"/>
        </w:rPr>
        <w:t xml:space="preserve"> </w:t>
      </w:r>
      <w:r w:rsidR="00AC23BC">
        <w:rPr>
          <w:rFonts w:cs="Times New Roman"/>
        </w:rPr>
        <w:t>See</w:t>
      </w:r>
      <w:r w:rsidRPr="00A16885">
        <w:rPr>
          <w:rFonts w:cs="Times New Roman"/>
        </w:rPr>
        <w:t xml:space="preserve"> ECLI:</w:t>
      </w:r>
      <w:proofErr w:type="gramStart"/>
      <w:r w:rsidRPr="00A16885">
        <w:rPr>
          <w:rFonts w:cs="Times New Roman"/>
        </w:rPr>
        <w:t>NL:GHDHA</w:t>
      </w:r>
      <w:proofErr w:type="gramEnd"/>
      <w:r w:rsidRPr="00A16885">
        <w:rPr>
          <w:rFonts w:cs="Times New Roman"/>
        </w:rPr>
        <w:t xml:space="preserve">:2018:2610 </w:t>
      </w:r>
      <w:r w:rsidR="00AC23BC">
        <w:rPr>
          <w:rFonts w:cs="Times New Roman"/>
          <w:i/>
        </w:rPr>
        <w:t>supra</w:t>
      </w:r>
      <w:r w:rsidR="00AC23BC">
        <w:rPr>
          <w:rFonts w:cs="Times New Roman"/>
        </w:rPr>
        <w:t xml:space="preserve"> note</w:t>
      </w:r>
      <w:r w:rsidR="00192049">
        <w:rPr>
          <w:rFonts w:cs="Times New Roman"/>
        </w:rPr>
        <w:t xml:space="preserve"> </w:t>
      </w:r>
      <w:r w:rsidR="00EF15E5">
        <w:rPr>
          <w:rFonts w:cs="Times New Roman"/>
        </w:rPr>
        <w:t>2</w:t>
      </w:r>
      <w:r w:rsidR="000913DE">
        <w:rPr>
          <w:rFonts w:cs="Times New Roman"/>
        </w:rPr>
        <w:t>0</w:t>
      </w:r>
      <w:r w:rsidR="00192049">
        <w:rPr>
          <w:rFonts w:cs="Times New Roman"/>
        </w:rPr>
        <w:t>, at</w:t>
      </w:r>
      <w:r w:rsidRPr="00A16885">
        <w:rPr>
          <w:rFonts w:cs="Times New Roman"/>
        </w:rPr>
        <w:t xml:space="preserve"> Par. 43-45.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F14"/>
    <w:multiLevelType w:val="hybridMultilevel"/>
    <w:tmpl w:val="632E6872"/>
    <w:lvl w:ilvl="0" w:tplc="0006644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B12"/>
    <w:rsid w:val="000066BD"/>
    <w:rsid w:val="00025066"/>
    <w:rsid w:val="00072E97"/>
    <w:rsid w:val="00073039"/>
    <w:rsid w:val="00081A2B"/>
    <w:rsid w:val="000913DE"/>
    <w:rsid w:val="000A1A12"/>
    <w:rsid w:val="000C6131"/>
    <w:rsid w:val="000F28F1"/>
    <w:rsid w:val="0010535F"/>
    <w:rsid w:val="00115D44"/>
    <w:rsid w:val="00140ADF"/>
    <w:rsid w:val="00143962"/>
    <w:rsid w:val="00154AD3"/>
    <w:rsid w:val="0017258E"/>
    <w:rsid w:val="001803FD"/>
    <w:rsid w:val="00192049"/>
    <w:rsid w:val="001C4A61"/>
    <w:rsid w:val="001E1A39"/>
    <w:rsid w:val="001F215B"/>
    <w:rsid w:val="00200C5F"/>
    <w:rsid w:val="00210FEB"/>
    <w:rsid w:val="00274ED8"/>
    <w:rsid w:val="00275B65"/>
    <w:rsid w:val="00296B64"/>
    <w:rsid w:val="00300D71"/>
    <w:rsid w:val="00333BBD"/>
    <w:rsid w:val="00355229"/>
    <w:rsid w:val="00376730"/>
    <w:rsid w:val="0039601F"/>
    <w:rsid w:val="003F1F4F"/>
    <w:rsid w:val="003F4D87"/>
    <w:rsid w:val="00461409"/>
    <w:rsid w:val="00472DE7"/>
    <w:rsid w:val="004C4585"/>
    <w:rsid w:val="004D0F1C"/>
    <w:rsid w:val="004D5CDA"/>
    <w:rsid w:val="004E7B49"/>
    <w:rsid w:val="00504BB0"/>
    <w:rsid w:val="00536D94"/>
    <w:rsid w:val="00545C9A"/>
    <w:rsid w:val="0055639D"/>
    <w:rsid w:val="0056299A"/>
    <w:rsid w:val="00563FC9"/>
    <w:rsid w:val="00564FEA"/>
    <w:rsid w:val="005F45D9"/>
    <w:rsid w:val="00613439"/>
    <w:rsid w:val="00624C7C"/>
    <w:rsid w:val="00675840"/>
    <w:rsid w:val="00690EDB"/>
    <w:rsid w:val="00694F06"/>
    <w:rsid w:val="006A540D"/>
    <w:rsid w:val="006B5322"/>
    <w:rsid w:val="006E70C3"/>
    <w:rsid w:val="00715623"/>
    <w:rsid w:val="00735053"/>
    <w:rsid w:val="00763887"/>
    <w:rsid w:val="007839D3"/>
    <w:rsid w:val="00794823"/>
    <w:rsid w:val="007B71DA"/>
    <w:rsid w:val="007D7450"/>
    <w:rsid w:val="008000F1"/>
    <w:rsid w:val="00824093"/>
    <w:rsid w:val="00837624"/>
    <w:rsid w:val="00843BBD"/>
    <w:rsid w:val="00845173"/>
    <w:rsid w:val="00867D17"/>
    <w:rsid w:val="00876B12"/>
    <w:rsid w:val="008A69AA"/>
    <w:rsid w:val="008D476A"/>
    <w:rsid w:val="008D6873"/>
    <w:rsid w:val="00906AB0"/>
    <w:rsid w:val="00915DE2"/>
    <w:rsid w:val="00935A15"/>
    <w:rsid w:val="0096759D"/>
    <w:rsid w:val="009857E8"/>
    <w:rsid w:val="009A28D2"/>
    <w:rsid w:val="009C0704"/>
    <w:rsid w:val="009C621D"/>
    <w:rsid w:val="00A01FF2"/>
    <w:rsid w:val="00A16885"/>
    <w:rsid w:val="00A524BC"/>
    <w:rsid w:val="00A70BF2"/>
    <w:rsid w:val="00A7147A"/>
    <w:rsid w:val="00A81AE6"/>
    <w:rsid w:val="00AC23BC"/>
    <w:rsid w:val="00AD5FEE"/>
    <w:rsid w:val="00B23058"/>
    <w:rsid w:val="00B36F12"/>
    <w:rsid w:val="00B431D0"/>
    <w:rsid w:val="00B50CC2"/>
    <w:rsid w:val="00B50E5D"/>
    <w:rsid w:val="00BA4C01"/>
    <w:rsid w:val="00BB52BD"/>
    <w:rsid w:val="00BD420F"/>
    <w:rsid w:val="00C23388"/>
    <w:rsid w:val="00C25BBD"/>
    <w:rsid w:val="00C364E7"/>
    <w:rsid w:val="00CA362D"/>
    <w:rsid w:val="00D02690"/>
    <w:rsid w:val="00D12F15"/>
    <w:rsid w:val="00D20FCB"/>
    <w:rsid w:val="00D239AB"/>
    <w:rsid w:val="00D36E05"/>
    <w:rsid w:val="00D400EA"/>
    <w:rsid w:val="00D94CEC"/>
    <w:rsid w:val="00D95BC5"/>
    <w:rsid w:val="00D967D6"/>
    <w:rsid w:val="00DA056C"/>
    <w:rsid w:val="00E043DB"/>
    <w:rsid w:val="00E165B0"/>
    <w:rsid w:val="00E51BDF"/>
    <w:rsid w:val="00E56076"/>
    <w:rsid w:val="00E614DE"/>
    <w:rsid w:val="00E824A8"/>
    <w:rsid w:val="00EB6191"/>
    <w:rsid w:val="00EB7277"/>
    <w:rsid w:val="00EE3455"/>
    <w:rsid w:val="00EE4594"/>
    <w:rsid w:val="00EF15E5"/>
    <w:rsid w:val="00F14CE0"/>
    <w:rsid w:val="00F14FB9"/>
    <w:rsid w:val="00F2037A"/>
    <w:rsid w:val="00F379AD"/>
    <w:rsid w:val="00F72FDE"/>
    <w:rsid w:val="00F97CB9"/>
    <w:rsid w:val="00FC1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BA9D"/>
  <w15:chartTrackingRefBased/>
  <w15:docId w15:val="{8A628E6E-197D-405B-9754-228BC2C1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4E7"/>
    <w:pPr>
      <w:spacing w:after="2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65B0"/>
    <w:pPr>
      <w:spacing w:after="0"/>
    </w:pPr>
    <w:rPr>
      <w:sz w:val="20"/>
      <w:szCs w:val="20"/>
    </w:rPr>
  </w:style>
  <w:style w:type="character" w:customStyle="1" w:styleId="FootnoteTextChar">
    <w:name w:val="Footnote Text Char"/>
    <w:basedOn w:val="DefaultParagraphFont"/>
    <w:link w:val="FootnoteText"/>
    <w:uiPriority w:val="99"/>
    <w:semiHidden/>
    <w:rsid w:val="00E165B0"/>
    <w:rPr>
      <w:sz w:val="20"/>
      <w:szCs w:val="20"/>
    </w:rPr>
  </w:style>
  <w:style w:type="character" w:styleId="FootnoteReference">
    <w:name w:val="footnote reference"/>
    <w:basedOn w:val="DefaultParagraphFont"/>
    <w:uiPriority w:val="99"/>
    <w:semiHidden/>
    <w:unhideWhenUsed/>
    <w:rsid w:val="00E165B0"/>
    <w:rPr>
      <w:vertAlign w:val="superscript"/>
    </w:rPr>
  </w:style>
  <w:style w:type="character" w:styleId="Hyperlink">
    <w:name w:val="Hyperlink"/>
    <w:basedOn w:val="DefaultParagraphFont"/>
    <w:uiPriority w:val="99"/>
    <w:unhideWhenUsed/>
    <w:rsid w:val="00E165B0"/>
    <w:rPr>
      <w:color w:val="0563C1" w:themeColor="hyperlink"/>
      <w:u w:val="single"/>
    </w:rPr>
  </w:style>
  <w:style w:type="paragraph" w:styleId="Bibliography">
    <w:name w:val="Bibliography"/>
    <w:basedOn w:val="Normal"/>
    <w:next w:val="Normal"/>
    <w:uiPriority w:val="37"/>
    <w:unhideWhenUsed/>
    <w:rsid w:val="00E165B0"/>
  </w:style>
  <w:style w:type="paragraph" w:styleId="BalloonText">
    <w:name w:val="Balloon Text"/>
    <w:basedOn w:val="Normal"/>
    <w:link w:val="BalloonTextChar"/>
    <w:uiPriority w:val="99"/>
    <w:semiHidden/>
    <w:unhideWhenUsed/>
    <w:rsid w:val="00D0269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90"/>
    <w:rPr>
      <w:rFonts w:ascii="Segoe UI" w:hAnsi="Segoe UI" w:cs="Segoe UI"/>
      <w:sz w:val="18"/>
      <w:szCs w:val="18"/>
    </w:rPr>
  </w:style>
  <w:style w:type="character" w:styleId="CommentReference">
    <w:name w:val="annotation reference"/>
    <w:basedOn w:val="DefaultParagraphFont"/>
    <w:uiPriority w:val="99"/>
    <w:semiHidden/>
    <w:unhideWhenUsed/>
    <w:rsid w:val="009857E8"/>
    <w:rPr>
      <w:sz w:val="16"/>
      <w:szCs w:val="16"/>
    </w:rPr>
  </w:style>
  <w:style w:type="paragraph" w:styleId="CommentText">
    <w:name w:val="annotation text"/>
    <w:basedOn w:val="Normal"/>
    <w:link w:val="CommentTextChar"/>
    <w:uiPriority w:val="99"/>
    <w:semiHidden/>
    <w:unhideWhenUsed/>
    <w:rsid w:val="009857E8"/>
    <w:rPr>
      <w:sz w:val="20"/>
      <w:szCs w:val="20"/>
    </w:rPr>
  </w:style>
  <w:style w:type="character" w:customStyle="1" w:styleId="CommentTextChar">
    <w:name w:val="Comment Text Char"/>
    <w:basedOn w:val="DefaultParagraphFont"/>
    <w:link w:val="CommentText"/>
    <w:uiPriority w:val="99"/>
    <w:semiHidden/>
    <w:rsid w:val="009857E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857E8"/>
    <w:rPr>
      <w:b/>
      <w:bCs/>
    </w:rPr>
  </w:style>
  <w:style w:type="character" w:customStyle="1" w:styleId="CommentSubjectChar">
    <w:name w:val="Comment Subject Char"/>
    <w:basedOn w:val="CommentTextChar"/>
    <w:link w:val="CommentSubject"/>
    <w:uiPriority w:val="99"/>
    <w:semiHidden/>
    <w:rsid w:val="009857E8"/>
    <w:rPr>
      <w:rFonts w:ascii="Times New Roman" w:hAnsi="Times New Roman"/>
      <w:b/>
      <w:bCs/>
      <w:sz w:val="20"/>
      <w:szCs w:val="20"/>
    </w:rPr>
  </w:style>
  <w:style w:type="paragraph" w:styleId="ListParagraph">
    <w:name w:val="List Paragraph"/>
    <w:basedOn w:val="Normal"/>
    <w:uiPriority w:val="34"/>
    <w:qFormat/>
    <w:rsid w:val="00EE3455"/>
    <w:pPr>
      <w:ind w:left="720"/>
      <w:contextualSpacing/>
    </w:pPr>
  </w:style>
  <w:style w:type="paragraph" w:styleId="Revision">
    <w:name w:val="Revision"/>
    <w:hidden/>
    <w:uiPriority w:val="99"/>
    <w:semiHidden/>
    <w:rsid w:val="00355229"/>
    <w:pPr>
      <w:spacing w:after="0" w:line="240" w:lineRule="auto"/>
    </w:pPr>
    <w:rPr>
      <w:rFonts w:ascii="Times New Roman" w:hAnsi="Times New Roman"/>
      <w:sz w:val="24"/>
    </w:rPr>
  </w:style>
  <w:style w:type="paragraph" w:styleId="NormalWeb">
    <w:name w:val="Normal (Web)"/>
    <w:basedOn w:val="Normal"/>
    <w:uiPriority w:val="99"/>
    <w:unhideWhenUsed/>
    <w:rsid w:val="00461409"/>
    <w:pPr>
      <w:spacing w:before="100" w:beforeAutospacing="1" w:after="100" w:afterAutospacing="1"/>
    </w:pPr>
    <w:rPr>
      <w:rFonts w:eastAsia="Times New Roman" w:cs="Times New Roman"/>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490952">
      <w:bodyDiv w:val="1"/>
      <w:marLeft w:val="0"/>
      <w:marRight w:val="0"/>
      <w:marTop w:val="0"/>
      <w:marBottom w:val="0"/>
      <w:divBdr>
        <w:top w:val="none" w:sz="0" w:space="0" w:color="auto"/>
        <w:left w:val="none" w:sz="0" w:space="0" w:color="auto"/>
        <w:bottom w:val="none" w:sz="0" w:space="0" w:color="auto"/>
        <w:right w:val="none" w:sz="0" w:space="0" w:color="auto"/>
      </w:divBdr>
    </w:div>
    <w:div w:id="176287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jksoverheid.nl/onderwerpen/gaswinning-in-groningen/nieuws/2018/03/29/kabinet-einde-aan-gaswinning-in-groning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3673-CC4F-45C6-8EFF-B81AA28A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1605</Words>
  <Characters>9154</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Friso Jansen</dc:creator>
  <cp:keywords/>
  <dc:description/>
  <cp:lastModifiedBy>Friso Jansen</cp:lastModifiedBy>
  <cp:revision>5</cp:revision>
  <dcterms:created xsi:type="dcterms:W3CDTF">2019-08-28T15:30:00Z</dcterms:created>
  <dcterms:modified xsi:type="dcterms:W3CDTF">2019-11-11T15:35:00Z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zotero-version="5.0.71m2"&gt;&lt;session id="18JJQufH"/&gt;&lt;style id="http://juris-m.github.io/styles/jm-indigobook" locale="en-US" hasBibliography="1" bibliographyStyleHasBeenSet="1"/&gt;&lt;prefs&gt;&lt;pref name="extractingLibraryName" value="No grou</vt:lpwstr>
  </property>
  <property fmtid="{D5CDD505-2E9C-101B-9397-08002B2CF9AE}" pid="3" name="ZOTERO_PREF_2">
    <vt:lpwstr>p selected"/&gt;&lt;pref name="fieldType" value="Field"/&gt;&lt;pref name="citationTransliteration" value=""/&gt;&lt;pref name="citationTranslation" value=""/&gt;&lt;pref name="citationSort" value=""/&gt;&lt;pref name="citationLangPrefsPersons" value="orig"/&gt;&lt;pref name="citationLangPr</vt:lpwstr>
  </property>
  <property fmtid="{D5CDD505-2E9C-101B-9397-08002B2CF9AE}" pid="4" name="ZOTERO_PREF_3">
    <vt:lpwstr>efsInstitutions" value="orig"/&gt;&lt;pref name="citationLangPrefsTitles" value="orig"/&gt;&lt;pref name="citationLangPrefsJournals" value="orig"/&gt;&lt;pref name="citationLangPrefsPublishers" value="orig"/&gt;&lt;pref name="citationLangPrefsPlaces" value="orig"/&gt;&lt;pref name="ci</vt:lpwstr>
  </property>
  <property fmtid="{D5CDD505-2E9C-101B-9397-08002B2CF9AE}" pid="5" name="ZOTERO_PREF_4">
    <vt:lpwstr>tationAffixes" value="|||||||||||||||||||||||||||||||||||||||||||||||"/&gt;&lt;/prefs&gt;&lt;/data&gt;</vt:lpwstr>
  </property>
</Properties>
</file>