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4FFE4" w14:textId="30C872F7" w:rsidR="00B12778" w:rsidRPr="000940E2" w:rsidRDefault="009B1492" w:rsidP="002412FF">
      <w:pPr>
        <w:ind w:firstLine="0"/>
        <w:jc w:val="center"/>
        <w:rPr>
          <w:rFonts w:ascii="Times New Roman" w:hAnsi="Times New Roman" w:cs="Times New Roman"/>
          <w:b/>
          <w:szCs w:val="23"/>
        </w:rPr>
      </w:pPr>
      <w:r>
        <w:rPr>
          <w:rFonts w:ascii="Times New Roman" w:hAnsi="Times New Roman" w:cs="Times New Roman"/>
          <w:b/>
          <w:szCs w:val="23"/>
        </w:rPr>
        <w:t>W</w:t>
      </w:r>
      <w:r w:rsidR="000940E2" w:rsidRPr="000940E2">
        <w:rPr>
          <w:rFonts w:ascii="Times New Roman" w:hAnsi="Times New Roman" w:cs="Times New Roman"/>
          <w:b/>
          <w:szCs w:val="23"/>
        </w:rPr>
        <w:t xml:space="preserve">ealth </w:t>
      </w:r>
      <w:r>
        <w:rPr>
          <w:rFonts w:ascii="Times New Roman" w:hAnsi="Times New Roman" w:cs="Times New Roman"/>
          <w:b/>
          <w:szCs w:val="23"/>
        </w:rPr>
        <w:t xml:space="preserve">structures </w:t>
      </w:r>
      <w:r w:rsidR="000940E2" w:rsidRPr="000940E2">
        <w:rPr>
          <w:rFonts w:ascii="Times New Roman" w:hAnsi="Times New Roman" w:cs="Times New Roman"/>
          <w:b/>
          <w:szCs w:val="23"/>
        </w:rPr>
        <w:t xml:space="preserve">and </w:t>
      </w:r>
      <w:r>
        <w:rPr>
          <w:rFonts w:ascii="Times New Roman" w:hAnsi="Times New Roman" w:cs="Times New Roman"/>
          <w:b/>
          <w:szCs w:val="23"/>
        </w:rPr>
        <w:t>income distribution</w:t>
      </w:r>
      <w:r w:rsidR="00083063">
        <w:rPr>
          <w:rFonts w:ascii="Times New Roman" w:hAnsi="Times New Roman" w:cs="Times New Roman"/>
          <w:b/>
          <w:szCs w:val="23"/>
        </w:rPr>
        <w:t xml:space="preserve"> of </w:t>
      </w:r>
      <w:r>
        <w:rPr>
          <w:rFonts w:ascii="Times New Roman" w:hAnsi="Times New Roman" w:cs="Times New Roman"/>
          <w:b/>
          <w:szCs w:val="23"/>
        </w:rPr>
        <w:t>US households</w:t>
      </w:r>
      <w:r w:rsidRPr="000940E2">
        <w:rPr>
          <w:rFonts w:ascii="Times New Roman" w:hAnsi="Times New Roman" w:cs="Times New Roman"/>
          <w:b/>
          <w:szCs w:val="23"/>
        </w:rPr>
        <w:t xml:space="preserve"> </w:t>
      </w:r>
      <w:r>
        <w:rPr>
          <w:rFonts w:ascii="Times New Roman" w:hAnsi="Times New Roman" w:cs="Times New Roman"/>
          <w:b/>
          <w:szCs w:val="23"/>
        </w:rPr>
        <w:t>before and after the Great Recession</w:t>
      </w:r>
    </w:p>
    <w:p w14:paraId="70FFF10E" w14:textId="4D7BC1ED" w:rsidR="000940E2" w:rsidRPr="000940E2" w:rsidRDefault="00083063" w:rsidP="00EF264F">
      <w:pPr>
        <w:spacing w:after="0"/>
        <w:ind w:left="720" w:hanging="153"/>
        <w:jc w:val="center"/>
        <w:rPr>
          <w:rFonts w:ascii="Times New Roman" w:hAnsi="Times New Roman" w:cs="Times New Roman"/>
          <w:szCs w:val="23"/>
        </w:rPr>
      </w:pPr>
      <w:r>
        <w:rPr>
          <w:rFonts w:ascii="Times New Roman" w:hAnsi="Times New Roman" w:cs="Times New Roman"/>
          <w:szCs w:val="23"/>
        </w:rPr>
        <w:t>Hanna Karolina</w:t>
      </w:r>
      <w:r w:rsidR="000940E2" w:rsidRPr="000940E2">
        <w:rPr>
          <w:rFonts w:ascii="Times New Roman" w:hAnsi="Times New Roman" w:cs="Times New Roman"/>
          <w:szCs w:val="23"/>
        </w:rPr>
        <w:t xml:space="preserve"> Szymborsk</w:t>
      </w:r>
      <w:r w:rsidR="00EF264F">
        <w:rPr>
          <w:rFonts w:ascii="Times New Roman" w:hAnsi="Times New Roman" w:cs="Times New Roman"/>
          <w:szCs w:val="23"/>
        </w:rPr>
        <w:t>a</w:t>
      </w:r>
      <w:r w:rsidR="000E0526">
        <w:rPr>
          <w:rStyle w:val="FootnoteReference"/>
          <w:szCs w:val="23"/>
        </w:rPr>
        <w:footnoteReference w:id="1"/>
      </w:r>
    </w:p>
    <w:p w14:paraId="6E78B98C" w14:textId="77777777" w:rsidR="005D0CBA" w:rsidRDefault="005D0CBA" w:rsidP="006438C8">
      <w:pPr>
        <w:pStyle w:val="MyHeading1"/>
        <w:spacing w:after="200"/>
        <w:jc w:val="left"/>
        <w:rPr>
          <w:sz w:val="23"/>
          <w:szCs w:val="23"/>
        </w:rPr>
      </w:pPr>
    </w:p>
    <w:p w14:paraId="63B60AF6" w14:textId="5556654A" w:rsidR="000940E2" w:rsidRPr="006438C8" w:rsidRDefault="000940E2" w:rsidP="006438C8">
      <w:pPr>
        <w:pStyle w:val="MyHeading1"/>
        <w:spacing w:after="200"/>
        <w:jc w:val="left"/>
        <w:rPr>
          <w:sz w:val="23"/>
          <w:szCs w:val="23"/>
        </w:rPr>
      </w:pPr>
      <w:r w:rsidRPr="006438C8">
        <w:rPr>
          <w:sz w:val="23"/>
          <w:szCs w:val="23"/>
        </w:rPr>
        <w:t>Abstract</w:t>
      </w:r>
    </w:p>
    <w:p w14:paraId="372917B0" w14:textId="6FD6E92C" w:rsidR="00F837C1" w:rsidRDefault="009A7360" w:rsidP="00156AEA">
      <w:pPr>
        <w:spacing w:line="240" w:lineRule="auto"/>
        <w:ind w:left="567" w:right="476" w:firstLine="0"/>
        <w:rPr>
          <w:rFonts w:ascii="Times New Roman" w:hAnsi="Times New Roman" w:cs="Times New Roman"/>
        </w:rPr>
      </w:pPr>
      <w:r>
        <w:rPr>
          <w:rFonts w:ascii="Times New Roman" w:hAnsi="Times New Roman" w:cs="Times New Roman"/>
        </w:rPr>
        <w:t xml:space="preserve">This paper </w:t>
      </w:r>
      <w:r w:rsidR="00F837C1">
        <w:rPr>
          <w:rFonts w:ascii="Times New Roman" w:hAnsi="Times New Roman" w:cs="Times New Roman"/>
        </w:rPr>
        <w:t>investigat</w:t>
      </w:r>
      <w:r w:rsidR="00BB0405">
        <w:rPr>
          <w:rFonts w:ascii="Times New Roman" w:hAnsi="Times New Roman" w:cs="Times New Roman"/>
        </w:rPr>
        <w:t>es</w:t>
      </w:r>
      <w:r w:rsidR="00EA7C5A">
        <w:rPr>
          <w:rFonts w:ascii="Times New Roman" w:hAnsi="Times New Roman" w:cs="Times New Roman"/>
        </w:rPr>
        <w:t xml:space="preserve"> </w:t>
      </w:r>
      <w:r>
        <w:rPr>
          <w:rFonts w:ascii="Times New Roman" w:hAnsi="Times New Roman" w:cs="Times New Roman"/>
        </w:rPr>
        <w:t xml:space="preserve">the </w:t>
      </w:r>
      <w:r w:rsidR="00BB0405">
        <w:rPr>
          <w:rFonts w:ascii="Times New Roman" w:hAnsi="Times New Roman" w:cs="Times New Roman"/>
        </w:rPr>
        <w:t xml:space="preserve">empirical </w:t>
      </w:r>
      <w:r>
        <w:rPr>
          <w:rFonts w:ascii="Times New Roman" w:hAnsi="Times New Roman" w:cs="Times New Roman"/>
        </w:rPr>
        <w:t>relationship between</w:t>
      </w:r>
      <w:r w:rsidRPr="009A7360">
        <w:rPr>
          <w:rFonts w:ascii="Times New Roman" w:hAnsi="Times New Roman" w:cs="Times New Roman"/>
        </w:rPr>
        <w:t xml:space="preserve"> </w:t>
      </w:r>
      <w:r w:rsidR="00F823C8">
        <w:rPr>
          <w:rFonts w:ascii="Times New Roman" w:hAnsi="Times New Roman" w:cs="Times New Roman"/>
        </w:rPr>
        <w:t xml:space="preserve">household </w:t>
      </w:r>
      <w:r w:rsidRPr="009A7360">
        <w:rPr>
          <w:rFonts w:ascii="Times New Roman" w:hAnsi="Times New Roman" w:cs="Times New Roman"/>
        </w:rPr>
        <w:t>wealth composition</w:t>
      </w:r>
      <w:r>
        <w:rPr>
          <w:rFonts w:ascii="Times New Roman" w:hAnsi="Times New Roman" w:cs="Times New Roman"/>
        </w:rPr>
        <w:t xml:space="preserve"> </w:t>
      </w:r>
      <w:r w:rsidR="00D57699">
        <w:rPr>
          <w:rFonts w:ascii="Times New Roman" w:hAnsi="Times New Roman" w:cs="Times New Roman"/>
        </w:rPr>
        <w:t xml:space="preserve">and </w:t>
      </w:r>
      <w:r>
        <w:rPr>
          <w:rFonts w:ascii="Times New Roman" w:hAnsi="Times New Roman" w:cs="Times New Roman"/>
        </w:rPr>
        <w:t>income inequality</w:t>
      </w:r>
      <w:r w:rsidR="00EC3C83">
        <w:rPr>
          <w:rFonts w:ascii="Times New Roman" w:hAnsi="Times New Roman" w:cs="Times New Roman"/>
        </w:rPr>
        <w:t xml:space="preserve"> in the USA, proxied by household</w:t>
      </w:r>
      <w:r w:rsidR="005A773E">
        <w:rPr>
          <w:rFonts w:ascii="Times New Roman" w:hAnsi="Times New Roman" w:cs="Times New Roman"/>
        </w:rPr>
        <w:t>s’</w:t>
      </w:r>
      <w:r w:rsidR="00EC3C83">
        <w:rPr>
          <w:rFonts w:ascii="Times New Roman" w:hAnsi="Times New Roman" w:cs="Times New Roman"/>
        </w:rPr>
        <w:t xml:space="preserve"> relative position in the income distribution.</w:t>
      </w:r>
      <w:r>
        <w:rPr>
          <w:rFonts w:ascii="Times New Roman" w:hAnsi="Times New Roman" w:cs="Times New Roman"/>
        </w:rPr>
        <w:t xml:space="preserve"> </w:t>
      </w:r>
      <w:r w:rsidR="005A773E">
        <w:rPr>
          <w:rFonts w:ascii="Times New Roman" w:hAnsi="Times New Roman" w:cs="Times New Roman"/>
        </w:rPr>
        <w:t xml:space="preserve">Previous research highlights </w:t>
      </w:r>
      <w:r>
        <w:rPr>
          <w:rFonts w:ascii="Times New Roman" w:hAnsi="Times New Roman" w:cs="Times New Roman"/>
        </w:rPr>
        <w:t>wealth</w:t>
      </w:r>
      <w:r w:rsidR="003923FC">
        <w:rPr>
          <w:rFonts w:ascii="Times New Roman" w:hAnsi="Times New Roman" w:cs="Times New Roman"/>
        </w:rPr>
        <w:t>–</w:t>
      </w:r>
      <w:r>
        <w:rPr>
          <w:rFonts w:ascii="Times New Roman" w:hAnsi="Times New Roman" w:cs="Times New Roman"/>
        </w:rPr>
        <w:t xml:space="preserve">income </w:t>
      </w:r>
      <w:r w:rsidR="008F295A">
        <w:rPr>
          <w:rFonts w:ascii="Times New Roman" w:hAnsi="Times New Roman" w:cs="Times New Roman"/>
        </w:rPr>
        <w:t xml:space="preserve">interactions </w:t>
      </w:r>
      <w:r w:rsidR="005A773E">
        <w:rPr>
          <w:rFonts w:ascii="Times New Roman" w:hAnsi="Times New Roman" w:cs="Times New Roman"/>
        </w:rPr>
        <w:t xml:space="preserve">as </w:t>
      </w:r>
      <w:r w:rsidR="003923FC">
        <w:rPr>
          <w:rFonts w:ascii="Times New Roman" w:hAnsi="Times New Roman" w:cs="Times New Roman"/>
        </w:rPr>
        <w:t>important</w:t>
      </w:r>
      <w:r>
        <w:rPr>
          <w:rFonts w:ascii="Times New Roman" w:hAnsi="Times New Roman" w:cs="Times New Roman"/>
        </w:rPr>
        <w:t xml:space="preserve"> driver of inequality</w:t>
      </w:r>
      <w:r w:rsidR="005941D6">
        <w:rPr>
          <w:rFonts w:ascii="Times New Roman" w:hAnsi="Times New Roman" w:cs="Times New Roman"/>
        </w:rPr>
        <w:t>, b</w:t>
      </w:r>
      <w:r>
        <w:rPr>
          <w:rFonts w:ascii="Times New Roman" w:hAnsi="Times New Roman" w:cs="Times New Roman"/>
        </w:rPr>
        <w:t xml:space="preserve">ut </w:t>
      </w:r>
      <w:r w:rsidR="003923FC">
        <w:rPr>
          <w:rFonts w:ascii="Times New Roman" w:hAnsi="Times New Roman" w:cs="Times New Roman"/>
        </w:rPr>
        <w:t>less</w:t>
      </w:r>
      <w:r>
        <w:rPr>
          <w:rFonts w:ascii="Times New Roman" w:hAnsi="Times New Roman" w:cs="Times New Roman"/>
        </w:rPr>
        <w:t xml:space="preserve"> is known</w:t>
      </w:r>
      <w:r w:rsidR="003923FC">
        <w:rPr>
          <w:rFonts w:ascii="Times New Roman" w:hAnsi="Times New Roman" w:cs="Times New Roman"/>
        </w:rPr>
        <w:t xml:space="preserve"> about</w:t>
      </w:r>
      <w:r>
        <w:rPr>
          <w:rFonts w:ascii="Times New Roman" w:hAnsi="Times New Roman" w:cs="Times New Roman"/>
        </w:rPr>
        <w:t xml:space="preserve"> </w:t>
      </w:r>
      <w:r w:rsidR="003923FC">
        <w:rPr>
          <w:rFonts w:ascii="Times New Roman" w:hAnsi="Times New Roman" w:cs="Times New Roman"/>
        </w:rPr>
        <w:t>whether wealth composition</w:t>
      </w:r>
      <w:r>
        <w:rPr>
          <w:rFonts w:ascii="Times New Roman" w:hAnsi="Times New Roman" w:cs="Times New Roman"/>
        </w:rPr>
        <w:t xml:space="preserve"> </w:t>
      </w:r>
      <w:r w:rsidR="003923FC">
        <w:rPr>
          <w:rFonts w:ascii="Times New Roman" w:hAnsi="Times New Roman" w:cs="Times New Roman"/>
        </w:rPr>
        <w:t>is</w:t>
      </w:r>
      <w:r>
        <w:rPr>
          <w:rFonts w:ascii="Times New Roman" w:hAnsi="Times New Roman" w:cs="Times New Roman"/>
        </w:rPr>
        <w:t xml:space="preserve"> conducive to susta</w:t>
      </w:r>
      <w:r w:rsidR="005941D6">
        <w:rPr>
          <w:rFonts w:ascii="Times New Roman" w:hAnsi="Times New Roman" w:cs="Times New Roman"/>
        </w:rPr>
        <w:t>ined improvements in relative</w:t>
      </w:r>
      <w:r>
        <w:rPr>
          <w:rFonts w:ascii="Times New Roman" w:hAnsi="Times New Roman" w:cs="Times New Roman"/>
        </w:rPr>
        <w:t xml:space="preserve"> </w:t>
      </w:r>
      <w:r w:rsidR="008F295A">
        <w:rPr>
          <w:rFonts w:ascii="Times New Roman" w:hAnsi="Times New Roman" w:cs="Times New Roman"/>
        </w:rPr>
        <w:t>income</w:t>
      </w:r>
      <w:r w:rsidR="003923FC">
        <w:rPr>
          <w:rFonts w:ascii="Times New Roman" w:hAnsi="Times New Roman" w:cs="Times New Roman"/>
        </w:rPr>
        <w:t xml:space="preserve"> across households</w:t>
      </w:r>
      <w:r>
        <w:rPr>
          <w:rFonts w:ascii="Times New Roman" w:hAnsi="Times New Roman" w:cs="Times New Roman"/>
        </w:rPr>
        <w:t xml:space="preserve">. </w:t>
      </w:r>
      <w:r w:rsidR="00F837C1">
        <w:rPr>
          <w:rFonts w:ascii="Times New Roman" w:hAnsi="Times New Roman" w:cs="Times New Roman"/>
        </w:rPr>
        <w:t>Using</w:t>
      </w:r>
      <w:r>
        <w:rPr>
          <w:rFonts w:ascii="Times New Roman" w:hAnsi="Times New Roman" w:cs="Times New Roman"/>
        </w:rPr>
        <w:t xml:space="preserve"> </w:t>
      </w:r>
      <w:r w:rsidR="005A773E">
        <w:rPr>
          <w:rFonts w:ascii="Times New Roman" w:hAnsi="Times New Roman" w:cs="Times New Roman"/>
        </w:rPr>
        <w:t>non-parametric median slope</w:t>
      </w:r>
      <w:r w:rsidRPr="009A7360">
        <w:rPr>
          <w:rFonts w:ascii="Times New Roman" w:hAnsi="Times New Roman" w:cs="Times New Roman"/>
        </w:rPr>
        <w:t xml:space="preserve"> </w:t>
      </w:r>
      <w:r w:rsidR="005A773E">
        <w:rPr>
          <w:rFonts w:ascii="Times New Roman" w:hAnsi="Times New Roman" w:cs="Times New Roman"/>
        </w:rPr>
        <w:t>analysis</w:t>
      </w:r>
      <w:r w:rsidRPr="009A7360">
        <w:rPr>
          <w:rFonts w:ascii="Times New Roman" w:hAnsi="Times New Roman" w:cs="Times New Roman"/>
        </w:rPr>
        <w:t xml:space="preserve"> </w:t>
      </w:r>
      <w:r w:rsidR="005A773E">
        <w:rPr>
          <w:rFonts w:ascii="Times New Roman" w:hAnsi="Times New Roman" w:cs="Times New Roman"/>
        </w:rPr>
        <w:t>on</w:t>
      </w:r>
      <w:r>
        <w:rPr>
          <w:rFonts w:ascii="Times New Roman" w:hAnsi="Times New Roman" w:cs="Times New Roman"/>
        </w:rPr>
        <w:t xml:space="preserve"> the U.S. Survey of Cons</w:t>
      </w:r>
      <w:r w:rsidR="00F837C1">
        <w:rPr>
          <w:rFonts w:ascii="Times New Roman" w:hAnsi="Times New Roman" w:cs="Times New Roman"/>
        </w:rPr>
        <w:t xml:space="preserve">umer Finances between 1989-2013, </w:t>
      </w:r>
      <w:r w:rsidR="005A773E">
        <w:rPr>
          <w:rFonts w:ascii="Times New Roman" w:hAnsi="Times New Roman" w:cs="Times New Roman"/>
        </w:rPr>
        <w:t>the paper</w:t>
      </w:r>
      <w:r w:rsidR="00F837C1">
        <w:rPr>
          <w:rFonts w:ascii="Times New Roman" w:hAnsi="Times New Roman" w:cs="Times New Roman"/>
        </w:rPr>
        <w:t xml:space="preserve"> </w:t>
      </w:r>
      <w:r w:rsidR="00BA1AC2">
        <w:rPr>
          <w:rFonts w:ascii="Times New Roman" w:hAnsi="Times New Roman" w:cs="Times New Roman"/>
        </w:rPr>
        <w:t xml:space="preserve">examines </w:t>
      </w:r>
      <w:r w:rsidR="00EA0645">
        <w:rPr>
          <w:rFonts w:ascii="Times New Roman" w:hAnsi="Times New Roman" w:cs="Times New Roman"/>
        </w:rPr>
        <w:t>patterns</w:t>
      </w:r>
      <w:r w:rsidR="00BA1AC2">
        <w:rPr>
          <w:rFonts w:ascii="Times New Roman" w:hAnsi="Times New Roman" w:cs="Times New Roman"/>
        </w:rPr>
        <w:t xml:space="preserve"> of </w:t>
      </w:r>
      <w:r w:rsidR="005A773E">
        <w:rPr>
          <w:rFonts w:ascii="Times New Roman" w:hAnsi="Times New Roman" w:cs="Times New Roman"/>
        </w:rPr>
        <w:t xml:space="preserve">empirical regularities between </w:t>
      </w:r>
      <w:r w:rsidR="008F295A">
        <w:rPr>
          <w:rFonts w:ascii="Times New Roman" w:hAnsi="Times New Roman" w:cs="Times New Roman"/>
        </w:rPr>
        <w:t>wealth</w:t>
      </w:r>
      <w:r w:rsidR="005A773E">
        <w:rPr>
          <w:rFonts w:ascii="Times New Roman" w:hAnsi="Times New Roman" w:cs="Times New Roman"/>
        </w:rPr>
        <w:t xml:space="preserve"> composition and </w:t>
      </w:r>
      <w:r w:rsidR="00507C6E">
        <w:rPr>
          <w:rFonts w:ascii="Times New Roman" w:hAnsi="Times New Roman" w:cs="Times New Roman"/>
        </w:rPr>
        <w:t xml:space="preserve">relative </w:t>
      </w:r>
      <w:r w:rsidR="005A773E">
        <w:rPr>
          <w:rFonts w:ascii="Times New Roman" w:hAnsi="Times New Roman" w:cs="Times New Roman"/>
        </w:rPr>
        <w:t xml:space="preserve">income, </w:t>
      </w:r>
      <w:r w:rsidR="00BA1AC2">
        <w:rPr>
          <w:rFonts w:ascii="Times New Roman" w:hAnsi="Times New Roman" w:cs="Times New Roman"/>
        </w:rPr>
        <w:t>finding</w:t>
      </w:r>
      <w:r w:rsidR="005A773E">
        <w:rPr>
          <w:rFonts w:ascii="Times New Roman" w:hAnsi="Times New Roman" w:cs="Times New Roman"/>
        </w:rPr>
        <w:t xml:space="preserve"> significant differen</w:t>
      </w:r>
      <w:r w:rsidR="00BA1AC2">
        <w:rPr>
          <w:rFonts w:ascii="Times New Roman" w:hAnsi="Times New Roman" w:cs="Times New Roman"/>
        </w:rPr>
        <w:t>ces</w:t>
      </w:r>
      <w:r w:rsidR="003923FC">
        <w:rPr>
          <w:rFonts w:ascii="Times New Roman" w:hAnsi="Times New Roman" w:cs="Times New Roman"/>
        </w:rPr>
        <w:t xml:space="preserve"> over time </w:t>
      </w:r>
      <w:r w:rsidR="005A773E">
        <w:rPr>
          <w:rFonts w:ascii="Times New Roman" w:hAnsi="Times New Roman" w:cs="Times New Roman"/>
        </w:rPr>
        <w:t xml:space="preserve">and between </w:t>
      </w:r>
      <w:r w:rsidR="003923FC">
        <w:rPr>
          <w:rFonts w:ascii="Times New Roman" w:hAnsi="Times New Roman" w:cs="Times New Roman"/>
        </w:rPr>
        <w:t xml:space="preserve">income, </w:t>
      </w:r>
      <w:r w:rsidR="005A773E">
        <w:rPr>
          <w:rFonts w:ascii="Times New Roman" w:hAnsi="Times New Roman" w:cs="Times New Roman"/>
        </w:rPr>
        <w:t>gender, racial, and intergenerational groups.</w:t>
      </w:r>
      <w:r w:rsidR="00BA1AC2">
        <w:rPr>
          <w:rFonts w:ascii="Times New Roman" w:hAnsi="Times New Roman" w:cs="Times New Roman"/>
        </w:rPr>
        <w:t xml:space="preserve"> </w:t>
      </w:r>
      <w:r w:rsidR="00670CF1">
        <w:rPr>
          <w:rFonts w:ascii="Times New Roman" w:hAnsi="Times New Roman" w:cs="Times New Roman"/>
        </w:rPr>
        <w:t>H</w:t>
      </w:r>
      <w:r w:rsidRPr="009A7360">
        <w:rPr>
          <w:rFonts w:ascii="Times New Roman" w:hAnsi="Times New Roman" w:cs="Times New Roman"/>
        </w:rPr>
        <w:t>igher</w:t>
      </w:r>
      <w:r w:rsidR="00687E3F">
        <w:rPr>
          <w:rFonts w:ascii="Times New Roman" w:hAnsi="Times New Roman" w:cs="Times New Roman"/>
        </w:rPr>
        <w:t xml:space="preserve"> relative</w:t>
      </w:r>
      <w:r w:rsidRPr="009A7360">
        <w:rPr>
          <w:rFonts w:ascii="Times New Roman" w:hAnsi="Times New Roman" w:cs="Times New Roman"/>
        </w:rPr>
        <w:t xml:space="preserve"> </w:t>
      </w:r>
      <w:r w:rsidR="00BA1AC2">
        <w:rPr>
          <w:rFonts w:ascii="Times New Roman" w:hAnsi="Times New Roman" w:cs="Times New Roman"/>
        </w:rPr>
        <w:t>holdings</w:t>
      </w:r>
      <w:r w:rsidRPr="009A7360">
        <w:rPr>
          <w:rFonts w:ascii="Times New Roman" w:hAnsi="Times New Roman" w:cs="Times New Roman"/>
        </w:rPr>
        <w:t xml:space="preserve"> of </w:t>
      </w:r>
      <w:r w:rsidR="003923FC">
        <w:rPr>
          <w:rFonts w:ascii="Times New Roman" w:hAnsi="Times New Roman" w:cs="Times New Roman"/>
        </w:rPr>
        <w:t xml:space="preserve">other </w:t>
      </w:r>
      <w:r w:rsidR="005A773E">
        <w:rPr>
          <w:rFonts w:ascii="Times New Roman" w:hAnsi="Times New Roman" w:cs="Times New Roman"/>
        </w:rPr>
        <w:t xml:space="preserve">property, </w:t>
      </w:r>
      <w:r w:rsidRPr="009A7360">
        <w:rPr>
          <w:rFonts w:ascii="Times New Roman" w:hAnsi="Times New Roman" w:cs="Times New Roman"/>
        </w:rPr>
        <w:t>business equity, financial i</w:t>
      </w:r>
      <w:r w:rsidR="00156AEA">
        <w:rPr>
          <w:rFonts w:ascii="Times New Roman" w:hAnsi="Times New Roman" w:cs="Times New Roman"/>
        </w:rPr>
        <w:t>nvestment,</w:t>
      </w:r>
      <w:r w:rsidR="005A773E">
        <w:rPr>
          <w:rFonts w:ascii="Times New Roman" w:hAnsi="Times New Roman" w:cs="Times New Roman"/>
        </w:rPr>
        <w:t xml:space="preserve"> retirement and insurance assets,</w:t>
      </w:r>
      <w:r w:rsidR="00156AEA">
        <w:rPr>
          <w:rFonts w:ascii="Times New Roman" w:hAnsi="Times New Roman" w:cs="Times New Roman"/>
        </w:rPr>
        <w:t xml:space="preserve"> </w:t>
      </w:r>
      <w:r w:rsidR="005941D6">
        <w:rPr>
          <w:rFonts w:ascii="Times New Roman" w:hAnsi="Times New Roman" w:cs="Times New Roman"/>
        </w:rPr>
        <w:t xml:space="preserve">and </w:t>
      </w:r>
      <w:r w:rsidR="005A773E">
        <w:rPr>
          <w:rFonts w:ascii="Times New Roman" w:hAnsi="Times New Roman" w:cs="Times New Roman"/>
        </w:rPr>
        <w:t>s</w:t>
      </w:r>
      <w:r w:rsidR="00156AEA">
        <w:rPr>
          <w:rFonts w:ascii="Times New Roman" w:hAnsi="Times New Roman" w:cs="Times New Roman"/>
        </w:rPr>
        <w:t>ecured debt</w:t>
      </w:r>
      <w:r w:rsidR="005941D6">
        <w:rPr>
          <w:rFonts w:ascii="Times New Roman" w:hAnsi="Times New Roman" w:cs="Times New Roman"/>
        </w:rPr>
        <w:t xml:space="preserve"> </w:t>
      </w:r>
      <w:r w:rsidR="00F823C8">
        <w:rPr>
          <w:rFonts w:ascii="Times New Roman" w:hAnsi="Times New Roman" w:cs="Times New Roman"/>
        </w:rPr>
        <w:t xml:space="preserve">are </w:t>
      </w:r>
      <w:r w:rsidR="000A07B7">
        <w:rPr>
          <w:rFonts w:ascii="Times New Roman" w:hAnsi="Times New Roman" w:cs="Times New Roman"/>
        </w:rPr>
        <w:t>associated with higher position</w:t>
      </w:r>
      <w:r w:rsidR="005941D6">
        <w:rPr>
          <w:rFonts w:ascii="Times New Roman" w:hAnsi="Times New Roman" w:cs="Times New Roman"/>
        </w:rPr>
        <w:t xml:space="preserve"> </w:t>
      </w:r>
      <w:r w:rsidR="000A07B7">
        <w:rPr>
          <w:rFonts w:ascii="Times New Roman" w:hAnsi="Times New Roman" w:cs="Times New Roman"/>
        </w:rPr>
        <w:t>in</w:t>
      </w:r>
      <w:r w:rsidR="005941D6">
        <w:rPr>
          <w:rFonts w:ascii="Times New Roman" w:hAnsi="Times New Roman" w:cs="Times New Roman"/>
        </w:rPr>
        <w:t xml:space="preserve"> the income distribution</w:t>
      </w:r>
      <w:r w:rsidR="003923FC">
        <w:rPr>
          <w:rFonts w:ascii="Times New Roman" w:hAnsi="Times New Roman" w:cs="Times New Roman"/>
        </w:rPr>
        <w:t>; to be</w:t>
      </w:r>
      <w:r w:rsidR="00BA1AC2">
        <w:rPr>
          <w:rFonts w:ascii="Times New Roman" w:hAnsi="Times New Roman" w:cs="Times New Roman"/>
        </w:rPr>
        <w:t xml:space="preserve"> more resilient to losses after the Great Recession</w:t>
      </w:r>
      <w:r w:rsidR="003923FC">
        <w:rPr>
          <w:rFonts w:ascii="Times New Roman" w:hAnsi="Times New Roman" w:cs="Times New Roman"/>
        </w:rPr>
        <w:t>;</w:t>
      </w:r>
      <w:r w:rsidR="00BA1AC2">
        <w:rPr>
          <w:rFonts w:ascii="Times New Roman" w:hAnsi="Times New Roman" w:cs="Times New Roman"/>
        </w:rPr>
        <w:t xml:space="preserve"> and not</w:t>
      </w:r>
      <w:r w:rsidR="003923FC">
        <w:rPr>
          <w:rFonts w:ascii="Times New Roman" w:hAnsi="Times New Roman" w:cs="Times New Roman"/>
        </w:rPr>
        <w:t xml:space="preserve"> to be</w:t>
      </w:r>
      <w:r w:rsidR="00BA1AC2">
        <w:rPr>
          <w:rFonts w:ascii="Times New Roman" w:hAnsi="Times New Roman" w:cs="Times New Roman"/>
        </w:rPr>
        <w:t xml:space="preserve"> enjoyed equally by </w:t>
      </w:r>
      <w:r w:rsidR="00D32D5E">
        <w:rPr>
          <w:rFonts w:ascii="Times New Roman" w:hAnsi="Times New Roman" w:cs="Times New Roman"/>
        </w:rPr>
        <w:t>households in the</w:t>
      </w:r>
      <w:r w:rsidR="003923FC">
        <w:rPr>
          <w:rFonts w:ascii="Times New Roman" w:hAnsi="Times New Roman" w:cs="Times New Roman"/>
        </w:rPr>
        <w:t xml:space="preserve"> poorest 20% of </w:t>
      </w:r>
      <w:r w:rsidR="00D32D5E">
        <w:rPr>
          <w:rFonts w:ascii="Times New Roman" w:hAnsi="Times New Roman" w:cs="Times New Roman"/>
        </w:rPr>
        <w:t>income distribution, female, Black/Latino,</w:t>
      </w:r>
      <w:r w:rsidR="00BA1AC2">
        <w:rPr>
          <w:rFonts w:ascii="Times New Roman" w:hAnsi="Times New Roman" w:cs="Times New Roman"/>
        </w:rPr>
        <w:t xml:space="preserve"> and millennial</w:t>
      </w:r>
      <w:r w:rsidR="00D32D5E">
        <w:rPr>
          <w:rFonts w:ascii="Times New Roman" w:hAnsi="Times New Roman" w:cs="Times New Roman"/>
        </w:rPr>
        <w:t xml:space="preserve"> household</w:t>
      </w:r>
      <w:r w:rsidR="00BA1AC2">
        <w:rPr>
          <w:rFonts w:ascii="Times New Roman" w:hAnsi="Times New Roman" w:cs="Times New Roman"/>
        </w:rPr>
        <w:t>s</w:t>
      </w:r>
      <w:r w:rsidRPr="009A7360">
        <w:rPr>
          <w:rFonts w:ascii="Times New Roman" w:hAnsi="Times New Roman" w:cs="Times New Roman"/>
        </w:rPr>
        <w:t>.</w:t>
      </w:r>
      <w:bookmarkStart w:id="0" w:name="_GoBack"/>
      <w:bookmarkEnd w:id="0"/>
    </w:p>
    <w:p w14:paraId="303B45B2" w14:textId="77777777" w:rsidR="00156AEA" w:rsidRPr="00156AEA" w:rsidRDefault="00156AEA" w:rsidP="00156AEA">
      <w:pPr>
        <w:spacing w:line="240" w:lineRule="auto"/>
        <w:ind w:left="567" w:right="476" w:firstLine="0"/>
        <w:rPr>
          <w:rFonts w:ascii="Times New Roman" w:hAnsi="Times New Roman" w:cs="Times New Roman"/>
        </w:rPr>
      </w:pPr>
    </w:p>
    <w:p w14:paraId="17B7308F" w14:textId="742F9AA2" w:rsidR="00F837C1" w:rsidRDefault="00F837C1" w:rsidP="00F837C1">
      <w:pPr>
        <w:ind w:firstLine="0"/>
      </w:pPr>
      <w:r w:rsidRPr="00156AEA">
        <w:rPr>
          <w:b/>
        </w:rPr>
        <w:t>Keywords</w:t>
      </w:r>
      <w:r w:rsidR="00156AEA">
        <w:t>: Income inequality; Household Wealth;</w:t>
      </w:r>
      <w:r w:rsidR="00755D07">
        <w:t xml:space="preserve"> Financial sector;</w:t>
      </w:r>
      <w:r w:rsidR="00156AEA">
        <w:t xml:space="preserve"> Non-parametric estimation</w:t>
      </w:r>
    </w:p>
    <w:p w14:paraId="2AD06D2B" w14:textId="767A5780" w:rsidR="003C06F7" w:rsidRPr="00246ADC" w:rsidRDefault="00F837C1" w:rsidP="00246ADC">
      <w:pPr>
        <w:ind w:firstLine="0"/>
      </w:pPr>
      <w:r w:rsidRPr="00156AEA">
        <w:rPr>
          <w:b/>
        </w:rPr>
        <w:t>JEL classifications</w:t>
      </w:r>
      <w:r w:rsidR="00156AEA">
        <w:t xml:space="preserve">: </w:t>
      </w:r>
      <w:r w:rsidR="00396AA5">
        <w:t>C14</w:t>
      </w:r>
      <w:r w:rsidR="00727B8C">
        <w:t>; D14; D31</w:t>
      </w:r>
      <w:r w:rsidR="00D70CCD">
        <w:t>; J15; J16</w:t>
      </w:r>
    </w:p>
    <w:p w14:paraId="672BED4A" w14:textId="77777777" w:rsidR="00246ADC" w:rsidRPr="00246ADC" w:rsidRDefault="00246ADC" w:rsidP="00246ADC">
      <w:pPr>
        <w:spacing w:after="0"/>
        <w:ind w:left="142" w:hanging="153"/>
        <w:jc w:val="left"/>
        <w:rPr>
          <w:rFonts w:ascii="Times New Roman" w:hAnsi="Times New Roman" w:cs="Times New Roman"/>
          <w:szCs w:val="23"/>
        </w:rPr>
      </w:pPr>
      <w:r w:rsidRPr="00246ADC">
        <w:rPr>
          <w:rFonts w:ascii="Times New Roman" w:hAnsi="Times New Roman" w:cs="Times New Roman"/>
          <w:b/>
          <w:szCs w:val="23"/>
        </w:rPr>
        <w:t>Declarations of interest</w:t>
      </w:r>
      <w:r w:rsidRPr="00246ADC">
        <w:rPr>
          <w:rFonts w:ascii="Times New Roman" w:hAnsi="Times New Roman" w:cs="Times New Roman"/>
          <w:szCs w:val="23"/>
        </w:rPr>
        <w:t>: none</w:t>
      </w:r>
    </w:p>
    <w:p w14:paraId="33F7DCEF" w14:textId="77777777" w:rsidR="005634A0" w:rsidRDefault="005634A0" w:rsidP="00FE6340">
      <w:pPr>
        <w:pStyle w:val="MyHeading1C"/>
        <w:numPr>
          <w:ilvl w:val="0"/>
          <w:numId w:val="2"/>
        </w:numPr>
        <w:ind w:left="426"/>
        <w:sectPr w:rsidR="005634A0" w:rsidSect="00EF264F">
          <w:headerReference w:type="even" r:id="rId8"/>
          <w:headerReference w:type="default" r:id="rId9"/>
          <w:type w:val="continuous"/>
          <w:pgSz w:w="11900" w:h="16840"/>
          <w:pgMar w:top="1440" w:right="1440" w:bottom="1440" w:left="1440" w:header="708" w:footer="708" w:gutter="0"/>
          <w:cols w:space="708"/>
          <w:docGrid w:linePitch="360"/>
        </w:sectPr>
      </w:pPr>
    </w:p>
    <w:p w14:paraId="08E22EBE" w14:textId="36B40A31" w:rsidR="000940E2" w:rsidRDefault="000940E2" w:rsidP="00FE6340">
      <w:pPr>
        <w:pStyle w:val="MyHeading1C"/>
        <w:numPr>
          <w:ilvl w:val="0"/>
          <w:numId w:val="2"/>
        </w:numPr>
        <w:ind w:left="426"/>
      </w:pPr>
      <w:r>
        <w:lastRenderedPageBreak/>
        <w:t>Introduction</w:t>
      </w:r>
    </w:p>
    <w:p w14:paraId="68C51C46" w14:textId="144CF502" w:rsidR="00EB2721" w:rsidRDefault="00AB495B" w:rsidP="004D32B3">
      <w:pPr>
        <w:ind w:firstLine="0"/>
        <w:rPr>
          <w:rFonts w:ascii="Times New Roman" w:hAnsi="Times New Roman" w:cs="Times New Roman"/>
        </w:rPr>
      </w:pPr>
      <w:r>
        <w:rPr>
          <w:rFonts w:ascii="Times New Roman" w:hAnsi="Times New Roman" w:cs="Times New Roman"/>
        </w:rPr>
        <w:t xml:space="preserve">The aim of this paper is to examine </w:t>
      </w:r>
      <w:r w:rsidR="00EA7C5A">
        <w:rPr>
          <w:rFonts w:ascii="Times New Roman" w:hAnsi="Times New Roman" w:cs="Times New Roman"/>
        </w:rPr>
        <w:t xml:space="preserve">empirically </w:t>
      </w:r>
      <w:r>
        <w:rPr>
          <w:rFonts w:ascii="Times New Roman" w:hAnsi="Times New Roman" w:cs="Times New Roman"/>
        </w:rPr>
        <w:t xml:space="preserve">the interplay between </w:t>
      </w:r>
      <w:r w:rsidR="00624B08">
        <w:rPr>
          <w:rFonts w:ascii="Times New Roman" w:hAnsi="Times New Roman" w:cs="Times New Roman"/>
        </w:rPr>
        <w:t xml:space="preserve">household </w:t>
      </w:r>
      <w:r>
        <w:rPr>
          <w:rFonts w:ascii="Times New Roman" w:hAnsi="Times New Roman" w:cs="Times New Roman"/>
        </w:rPr>
        <w:t xml:space="preserve">wealth and income in generating inequality. </w:t>
      </w:r>
      <w:r w:rsidR="00624B08">
        <w:rPr>
          <w:rFonts w:ascii="Times New Roman" w:hAnsi="Times New Roman" w:cs="Times New Roman"/>
        </w:rPr>
        <w:t xml:space="preserve">This task is approached by investigation of the association between wealth composition and households’ relative position in the income distribution over time, against the backdrop of institutional changes in the US financial sector before the Great Recession. </w:t>
      </w:r>
      <w:r w:rsidR="00212FFA">
        <w:rPr>
          <w:rFonts w:ascii="Times New Roman" w:hAnsi="Times New Roman" w:cs="Times New Roman"/>
        </w:rPr>
        <w:t xml:space="preserve">The innovative aspect of the paper is to </w:t>
      </w:r>
      <w:r w:rsidR="00624B08">
        <w:rPr>
          <w:rFonts w:ascii="Times New Roman" w:hAnsi="Times New Roman" w:cs="Times New Roman"/>
        </w:rPr>
        <w:t xml:space="preserve">establish </w:t>
      </w:r>
      <w:r w:rsidR="001538E4">
        <w:rPr>
          <w:rFonts w:ascii="Times New Roman" w:hAnsi="Times New Roman" w:cs="Times New Roman"/>
        </w:rPr>
        <w:t xml:space="preserve">differences in </w:t>
      </w:r>
      <w:r w:rsidR="00624B08">
        <w:rPr>
          <w:rFonts w:ascii="Times New Roman" w:hAnsi="Times New Roman" w:cs="Times New Roman"/>
        </w:rPr>
        <w:t xml:space="preserve">empirical regularities between wealth composition and relative income </w:t>
      </w:r>
      <w:r w:rsidR="001538E4">
        <w:rPr>
          <w:rFonts w:ascii="Times New Roman" w:hAnsi="Times New Roman" w:cs="Times New Roman"/>
        </w:rPr>
        <w:t xml:space="preserve">across households </w:t>
      </w:r>
      <w:r w:rsidR="00624B08">
        <w:rPr>
          <w:rFonts w:ascii="Times New Roman" w:hAnsi="Times New Roman" w:cs="Times New Roman"/>
        </w:rPr>
        <w:t>in the context of financial sector transformation since the 1980s in the USA</w:t>
      </w:r>
      <w:r w:rsidR="00212FFA">
        <w:rPr>
          <w:rFonts w:ascii="Times New Roman" w:hAnsi="Times New Roman" w:cs="Times New Roman"/>
        </w:rPr>
        <w:t>, which so far have been studied at the aggregate level</w:t>
      </w:r>
      <w:r w:rsidR="00624B08">
        <w:rPr>
          <w:rFonts w:ascii="Times New Roman" w:hAnsi="Times New Roman" w:cs="Times New Roman"/>
        </w:rPr>
        <w:t xml:space="preserve">. </w:t>
      </w:r>
      <w:r w:rsidR="00D82EBD">
        <w:rPr>
          <w:rFonts w:ascii="Times New Roman" w:hAnsi="Times New Roman" w:cs="Times New Roman"/>
        </w:rPr>
        <w:t xml:space="preserve">Such research is important to understand </w:t>
      </w:r>
      <w:r w:rsidR="009D0FDC">
        <w:rPr>
          <w:rFonts w:ascii="Times New Roman" w:hAnsi="Times New Roman" w:cs="Times New Roman"/>
        </w:rPr>
        <w:t xml:space="preserve">which </w:t>
      </w:r>
      <w:r w:rsidR="00D82EBD">
        <w:rPr>
          <w:rFonts w:ascii="Times New Roman" w:hAnsi="Times New Roman" w:cs="Times New Roman"/>
        </w:rPr>
        <w:t xml:space="preserve">types of assets and debt </w:t>
      </w:r>
      <w:r w:rsidR="00A633A0">
        <w:rPr>
          <w:rFonts w:ascii="Times New Roman" w:hAnsi="Times New Roman" w:cs="Times New Roman"/>
        </w:rPr>
        <w:t xml:space="preserve">holdings </w:t>
      </w:r>
      <w:r w:rsidR="007B146C">
        <w:rPr>
          <w:rFonts w:ascii="Times New Roman" w:hAnsi="Times New Roman" w:cs="Times New Roman"/>
        </w:rPr>
        <w:t>are associated with</w:t>
      </w:r>
      <w:r w:rsidR="009D0FDC">
        <w:rPr>
          <w:rFonts w:ascii="Times New Roman" w:hAnsi="Times New Roman" w:cs="Times New Roman"/>
        </w:rPr>
        <w:t xml:space="preserve"> the largest and most lasting improvements in household’s relative position in the income distribution, and whether these improvements are shared equally across social classes, gender,</w:t>
      </w:r>
      <w:r w:rsidR="00B64F4E">
        <w:rPr>
          <w:rFonts w:ascii="Times New Roman" w:hAnsi="Times New Roman" w:cs="Times New Roman"/>
        </w:rPr>
        <w:t xml:space="preserve"> race, and </w:t>
      </w:r>
      <w:r w:rsidR="009D0FDC">
        <w:rPr>
          <w:rFonts w:ascii="Times New Roman" w:hAnsi="Times New Roman" w:cs="Times New Roman"/>
        </w:rPr>
        <w:t>age groups, as this</w:t>
      </w:r>
      <w:r w:rsidR="00D82EBD">
        <w:rPr>
          <w:rFonts w:ascii="Times New Roman" w:hAnsi="Times New Roman" w:cs="Times New Roman"/>
        </w:rPr>
        <w:t xml:space="preserve"> cannot be gauged in the existing literature using aggregate </w:t>
      </w:r>
      <w:r w:rsidR="00F07AAA">
        <w:rPr>
          <w:rFonts w:ascii="Times New Roman" w:hAnsi="Times New Roman" w:cs="Times New Roman"/>
        </w:rPr>
        <w:t>categories</w:t>
      </w:r>
      <w:r w:rsidR="00D82EBD">
        <w:rPr>
          <w:rFonts w:ascii="Times New Roman" w:hAnsi="Times New Roman" w:cs="Times New Roman"/>
        </w:rPr>
        <w:t xml:space="preserve"> of income and wealth. </w:t>
      </w:r>
      <w:r w:rsidR="009D0FDC">
        <w:rPr>
          <w:rFonts w:ascii="Times New Roman" w:hAnsi="Times New Roman" w:cs="Times New Roman"/>
        </w:rPr>
        <w:t>It</w:t>
      </w:r>
      <w:r w:rsidR="00D82EBD">
        <w:rPr>
          <w:rFonts w:ascii="Times New Roman" w:hAnsi="Times New Roman" w:cs="Times New Roman"/>
        </w:rPr>
        <w:t xml:space="preserve"> is also timely given the increasing reliance on markets in </w:t>
      </w:r>
      <w:r w:rsidR="0027587C">
        <w:rPr>
          <w:rFonts w:ascii="Times New Roman" w:hAnsi="Times New Roman" w:cs="Times New Roman"/>
        </w:rPr>
        <w:t>increasing income</w:t>
      </w:r>
      <w:r w:rsidR="00D82EBD">
        <w:rPr>
          <w:rFonts w:ascii="Times New Roman" w:hAnsi="Times New Roman" w:cs="Times New Roman"/>
        </w:rPr>
        <w:t xml:space="preserve"> wealth of vulnerable households, as evidenced by privatisation of housing and financial inclusion initiatives in advanced and emerging economies.</w:t>
      </w:r>
    </w:p>
    <w:p w14:paraId="605D2AAD" w14:textId="15768D17" w:rsidR="004D32B3" w:rsidRDefault="00AB495B" w:rsidP="00AC0E75">
      <w:pPr>
        <w:rPr>
          <w:rFonts w:ascii="Times New Roman" w:hAnsi="Times New Roman" w:cs="Times New Roman"/>
        </w:rPr>
      </w:pPr>
      <w:r>
        <w:rPr>
          <w:rFonts w:ascii="Times New Roman" w:hAnsi="Times New Roman" w:cs="Times New Roman"/>
        </w:rPr>
        <w:t xml:space="preserve">Using aggregate data, Piketty (2014) argues that </w:t>
      </w:r>
      <w:r w:rsidR="00427CC3">
        <w:rPr>
          <w:rFonts w:ascii="Times New Roman" w:hAnsi="Times New Roman" w:cs="Times New Roman"/>
        </w:rPr>
        <w:t xml:space="preserve">the interactions of wealth and income are </w:t>
      </w:r>
      <w:r>
        <w:rPr>
          <w:rFonts w:ascii="Times New Roman" w:hAnsi="Times New Roman" w:cs="Times New Roman"/>
        </w:rPr>
        <w:t>central in understanding historical trends and levels of inequality</w:t>
      </w:r>
      <w:r w:rsidR="00056112">
        <w:rPr>
          <w:rFonts w:ascii="Times New Roman" w:hAnsi="Times New Roman" w:cs="Times New Roman"/>
        </w:rPr>
        <w:t xml:space="preserve"> in capitalist economies</w:t>
      </w:r>
      <w:r>
        <w:rPr>
          <w:rFonts w:ascii="Times New Roman" w:hAnsi="Times New Roman" w:cs="Times New Roman"/>
        </w:rPr>
        <w:t>. Due to compounding of interest, returns to wealth tend to outpace the growth of income. This leads to concentration of resources over time among wealth holders and their inheritors, which he identifies with the top 1-0.1% percent of the distribution. However, expansion of homeownership in the subprime lending boom and gradual privatisation of pensions opened access to wealth</w:t>
      </w:r>
      <w:r w:rsidR="00677A30">
        <w:rPr>
          <w:rFonts w:ascii="Times New Roman" w:hAnsi="Times New Roman" w:cs="Times New Roman"/>
        </w:rPr>
        <w:t xml:space="preserve"> accumulation</w:t>
      </w:r>
      <w:r>
        <w:rPr>
          <w:rFonts w:ascii="Times New Roman" w:hAnsi="Times New Roman" w:cs="Times New Roman"/>
        </w:rPr>
        <w:t xml:space="preserve"> and capital income earnings among low-to-middle income households</w:t>
      </w:r>
      <w:r w:rsidR="00E3624C">
        <w:rPr>
          <w:rFonts w:ascii="Times New Roman" w:hAnsi="Times New Roman" w:cs="Times New Roman"/>
        </w:rPr>
        <w:t xml:space="preserve"> </w:t>
      </w:r>
      <w:r w:rsidR="00E3624C" w:rsidRPr="00424569">
        <w:rPr>
          <w:rFonts w:ascii="Times New Roman" w:hAnsi="Times New Roman" w:cs="Times New Roman"/>
          <w:szCs w:val="23"/>
        </w:rPr>
        <w:t>(</w:t>
      </w:r>
      <w:r w:rsidR="00BF6CC6" w:rsidRPr="00424569">
        <w:rPr>
          <w:rFonts w:cs="Times New Roman"/>
          <w:szCs w:val="23"/>
        </w:rPr>
        <w:t>Barba/</w:t>
      </w:r>
      <w:proofErr w:type="spellStart"/>
      <w:r w:rsidR="00815387" w:rsidRPr="00424569">
        <w:rPr>
          <w:rFonts w:cs="Times New Roman"/>
          <w:szCs w:val="23"/>
        </w:rPr>
        <w:t>Pivetti</w:t>
      </w:r>
      <w:proofErr w:type="spellEnd"/>
      <w:r w:rsidR="00815387" w:rsidRPr="00424569">
        <w:rPr>
          <w:rFonts w:cs="Times New Roman"/>
          <w:szCs w:val="23"/>
        </w:rPr>
        <w:t xml:space="preserve"> 2009</w:t>
      </w:r>
      <w:r w:rsidR="00BF6CC6" w:rsidRPr="00424569">
        <w:rPr>
          <w:rFonts w:cs="Times New Roman"/>
          <w:szCs w:val="23"/>
        </w:rPr>
        <w:t>;</w:t>
      </w:r>
      <w:r w:rsidR="002D4D2C" w:rsidRPr="00424569">
        <w:rPr>
          <w:rFonts w:cs="Times New Roman"/>
          <w:szCs w:val="23"/>
        </w:rPr>
        <w:t xml:space="preserve"> Wright 2009;</w:t>
      </w:r>
      <w:r w:rsidR="00BF6CC6" w:rsidRPr="00424569">
        <w:rPr>
          <w:rFonts w:cs="Times New Roman"/>
          <w:szCs w:val="23"/>
        </w:rPr>
        <w:t xml:space="preserve"> </w:t>
      </w:r>
      <w:r w:rsidR="002D4D2C" w:rsidRPr="00424569">
        <w:rPr>
          <w:rFonts w:cs="Times New Roman"/>
          <w:szCs w:val="23"/>
        </w:rPr>
        <w:t xml:space="preserve">Wolff/Zacharias 2013; Fontana </w:t>
      </w:r>
      <w:r w:rsidR="002D4D2C" w:rsidRPr="00424569">
        <w:rPr>
          <w:rFonts w:cs="Times New Roman"/>
          <w:i/>
          <w:szCs w:val="23"/>
        </w:rPr>
        <w:t>et al</w:t>
      </w:r>
      <w:r w:rsidR="002D4D2C" w:rsidRPr="00424569">
        <w:rPr>
          <w:rFonts w:cs="Times New Roman"/>
          <w:szCs w:val="23"/>
        </w:rPr>
        <w:t>. 2014</w:t>
      </w:r>
      <w:r w:rsidR="00E3624C" w:rsidRPr="00424569">
        <w:rPr>
          <w:rFonts w:ascii="Times New Roman" w:hAnsi="Times New Roman" w:cs="Times New Roman"/>
          <w:szCs w:val="23"/>
        </w:rPr>
        <w:t>)</w:t>
      </w:r>
      <w:r w:rsidRPr="00424569">
        <w:rPr>
          <w:rFonts w:ascii="Times New Roman" w:hAnsi="Times New Roman" w:cs="Times New Roman"/>
          <w:szCs w:val="23"/>
        </w:rPr>
        <w:t>.</w:t>
      </w:r>
      <w:r w:rsidR="002D4D2C">
        <w:rPr>
          <w:rFonts w:ascii="Times New Roman" w:hAnsi="Times New Roman" w:cs="Times New Roman"/>
        </w:rPr>
        <w:t xml:space="preserve"> </w:t>
      </w:r>
      <w:r w:rsidR="00896615">
        <w:rPr>
          <w:rFonts w:ascii="Times New Roman" w:hAnsi="Times New Roman" w:cs="Times New Roman"/>
        </w:rPr>
        <w:t xml:space="preserve">The period before the 2007 crisis has been characterised by </w:t>
      </w:r>
      <w:r w:rsidR="0092551F">
        <w:rPr>
          <w:rFonts w:ascii="Times New Roman" w:hAnsi="Times New Roman" w:cs="Times New Roman"/>
        </w:rPr>
        <w:t>extension</w:t>
      </w:r>
      <w:r w:rsidR="00896615">
        <w:rPr>
          <w:rFonts w:ascii="Times New Roman" w:hAnsi="Times New Roman" w:cs="Times New Roman"/>
        </w:rPr>
        <w:t xml:space="preserve"> of subprime lending, proliferation of securitised financial instruments based on loans to </w:t>
      </w:r>
      <w:r w:rsidR="009D0FDC">
        <w:rPr>
          <w:rFonts w:ascii="Times New Roman" w:hAnsi="Times New Roman" w:cs="Times New Roman"/>
        </w:rPr>
        <w:t xml:space="preserve">vulnerable </w:t>
      </w:r>
      <w:proofErr w:type="gramStart"/>
      <w:r w:rsidR="00424569">
        <w:rPr>
          <w:rFonts w:ascii="Times New Roman" w:hAnsi="Times New Roman" w:cs="Times New Roman"/>
        </w:rPr>
        <w:t xml:space="preserve">households, </w:t>
      </w:r>
      <w:r w:rsidR="00896615">
        <w:rPr>
          <w:rFonts w:ascii="Times New Roman" w:hAnsi="Times New Roman" w:cs="Times New Roman"/>
        </w:rPr>
        <w:t>and</w:t>
      </w:r>
      <w:proofErr w:type="gramEnd"/>
      <w:r w:rsidR="00896615">
        <w:rPr>
          <w:rFonts w:ascii="Times New Roman" w:hAnsi="Times New Roman" w:cs="Times New Roman"/>
        </w:rPr>
        <w:t xml:space="preserve"> increasing pressures on household finances due to stagnating wage growth and privatisation of public services (Dos Santos</w:t>
      </w:r>
      <w:r w:rsidR="00896615" w:rsidRPr="00896615">
        <w:rPr>
          <w:rFonts w:ascii="Times New Roman" w:hAnsi="Times New Roman" w:cs="Times New Roman"/>
        </w:rPr>
        <w:t xml:space="preserve"> 2009</w:t>
      </w:r>
      <w:r w:rsidR="00896615">
        <w:rPr>
          <w:rFonts w:ascii="Times New Roman" w:hAnsi="Times New Roman" w:cs="Times New Roman"/>
        </w:rPr>
        <w:t xml:space="preserve">; </w:t>
      </w:r>
      <w:proofErr w:type="spellStart"/>
      <w:r w:rsidR="00896615">
        <w:rPr>
          <w:rFonts w:ascii="Times New Roman" w:hAnsi="Times New Roman" w:cs="Times New Roman"/>
        </w:rPr>
        <w:t>Goda</w:t>
      </w:r>
      <w:proofErr w:type="spellEnd"/>
      <w:r w:rsidR="00896615">
        <w:rPr>
          <w:rFonts w:ascii="Times New Roman" w:hAnsi="Times New Roman" w:cs="Times New Roman"/>
        </w:rPr>
        <w:t>/</w:t>
      </w:r>
      <w:proofErr w:type="spellStart"/>
      <w:r w:rsidR="00896615">
        <w:rPr>
          <w:rFonts w:ascii="Times New Roman" w:hAnsi="Times New Roman" w:cs="Times New Roman"/>
        </w:rPr>
        <w:t>Lysandrou</w:t>
      </w:r>
      <w:proofErr w:type="spellEnd"/>
      <w:r w:rsidR="00896615" w:rsidRPr="00896615">
        <w:rPr>
          <w:rFonts w:ascii="Times New Roman" w:hAnsi="Times New Roman" w:cs="Times New Roman"/>
        </w:rPr>
        <w:t xml:space="preserve"> 2013</w:t>
      </w:r>
      <w:r w:rsidR="00896615">
        <w:rPr>
          <w:rFonts w:ascii="Times New Roman" w:hAnsi="Times New Roman" w:cs="Times New Roman"/>
        </w:rPr>
        <w:t xml:space="preserve">; </w:t>
      </w:r>
      <w:proofErr w:type="spellStart"/>
      <w:r w:rsidR="00896615">
        <w:rPr>
          <w:rFonts w:ascii="Times New Roman" w:hAnsi="Times New Roman" w:cs="Times New Roman"/>
        </w:rPr>
        <w:t>Karacimen</w:t>
      </w:r>
      <w:proofErr w:type="spellEnd"/>
      <w:r w:rsidR="00896615" w:rsidRPr="00896615">
        <w:rPr>
          <w:rFonts w:ascii="Times New Roman" w:hAnsi="Times New Roman" w:cs="Times New Roman"/>
        </w:rPr>
        <w:t xml:space="preserve"> 2013</w:t>
      </w:r>
      <w:r w:rsidR="00896615">
        <w:rPr>
          <w:rFonts w:ascii="Times New Roman" w:hAnsi="Times New Roman" w:cs="Times New Roman"/>
        </w:rPr>
        <w:t>).</w:t>
      </w:r>
      <w:r w:rsidR="00243CE7">
        <w:rPr>
          <w:rFonts w:ascii="Times New Roman" w:hAnsi="Times New Roman" w:cs="Times New Roman"/>
        </w:rPr>
        <w:t xml:space="preserve"> Some </w:t>
      </w:r>
      <w:r w:rsidR="000D194B">
        <w:rPr>
          <w:rFonts w:ascii="Times New Roman" w:hAnsi="Times New Roman" w:cs="Times New Roman"/>
        </w:rPr>
        <w:t>indicate</w:t>
      </w:r>
      <w:r w:rsidR="00243CE7">
        <w:rPr>
          <w:rFonts w:ascii="Times New Roman" w:hAnsi="Times New Roman" w:cs="Times New Roman"/>
        </w:rPr>
        <w:t xml:space="preserve"> rising household debt </w:t>
      </w:r>
      <w:r w:rsidR="000D194B">
        <w:rPr>
          <w:rFonts w:ascii="Times New Roman" w:hAnsi="Times New Roman" w:cs="Times New Roman"/>
        </w:rPr>
        <w:t>as the main contributing factor to the 2007 crisis (Sharpe/</w:t>
      </w:r>
      <w:proofErr w:type="spellStart"/>
      <w:r w:rsidR="000D194B">
        <w:rPr>
          <w:rFonts w:ascii="Times New Roman" w:hAnsi="Times New Roman" w:cs="Times New Roman"/>
        </w:rPr>
        <w:t>Flaschel</w:t>
      </w:r>
      <w:proofErr w:type="spellEnd"/>
      <w:r w:rsidR="000D194B">
        <w:rPr>
          <w:rFonts w:ascii="Times New Roman" w:hAnsi="Times New Roman" w:cs="Times New Roman"/>
        </w:rPr>
        <w:t xml:space="preserve"> 2013; </w:t>
      </w:r>
      <w:proofErr w:type="spellStart"/>
      <w:r w:rsidR="000D194B">
        <w:rPr>
          <w:rFonts w:ascii="Times New Roman" w:hAnsi="Times New Roman" w:cs="Times New Roman"/>
        </w:rPr>
        <w:t>Mian</w:t>
      </w:r>
      <w:proofErr w:type="spellEnd"/>
      <w:r w:rsidR="000D194B">
        <w:rPr>
          <w:rFonts w:ascii="Times New Roman" w:hAnsi="Times New Roman" w:cs="Times New Roman"/>
        </w:rPr>
        <w:t>/Sufi 2013</w:t>
      </w:r>
      <w:r w:rsidR="009F54FC">
        <w:rPr>
          <w:rFonts w:ascii="Times New Roman" w:hAnsi="Times New Roman" w:cs="Times New Roman"/>
        </w:rPr>
        <w:t xml:space="preserve">; </w:t>
      </w:r>
      <w:proofErr w:type="spellStart"/>
      <w:r w:rsidR="009F54FC">
        <w:rPr>
          <w:rFonts w:ascii="Times New Roman" w:hAnsi="Times New Roman" w:cs="Times New Roman"/>
        </w:rPr>
        <w:t>Setterfield</w:t>
      </w:r>
      <w:proofErr w:type="spellEnd"/>
      <w:r w:rsidR="009F54FC">
        <w:rPr>
          <w:rFonts w:ascii="Times New Roman" w:hAnsi="Times New Roman" w:cs="Times New Roman"/>
        </w:rPr>
        <w:t>/Kim 2016</w:t>
      </w:r>
      <w:r w:rsidR="000D194B">
        <w:rPr>
          <w:rFonts w:ascii="Times New Roman" w:hAnsi="Times New Roman" w:cs="Times New Roman"/>
        </w:rPr>
        <w:t>).</w:t>
      </w:r>
      <w:r w:rsidR="00F36A03">
        <w:rPr>
          <w:rFonts w:ascii="Times New Roman" w:hAnsi="Times New Roman" w:cs="Times New Roman"/>
        </w:rPr>
        <w:t xml:space="preserve"> In the aftermath of the Great Recession, </w:t>
      </w:r>
      <w:r w:rsidR="00FB37A9">
        <w:rPr>
          <w:rFonts w:ascii="Times New Roman" w:hAnsi="Times New Roman" w:cs="Times New Roman"/>
        </w:rPr>
        <w:t>bursting of the house price bubble</w:t>
      </w:r>
      <w:r w:rsidR="00896615">
        <w:rPr>
          <w:rFonts w:ascii="Times New Roman" w:hAnsi="Times New Roman" w:cs="Times New Roman"/>
        </w:rPr>
        <w:t xml:space="preserve"> </w:t>
      </w:r>
      <w:r w:rsidR="00F36A03">
        <w:rPr>
          <w:rFonts w:ascii="Times New Roman" w:hAnsi="Times New Roman" w:cs="Times New Roman"/>
        </w:rPr>
        <w:t>led to</w:t>
      </w:r>
      <w:r w:rsidR="00896615">
        <w:rPr>
          <w:rFonts w:ascii="Times New Roman" w:hAnsi="Times New Roman" w:cs="Times New Roman"/>
        </w:rPr>
        <w:t xml:space="preserve"> destruction of wealth</w:t>
      </w:r>
      <w:r w:rsidR="00F36A03">
        <w:rPr>
          <w:rFonts w:ascii="Times New Roman" w:hAnsi="Times New Roman" w:cs="Times New Roman"/>
        </w:rPr>
        <w:t xml:space="preserve"> gains</w:t>
      </w:r>
      <w:r w:rsidR="00896615">
        <w:rPr>
          <w:rFonts w:ascii="Times New Roman" w:hAnsi="Times New Roman" w:cs="Times New Roman"/>
        </w:rPr>
        <w:t xml:space="preserve"> for numerous households relying on homeownership as their main asset. This process had a distinct intersectional dimension</w:t>
      </w:r>
      <w:r w:rsidR="009D0FDC">
        <w:rPr>
          <w:rFonts w:ascii="Times New Roman" w:hAnsi="Times New Roman" w:cs="Times New Roman"/>
        </w:rPr>
        <w:t>.</w:t>
      </w:r>
      <w:r w:rsidR="00896615">
        <w:rPr>
          <w:rFonts w:ascii="Times New Roman" w:hAnsi="Times New Roman" w:cs="Times New Roman"/>
        </w:rPr>
        <w:t xml:space="preserve"> </w:t>
      </w:r>
      <w:r w:rsidR="009D0FDC">
        <w:rPr>
          <w:rFonts w:ascii="Times New Roman" w:hAnsi="Times New Roman" w:cs="Times New Roman"/>
        </w:rPr>
        <w:t xml:space="preserve">Low-income households, </w:t>
      </w:r>
      <w:r w:rsidR="00896615">
        <w:rPr>
          <w:rFonts w:ascii="Times New Roman" w:hAnsi="Times New Roman" w:cs="Times New Roman"/>
        </w:rPr>
        <w:t>women, minorities</w:t>
      </w:r>
      <w:r w:rsidR="009446D5">
        <w:rPr>
          <w:rFonts w:ascii="Times New Roman" w:hAnsi="Times New Roman" w:cs="Times New Roman"/>
        </w:rPr>
        <w:t>,</w:t>
      </w:r>
      <w:r w:rsidR="00896615">
        <w:rPr>
          <w:rFonts w:ascii="Times New Roman" w:hAnsi="Times New Roman" w:cs="Times New Roman"/>
        </w:rPr>
        <w:t xml:space="preserve"> and the young were targeted by subprime lenders </w:t>
      </w:r>
      <w:r w:rsidR="009D0FDC">
        <w:rPr>
          <w:rFonts w:ascii="Times New Roman" w:hAnsi="Times New Roman" w:cs="Times New Roman"/>
        </w:rPr>
        <w:t xml:space="preserve">and </w:t>
      </w:r>
      <w:r w:rsidR="00896615">
        <w:rPr>
          <w:rFonts w:ascii="Times New Roman" w:hAnsi="Times New Roman" w:cs="Times New Roman"/>
        </w:rPr>
        <w:t>suffer</w:t>
      </w:r>
      <w:r w:rsidR="009D0FDC">
        <w:rPr>
          <w:rFonts w:ascii="Times New Roman" w:hAnsi="Times New Roman" w:cs="Times New Roman"/>
        </w:rPr>
        <w:t xml:space="preserve">ed </w:t>
      </w:r>
      <w:r w:rsidR="009B0CDF">
        <w:rPr>
          <w:rFonts w:ascii="Times New Roman" w:hAnsi="Times New Roman" w:cs="Times New Roman"/>
        </w:rPr>
        <w:t>from</w:t>
      </w:r>
      <w:r w:rsidR="00896615">
        <w:rPr>
          <w:rFonts w:ascii="Times New Roman" w:hAnsi="Times New Roman" w:cs="Times New Roman"/>
        </w:rPr>
        <w:t xml:space="preserve"> </w:t>
      </w:r>
      <w:r w:rsidR="009B0CDF">
        <w:rPr>
          <w:rFonts w:ascii="Times New Roman" w:hAnsi="Times New Roman" w:cs="Times New Roman"/>
        </w:rPr>
        <w:t>higher rates of foreclosures during the crisis</w:t>
      </w:r>
      <w:r w:rsidR="009D0FDC">
        <w:rPr>
          <w:rFonts w:ascii="Times New Roman" w:hAnsi="Times New Roman" w:cs="Times New Roman"/>
        </w:rPr>
        <w:t>,</w:t>
      </w:r>
      <w:r w:rsidR="009B0CDF">
        <w:rPr>
          <w:rFonts w:ascii="Times New Roman" w:hAnsi="Times New Roman" w:cs="Times New Roman"/>
        </w:rPr>
        <w:t xml:space="preserve"> which </w:t>
      </w:r>
      <w:r w:rsidR="009D0FDC">
        <w:rPr>
          <w:rFonts w:ascii="Times New Roman" w:hAnsi="Times New Roman" w:cs="Times New Roman"/>
        </w:rPr>
        <w:t>translated</w:t>
      </w:r>
      <w:r w:rsidR="009B0CDF">
        <w:rPr>
          <w:rFonts w:ascii="Times New Roman" w:hAnsi="Times New Roman" w:cs="Times New Roman"/>
        </w:rPr>
        <w:t xml:space="preserve"> into </w:t>
      </w:r>
      <w:r w:rsidR="00896615">
        <w:rPr>
          <w:rFonts w:ascii="Times New Roman" w:hAnsi="Times New Roman" w:cs="Times New Roman"/>
        </w:rPr>
        <w:t xml:space="preserve">long-term </w:t>
      </w:r>
      <w:r w:rsidR="009D0FDC">
        <w:rPr>
          <w:rFonts w:ascii="Times New Roman" w:hAnsi="Times New Roman" w:cs="Times New Roman"/>
        </w:rPr>
        <w:t xml:space="preserve">net wealth </w:t>
      </w:r>
      <w:r w:rsidR="00896615">
        <w:rPr>
          <w:rFonts w:ascii="Times New Roman" w:hAnsi="Times New Roman" w:cs="Times New Roman"/>
        </w:rPr>
        <w:t xml:space="preserve">losses </w:t>
      </w:r>
      <w:r w:rsidR="009B0CDF">
        <w:rPr>
          <w:rFonts w:ascii="Times New Roman" w:hAnsi="Times New Roman" w:cs="Times New Roman"/>
        </w:rPr>
        <w:t>after</w:t>
      </w:r>
      <w:r w:rsidR="00896615">
        <w:rPr>
          <w:rFonts w:ascii="Times New Roman" w:hAnsi="Times New Roman" w:cs="Times New Roman"/>
        </w:rPr>
        <w:t xml:space="preserve"> the Great Recession (Young 2010</w:t>
      </w:r>
      <w:r w:rsidR="009B0CDF">
        <w:rPr>
          <w:rFonts w:ascii="Times New Roman" w:hAnsi="Times New Roman" w:cs="Times New Roman"/>
        </w:rPr>
        <w:t xml:space="preserve">; Henry </w:t>
      </w:r>
      <w:r w:rsidR="009B0CDF">
        <w:rPr>
          <w:rFonts w:ascii="Times New Roman" w:hAnsi="Times New Roman" w:cs="Times New Roman"/>
          <w:i/>
        </w:rPr>
        <w:t>et al</w:t>
      </w:r>
      <w:r w:rsidR="009B0CDF">
        <w:rPr>
          <w:rFonts w:ascii="Times New Roman" w:hAnsi="Times New Roman" w:cs="Times New Roman"/>
        </w:rPr>
        <w:t>. 2013</w:t>
      </w:r>
      <w:r w:rsidR="00896615">
        <w:rPr>
          <w:rFonts w:ascii="Times New Roman" w:hAnsi="Times New Roman" w:cs="Times New Roman"/>
        </w:rPr>
        <w:t xml:space="preserve">). </w:t>
      </w:r>
      <w:r w:rsidR="00CE28E3">
        <w:rPr>
          <w:rFonts w:ascii="Times New Roman" w:hAnsi="Times New Roman" w:cs="Times New Roman"/>
        </w:rPr>
        <w:t>Given the</w:t>
      </w:r>
      <w:r>
        <w:rPr>
          <w:rFonts w:ascii="Times New Roman" w:hAnsi="Times New Roman" w:cs="Times New Roman"/>
        </w:rPr>
        <w:t xml:space="preserve"> increasing heterogeneity of household wealth</w:t>
      </w:r>
      <w:r w:rsidR="000D31B5">
        <w:rPr>
          <w:rFonts w:ascii="Times New Roman" w:hAnsi="Times New Roman" w:cs="Times New Roman"/>
        </w:rPr>
        <w:t xml:space="preserve"> and disparate </w:t>
      </w:r>
      <w:r w:rsidR="000D31B5">
        <w:rPr>
          <w:rFonts w:ascii="Times New Roman" w:hAnsi="Times New Roman" w:cs="Times New Roman"/>
        </w:rPr>
        <w:lastRenderedPageBreak/>
        <w:t xml:space="preserve">trajectories of wealth accumulation before and after the </w:t>
      </w:r>
      <w:r w:rsidR="00CE28E3">
        <w:rPr>
          <w:rFonts w:ascii="Times New Roman" w:hAnsi="Times New Roman" w:cs="Times New Roman"/>
        </w:rPr>
        <w:t>Great Recession</w:t>
      </w:r>
      <w:r w:rsidR="000D31B5">
        <w:rPr>
          <w:rFonts w:ascii="Times New Roman" w:hAnsi="Times New Roman" w:cs="Times New Roman"/>
        </w:rPr>
        <w:t xml:space="preserve"> across different households</w:t>
      </w:r>
      <w:r>
        <w:rPr>
          <w:rFonts w:ascii="Times New Roman" w:hAnsi="Times New Roman" w:cs="Times New Roman"/>
        </w:rPr>
        <w:t xml:space="preserve">, what is the relationship between wealth holdings and </w:t>
      </w:r>
      <w:r w:rsidR="00CE28E3">
        <w:rPr>
          <w:rFonts w:ascii="Times New Roman" w:hAnsi="Times New Roman" w:cs="Times New Roman"/>
        </w:rPr>
        <w:t xml:space="preserve">household’s relative </w:t>
      </w:r>
      <w:r>
        <w:rPr>
          <w:rFonts w:ascii="Times New Roman" w:hAnsi="Times New Roman" w:cs="Times New Roman"/>
        </w:rPr>
        <w:t>income?</w:t>
      </w:r>
    </w:p>
    <w:p w14:paraId="6BDDBEA1" w14:textId="1F73F3A0" w:rsidR="004B05C8" w:rsidRDefault="00097F0C" w:rsidP="00CB53B6">
      <w:pPr>
        <w:rPr>
          <w:rFonts w:ascii="Times New Roman" w:hAnsi="Times New Roman" w:cs="Times New Roman"/>
        </w:rPr>
      </w:pPr>
      <w:r>
        <w:rPr>
          <w:rFonts w:ascii="Times New Roman" w:hAnsi="Times New Roman" w:cs="Times New Roman"/>
        </w:rPr>
        <w:t>H</w:t>
      </w:r>
      <w:r w:rsidR="00C22880">
        <w:rPr>
          <w:rFonts w:ascii="Times New Roman" w:hAnsi="Times New Roman" w:cs="Times New Roman"/>
        </w:rPr>
        <w:t>igh</w:t>
      </w:r>
      <w:r w:rsidR="004B05C8">
        <w:rPr>
          <w:rFonts w:ascii="Times New Roman" w:hAnsi="Times New Roman" w:cs="Times New Roman"/>
        </w:rPr>
        <w:t>er</w:t>
      </w:r>
      <w:r w:rsidR="00C22880">
        <w:rPr>
          <w:rFonts w:ascii="Times New Roman" w:hAnsi="Times New Roman" w:cs="Times New Roman"/>
        </w:rPr>
        <w:t xml:space="preserve"> contribution </w:t>
      </w:r>
      <w:r w:rsidR="004B05C8">
        <w:rPr>
          <w:rFonts w:ascii="Times New Roman" w:hAnsi="Times New Roman" w:cs="Times New Roman"/>
        </w:rPr>
        <w:t xml:space="preserve">to total asset portfolio </w:t>
      </w:r>
      <w:r w:rsidR="00C22880">
        <w:rPr>
          <w:rFonts w:ascii="Times New Roman" w:hAnsi="Times New Roman" w:cs="Times New Roman"/>
        </w:rPr>
        <w:t xml:space="preserve">of assets such as </w:t>
      </w:r>
      <w:r w:rsidR="00C8757A">
        <w:rPr>
          <w:rFonts w:ascii="Times New Roman" w:hAnsi="Times New Roman" w:cs="Times New Roman"/>
        </w:rPr>
        <w:t xml:space="preserve">property other than main residence, </w:t>
      </w:r>
      <w:r w:rsidR="00C22880">
        <w:rPr>
          <w:rFonts w:ascii="Times New Roman" w:hAnsi="Times New Roman" w:cs="Times New Roman"/>
        </w:rPr>
        <w:t>business equity,</w:t>
      </w:r>
      <w:r w:rsidR="00D712A1">
        <w:rPr>
          <w:rFonts w:ascii="Times New Roman" w:hAnsi="Times New Roman" w:cs="Times New Roman"/>
        </w:rPr>
        <w:t xml:space="preserve"> retirement </w:t>
      </w:r>
      <w:r w:rsidR="00F8577B">
        <w:rPr>
          <w:rFonts w:ascii="Times New Roman" w:hAnsi="Times New Roman" w:cs="Times New Roman"/>
        </w:rPr>
        <w:t>wealth</w:t>
      </w:r>
      <w:r w:rsidR="00D712A1">
        <w:rPr>
          <w:rFonts w:ascii="Times New Roman" w:hAnsi="Times New Roman" w:cs="Times New Roman"/>
        </w:rPr>
        <w:t>,</w:t>
      </w:r>
      <w:r w:rsidR="00C22880">
        <w:rPr>
          <w:rFonts w:ascii="Times New Roman" w:hAnsi="Times New Roman" w:cs="Times New Roman"/>
        </w:rPr>
        <w:t xml:space="preserve"> </w:t>
      </w:r>
      <w:r w:rsidR="00D712A1">
        <w:rPr>
          <w:rFonts w:ascii="Times New Roman" w:hAnsi="Times New Roman" w:cs="Times New Roman"/>
        </w:rPr>
        <w:t xml:space="preserve">and </w:t>
      </w:r>
      <w:r w:rsidR="00C22880">
        <w:rPr>
          <w:rFonts w:ascii="Times New Roman" w:hAnsi="Times New Roman" w:cs="Times New Roman"/>
        </w:rPr>
        <w:t xml:space="preserve">high-yielding financial </w:t>
      </w:r>
      <w:r w:rsidR="004B05C8">
        <w:rPr>
          <w:rFonts w:ascii="Times New Roman" w:hAnsi="Times New Roman" w:cs="Times New Roman"/>
        </w:rPr>
        <w:t>instruments</w:t>
      </w:r>
      <w:r w:rsidR="00C22880">
        <w:rPr>
          <w:rFonts w:ascii="Times New Roman" w:hAnsi="Times New Roman" w:cs="Times New Roman"/>
        </w:rPr>
        <w:t xml:space="preserve"> improve household’s position in the income distribution to a greater extent than</w:t>
      </w:r>
      <w:r w:rsidR="00241555">
        <w:rPr>
          <w:rFonts w:ascii="Times New Roman" w:hAnsi="Times New Roman" w:cs="Times New Roman"/>
        </w:rPr>
        <w:t xml:space="preserve"> </w:t>
      </w:r>
      <w:r w:rsidR="004B05C8">
        <w:rPr>
          <w:rFonts w:ascii="Times New Roman" w:hAnsi="Times New Roman" w:cs="Times New Roman"/>
        </w:rPr>
        <w:t>if majority of wealth is stored in main residence</w:t>
      </w:r>
      <w:r w:rsidR="00C22880">
        <w:rPr>
          <w:rFonts w:ascii="Times New Roman" w:hAnsi="Times New Roman" w:cs="Times New Roman"/>
        </w:rPr>
        <w:t xml:space="preserve">, vehicles, and low-yielding financial assets such as bank deposits. </w:t>
      </w:r>
      <w:r w:rsidR="00417FF8">
        <w:rPr>
          <w:rFonts w:ascii="Times New Roman" w:hAnsi="Times New Roman" w:cs="Times New Roman"/>
        </w:rPr>
        <w:t>One reason might be that</w:t>
      </w:r>
      <w:r w:rsidR="00241555">
        <w:rPr>
          <w:rFonts w:ascii="Times New Roman" w:hAnsi="Times New Roman" w:cs="Times New Roman"/>
        </w:rPr>
        <w:t xml:space="preserve"> the former group of assets faces comparatively higher appreciation in value than the latter group</w:t>
      </w:r>
      <w:r w:rsidR="00834CE9">
        <w:rPr>
          <w:rFonts w:ascii="Times New Roman" w:hAnsi="Times New Roman" w:cs="Times New Roman"/>
        </w:rPr>
        <w:t xml:space="preserve"> (Williams 2016</w:t>
      </w:r>
      <w:r w:rsidR="00E3624C">
        <w:rPr>
          <w:rFonts w:ascii="Times New Roman" w:hAnsi="Times New Roman" w:cs="Times New Roman"/>
        </w:rPr>
        <w:t>)</w:t>
      </w:r>
      <w:r w:rsidR="004B05C8">
        <w:rPr>
          <w:rFonts w:ascii="Times New Roman" w:hAnsi="Times New Roman" w:cs="Times New Roman"/>
        </w:rPr>
        <w:t xml:space="preserve">, although </w:t>
      </w:r>
      <w:r w:rsidR="009446D5">
        <w:rPr>
          <w:rFonts w:ascii="Times New Roman" w:hAnsi="Times New Roman" w:cs="Times New Roman"/>
        </w:rPr>
        <w:t xml:space="preserve">the </w:t>
      </w:r>
      <w:r w:rsidR="004B05C8">
        <w:rPr>
          <w:rFonts w:ascii="Times New Roman" w:hAnsi="Times New Roman" w:cs="Times New Roman"/>
        </w:rPr>
        <w:t xml:space="preserve">precise </w:t>
      </w:r>
      <w:r w:rsidR="004C18A8">
        <w:rPr>
          <w:rFonts w:ascii="Times New Roman" w:hAnsi="Times New Roman" w:cs="Times New Roman"/>
        </w:rPr>
        <w:t>extent of this phenomenon</w:t>
      </w:r>
      <w:r w:rsidR="009446D5">
        <w:rPr>
          <w:rFonts w:ascii="Times New Roman" w:hAnsi="Times New Roman" w:cs="Times New Roman"/>
        </w:rPr>
        <w:t xml:space="preserve"> is difficult to infer </w:t>
      </w:r>
      <w:r w:rsidR="004B05C8">
        <w:rPr>
          <w:rFonts w:ascii="Times New Roman" w:hAnsi="Times New Roman" w:cs="Times New Roman"/>
        </w:rPr>
        <w:t>as capital gains associated with returns to wealth are only recorded in household income when realised.</w:t>
      </w:r>
      <w:r w:rsidR="00241555">
        <w:rPr>
          <w:rFonts w:ascii="Times New Roman" w:hAnsi="Times New Roman" w:cs="Times New Roman"/>
        </w:rPr>
        <w:t xml:space="preserve"> </w:t>
      </w:r>
      <w:r w:rsidR="004B05C8">
        <w:rPr>
          <w:rFonts w:ascii="Times New Roman" w:hAnsi="Times New Roman" w:cs="Times New Roman"/>
        </w:rPr>
        <w:t>Nevertheless</w:t>
      </w:r>
      <w:r w:rsidR="00241555">
        <w:rPr>
          <w:rFonts w:ascii="Times New Roman" w:hAnsi="Times New Roman" w:cs="Times New Roman"/>
        </w:rPr>
        <w:t xml:space="preserve">, </w:t>
      </w:r>
      <w:r w:rsidR="0045544B">
        <w:rPr>
          <w:rFonts w:ascii="Times New Roman" w:hAnsi="Times New Roman" w:cs="Times New Roman"/>
        </w:rPr>
        <w:t>ownership of</w:t>
      </w:r>
      <w:r w:rsidR="00241555">
        <w:rPr>
          <w:rFonts w:ascii="Times New Roman" w:hAnsi="Times New Roman" w:cs="Times New Roman"/>
        </w:rPr>
        <w:t xml:space="preserve"> these </w:t>
      </w:r>
      <w:r w:rsidR="00D712A1">
        <w:rPr>
          <w:rFonts w:ascii="Times New Roman" w:hAnsi="Times New Roman" w:cs="Times New Roman"/>
        </w:rPr>
        <w:t xml:space="preserve">high-yielding </w:t>
      </w:r>
      <w:r w:rsidR="00241555">
        <w:rPr>
          <w:rFonts w:ascii="Times New Roman" w:hAnsi="Times New Roman" w:cs="Times New Roman"/>
        </w:rPr>
        <w:t>forms of wealth often necessitates large initial down payments</w:t>
      </w:r>
      <w:r w:rsidR="00D712A1">
        <w:rPr>
          <w:rFonts w:ascii="Times New Roman" w:hAnsi="Times New Roman" w:cs="Times New Roman"/>
        </w:rPr>
        <w:t>, making them less</w:t>
      </w:r>
      <w:r w:rsidR="00241555">
        <w:rPr>
          <w:rFonts w:ascii="Times New Roman" w:hAnsi="Times New Roman" w:cs="Times New Roman"/>
        </w:rPr>
        <w:t xml:space="preserve"> accessible to low-to-middle income households </w:t>
      </w:r>
      <w:r w:rsidR="00D712A1">
        <w:rPr>
          <w:rFonts w:ascii="Times New Roman" w:hAnsi="Times New Roman" w:cs="Times New Roman"/>
        </w:rPr>
        <w:t>than e.g.</w:t>
      </w:r>
      <w:r w:rsidR="00241555">
        <w:rPr>
          <w:rFonts w:ascii="Times New Roman" w:hAnsi="Times New Roman" w:cs="Times New Roman"/>
        </w:rPr>
        <w:t xml:space="preserve"> homeownership (with the help of mortgage financing).</w:t>
      </w:r>
      <w:r w:rsidR="0045544B">
        <w:rPr>
          <w:rFonts w:ascii="Times New Roman" w:hAnsi="Times New Roman" w:cs="Times New Roman"/>
        </w:rPr>
        <w:t xml:space="preserve"> </w:t>
      </w:r>
      <w:r w:rsidR="00500E37">
        <w:rPr>
          <w:rFonts w:ascii="Times New Roman" w:hAnsi="Times New Roman" w:cs="Times New Roman"/>
        </w:rPr>
        <w:t xml:space="preserve">Similar can be observed in the case of debt. </w:t>
      </w:r>
      <w:r w:rsidR="00B61669">
        <w:rPr>
          <w:rFonts w:ascii="Times New Roman" w:hAnsi="Times New Roman" w:cs="Times New Roman"/>
        </w:rPr>
        <w:t>H</w:t>
      </w:r>
      <w:r w:rsidR="00500E37">
        <w:rPr>
          <w:rFonts w:ascii="Times New Roman" w:hAnsi="Times New Roman" w:cs="Times New Roman"/>
        </w:rPr>
        <w:t>ouseholds whose debt holdings c</w:t>
      </w:r>
      <w:r w:rsidR="00B61669">
        <w:rPr>
          <w:rFonts w:ascii="Times New Roman" w:hAnsi="Times New Roman" w:cs="Times New Roman"/>
        </w:rPr>
        <w:t>onsist mainly of secured debt can</w:t>
      </w:r>
      <w:r w:rsidR="00EF3167">
        <w:rPr>
          <w:rFonts w:ascii="Times New Roman" w:hAnsi="Times New Roman" w:cs="Times New Roman"/>
        </w:rPr>
        <w:t xml:space="preserve"> take advantage of tax break</w:t>
      </w:r>
      <w:r w:rsidR="00CB53B6">
        <w:rPr>
          <w:rFonts w:ascii="Times New Roman" w:hAnsi="Times New Roman" w:cs="Times New Roman"/>
        </w:rPr>
        <w:t>s</w:t>
      </w:r>
      <w:r w:rsidR="00EF3167">
        <w:rPr>
          <w:rFonts w:ascii="Times New Roman" w:hAnsi="Times New Roman" w:cs="Times New Roman"/>
        </w:rPr>
        <w:t>,</w:t>
      </w:r>
      <w:r w:rsidR="00B61669">
        <w:rPr>
          <w:rFonts w:ascii="Times New Roman" w:hAnsi="Times New Roman" w:cs="Times New Roman"/>
        </w:rPr>
        <w:t xml:space="preserve"> and their debt payments contribute to building up of their net worth</w:t>
      </w:r>
      <w:r w:rsidR="00CB53B6">
        <w:rPr>
          <w:rFonts w:ascii="Times New Roman" w:hAnsi="Times New Roman" w:cs="Times New Roman"/>
        </w:rPr>
        <w:t xml:space="preserve"> (Stiglitz 2014; </w:t>
      </w:r>
      <w:r w:rsidR="00CB53B6" w:rsidRPr="00CB53B6">
        <w:rPr>
          <w:rFonts w:ascii="Times New Roman" w:hAnsi="Times New Roman" w:cs="Times New Roman"/>
        </w:rPr>
        <w:t xml:space="preserve">Levin </w:t>
      </w:r>
      <w:r w:rsidR="00CB53B6" w:rsidRPr="00CB53B6">
        <w:rPr>
          <w:rFonts w:ascii="Times New Roman" w:hAnsi="Times New Roman" w:cs="Times New Roman"/>
          <w:i/>
          <w:iCs/>
        </w:rPr>
        <w:t>et al</w:t>
      </w:r>
      <w:r w:rsidR="00CB53B6">
        <w:rPr>
          <w:rFonts w:ascii="Times New Roman" w:hAnsi="Times New Roman" w:cs="Times New Roman"/>
        </w:rPr>
        <w:t xml:space="preserve">. 2014; </w:t>
      </w:r>
      <w:r w:rsidR="00643048">
        <w:rPr>
          <w:rFonts w:ascii="Times New Roman" w:hAnsi="Times New Roman" w:cs="Times New Roman"/>
        </w:rPr>
        <w:t>Williams 2016</w:t>
      </w:r>
      <w:r w:rsidR="00CB53B6">
        <w:rPr>
          <w:rFonts w:ascii="Times New Roman" w:hAnsi="Times New Roman" w:cs="Times New Roman"/>
        </w:rPr>
        <w:t>)</w:t>
      </w:r>
      <w:r w:rsidR="00B61669">
        <w:rPr>
          <w:rFonts w:ascii="Times New Roman" w:hAnsi="Times New Roman" w:cs="Times New Roman"/>
        </w:rPr>
        <w:t>. Conversely, households relying primarily of unsecured debt face tougher repayment conditions, which acts to the detriment of their credit worthiness rather than to increase their wealth accumulation capacity</w:t>
      </w:r>
      <w:r w:rsidR="004B05C8">
        <w:rPr>
          <w:rFonts w:ascii="Times New Roman" w:hAnsi="Times New Roman" w:cs="Times New Roman"/>
        </w:rPr>
        <w:t xml:space="preserve">. </w:t>
      </w:r>
      <w:r w:rsidR="004111BE">
        <w:rPr>
          <w:rFonts w:ascii="Times New Roman" w:hAnsi="Times New Roman" w:cs="Times New Roman"/>
        </w:rPr>
        <w:t>However,</w:t>
      </w:r>
      <w:r w:rsidR="001332BA">
        <w:rPr>
          <w:rFonts w:ascii="Times New Roman" w:hAnsi="Times New Roman" w:cs="Times New Roman"/>
        </w:rPr>
        <w:t xml:space="preserve"> not enough is known about how these empirical regularities have been affected by the subprime lending expansion in the 2000s and by the Great Recession, and whether they have been experienced to the same extent by different household groups.</w:t>
      </w:r>
    </w:p>
    <w:p w14:paraId="4B80E046" w14:textId="7803BA21" w:rsidR="00097F0C" w:rsidRDefault="00097F0C" w:rsidP="00097F0C">
      <w:pPr>
        <w:rPr>
          <w:rFonts w:ascii="Times New Roman" w:hAnsi="Times New Roman" w:cs="Times New Roman"/>
        </w:rPr>
      </w:pPr>
      <w:r>
        <w:rPr>
          <w:rFonts w:ascii="Times New Roman" w:hAnsi="Times New Roman" w:cs="Times New Roman"/>
        </w:rPr>
        <w:t xml:space="preserve">This paper contributes to the inequality literature by studying how the precise structure of household wealth </w:t>
      </w:r>
      <w:r w:rsidR="0091234C">
        <w:rPr>
          <w:rFonts w:ascii="Times New Roman" w:hAnsi="Times New Roman" w:cs="Times New Roman"/>
        </w:rPr>
        <w:t>is associated with</w:t>
      </w:r>
      <w:r>
        <w:rPr>
          <w:rFonts w:ascii="Times New Roman" w:hAnsi="Times New Roman" w:cs="Times New Roman"/>
        </w:rPr>
        <w:t xml:space="preserve"> relative position in the income distribution</w:t>
      </w:r>
      <w:r w:rsidR="00AF3B4E">
        <w:rPr>
          <w:rFonts w:ascii="Times New Roman" w:hAnsi="Times New Roman" w:cs="Times New Roman"/>
        </w:rPr>
        <w:t xml:space="preserve"> for different households over time</w:t>
      </w:r>
      <w:r>
        <w:rPr>
          <w:rFonts w:ascii="Times New Roman" w:hAnsi="Times New Roman" w:cs="Times New Roman"/>
        </w:rPr>
        <w:t xml:space="preserve">. </w:t>
      </w:r>
      <w:r w:rsidR="00D7304E">
        <w:rPr>
          <w:rFonts w:ascii="Times New Roman" w:hAnsi="Times New Roman" w:cs="Times New Roman"/>
        </w:rPr>
        <w:t>It</w:t>
      </w:r>
      <w:r>
        <w:rPr>
          <w:rFonts w:ascii="Times New Roman" w:hAnsi="Times New Roman" w:cs="Times New Roman"/>
        </w:rPr>
        <w:t xml:space="preserve"> examine</w:t>
      </w:r>
      <w:r w:rsidR="00D7304E">
        <w:rPr>
          <w:rFonts w:ascii="Times New Roman" w:hAnsi="Times New Roman" w:cs="Times New Roman"/>
        </w:rPr>
        <w:t>s</w:t>
      </w:r>
      <w:r>
        <w:rPr>
          <w:rFonts w:ascii="Times New Roman" w:hAnsi="Times New Roman" w:cs="Times New Roman"/>
        </w:rPr>
        <w:t xml:space="preserve"> empirical regularities between specific components of asset and debt holdings </w:t>
      </w:r>
      <w:r w:rsidR="001332BA">
        <w:rPr>
          <w:rFonts w:ascii="Times New Roman" w:hAnsi="Times New Roman" w:cs="Times New Roman"/>
        </w:rPr>
        <w:t xml:space="preserve">and leverage </w:t>
      </w:r>
      <w:r>
        <w:rPr>
          <w:rFonts w:ascii="Times New Roman" w:hAnsi="Times New Roman" w:cs="Times New Roman"/>
        </w:rPr>
        <w:t>and households’ relative income</w:t>
      </w:r>
      <w:r w:rsidR="001332BA">
        <w:rPr>
          <w:rFonts w:ascii="Times New Roman" w:hAnsi="Times New Roman" w:cs="Times New Roman"/>
        </w:rPr>
        <w:t xml:space="preserve">, </w:t>
      </w:r>
      <w:r>
        <w:rPr>
          <w:rFonts w:ascii="Times New Roman" w:hAnsi="Times New Roman" w:cs="Times New Roman"/>
        </w:rPr>
        <w:t xml:space="preserve">using non-parametric median slope analysis of data from the U.S. Survey of Consumer Finances between 1989-2013. The research hypothesis is that wealth composition </w:t>
      </w:r>
      <w:r w:rsidR="0091234C">
        <w:rPr>
          <w:rFonts w:ascii="Times New Roman" w:hAnsi="Times New Roman" w:cs="Times New Roman"/>
        </w:rPr>
        <w:t>is associated with</w:t>
      </w:r>
      <w:r>
        <w:rPr>
          <w:rFonts w:ascii="Times New Roman" w:hAnsi="Times New Roman" w:cs="Times New Roman"/>
        </w:rPr>
        <w:t xml:space="preserve"> different gains in relative income for various households in the context of institutional changes in the US economy since the 1980s</w:t>
      </w:r>
      <w:r w:rsidR="00AF3B4E">
        <w:rPr>
          <w:rFonts w:ascii="Times New Roman" w:hAnsi="Times New Roman" w:cs="Times New Roman"/>
        </w:rPr>
        <w:t xml:space="preserve">, disproportionately benefiting the rich, Whites, males, and </w:t>
      </w:r>
      <w:r w:rsidR="007A205D">
        <w:rPr>
          <w:rFonts w:ascii="Times New Roman" w:hAnsi="Times New Roman" w:cs="Times New Roman"/>
        </w:rPr>
        <w:t>baby boomers</w:t>
      </w:r>
      <w:r>
        <w:rPr>
          <w:rFonts w:ascii="Times New Roman" w:hAnsi="Times New Roman" w:cs="Times New Roman"/>
        </w:rPr>
        <w:t>. T</w:t>
      </w:r>
      <w:r w:rsidR="00415DA6">
        <w:rPr>
          <w:rFonts w:ascii="Times New Roman" w:hAnsi="Times New Roman" w:cs="Times New Roman"/>
        </w:rPr>
        <w:t>o that end, t</w:t>
      </w:r>
      <w:r>
        <w:rPr>
          <w:rFonts w:ascii="Times New Roman" w:hAnsi="Times New Roman" w:cs="Times New Roman"/>
        </w:rPr>
        <w:t xml:space="preserve">he paper investigates whether </w:t>
      </w:r>
      <w:r w:rsidR="00415DA6">
        <w:rPr>
          <w:rFonts w:ascii="Times New Roman" w:hAnsi="Times New Roman" w:cs="Times New Roman"/>
        </w:rPr>
        <w:t>the</w:t>
      </w:r>
      <w:r>
        <w:rPr>
          <w:rFonts w:ascii="Times New Roman" w:hAnsi="Times New Roman" w:cs="Times New Roman"/>
        </w:rPr>
        <w:t xml:space="preserve"> observed empirical regularities</w:t>
      </w:r>
      <w:r w:rsidR="00415DA6">
        <w:rPr>
          <w:rFonts w:ascii="Times New Roman" w:hAnsi="Times New Roman" w:cs="Times New Roman"/>
        </w:rPr>
        <w:t xml:space="preserve"> between wealth composition and relative income</w:t>
      </w:r>
      <w:r>
        <w:rPr>
          <w:rFonts w:ascii="Times New Roman" w:hAnsi="Times New Roman" w:cs="Times New Roman"/>
        </w:rPr>
        <w:t xml:space="preserve"> hold to an equal extent for</w:t>
      </w:r>
      <w:r w:rsidR="00AF3B4E">
        <w:rPr>
          <w:rFonts w:ascii="Times New Roman" w:hAnsi="Times New Roman" w:cs="Times New Roman"/>
        </w:rPr>
        <w:t xml:space="preserve"> </w:t>
      </w:r>
      <w:r>
        <w:rPr>
          <w:rFonts w:ascii="Times New Roman" w:hAnsi="Times New Roman" w:cs="Times New Roman"/>
        </w:rPr>
        <w:t xml:space="preserve">different </w:t>
      </w:r>
      <w:r w:rsidR="00AF3B4E">
        <w:rPr>
          <w:rFonts w:ascii="Times New Roman" w:hAnsi="Times New Roman" w:cs="Times New Roman"/>
        </w:rPr>
        <w:t>income, gender, rac</w:t>
      </w:r>
      <w:r w:rsidR="00415DA6">
        <w:rPr>
          <w:rFonts w:ascii="Times New Roman" w:hAnsi="Times New Roman" w:cs="Times New Roman"/>
        </w:rPr>
        <w:t>ial</w:t>
      </w:r>
      <w:r w:rsidR="00AF3B4E">
        <w:rPr>
          <w:rFonts w:ascii="Times New Roman" w:hAnsi="Times New Roman" w:cs="Times New Roman"/>
        </w:rPr>
        <w:t xml:space="preserve">, and age </w:t>
      </w:r>
      <w:r>
        <w:rPr>
          <w:rFonts w:ascii="Times New Roman" w:hAnsi="Times New Roman" w:cs="Times New Roman"/>
        </w:rPr>
        <w:t>groups</w:t>
      </w:r>
      <w:r w:rsidR="00AF3B4E">
        <w:rPr>
          <w:rFonts w:ascii="Times New Roman" w:hAnsi="Times New Roman" w:cs="Times New Roman"/>
        </w:rPr>
        <w:t>, which were targeted by subprime lenders prior to the crisis</w:t>
      </w:r>
      <w:r>
        <w:rPr>
          <w:rFonts w:ascii="Times New Roman" w:hAnsi="Times New Roman" w:cs="Times New Roman"/>
        </w:rPr>
        <w:t xml:space="preserve">, and how </w:t>
      </w:r>
      <w:r w:rsidR="00415DA6">
        <w:rPr>
          <w:rFonts w:ascii="Times New Roman" w:hAnsi="Times New Roman" w:cs="Times New Roman"/>
        </w:rPr>
        <w:t xml:space="preserve">these relationships have been influenced by </w:t>
      </w:r>
      <w:r>
        <w:rPr>
          <w:rFonts w:ascii="Times New Roman" w:hAnsi="Times New Roman" w:cs="Times New Roman"/>
        </w:rPr>
        <w:t>changes in financial sector operation before the Great Recession and</w:t>
      </w:r>
      <w:r w:rsidR="00415DA6">
        <w:rPr>
          <w:rFonts w:ascii="Times New Roman" w:hAnsi="Times New Roman" w:cs="Times New Roman"/>
        </w:rPr>
        <w:t xml:space="preserve"> in</w:t>
      </w:r>
      <w:r>
        <w:rPr>
          <w:rFonts w:ascii="Times New Roman" w:hAnsi="Times New Roman" w:cs="Times New Roman"/>
        </w:rPr>
        <w:t xml:space="preserve"> its aftermath.</w:t>
      </w:r>
      <w:r w:rsidR="001332BA">
        <w:rPr>
          <w:rFonts w:ascii="Times New Roman" w:hAnsi="Times New Roman" w:cs="Times New Roman"/>
        </w:rPr>
        <w:t xml:space="preserve"> </w:t>
      </w:r>
    </w:p>
    <w:p w14:paraId="66542117" w14:textId="063BBF97" w:rsidR="00CB2341" w:rsidRDefault="004B05C8" w:rsidP="008B2CEB">
      <w:pPr>
        <w:rPr>
          <w:rFonts w:ascii="Times New Roman" w:hAnsi="Times New Roman" w:cs="Times New Roman"/>
        </w:rPr>
      </w:pPr>
      <w:r>
        <w:rPr>
          <w:rFonts w:ascii="Times New Roman" w:hAnsi="Times New Roman" w:cs="Times New Roman"/>
        </w:rPr>
        <w:t xml:space="preserve">Throughout this analysis, explicit attention is paid to changes in the estimated empirical regularities over time. </w:t>
      </w:r>
      <w:r w:rsidR="007251DD">
        <w:rPr>
          <w:rFonts w:ascii="Times New Roman" w:hAnsi="Times New Roman" w:cs="Times New Roman"/>
        </w:rPr>
        <w:t>As mentioned above, the e</w:t>
      </w:r>
      <w:r w:rsidR="0045544B">
        <w:rPr>
          <w:rFonts w:ascii="Times New Roman" w:hAnsi="Times New Roman" w:cs="Times New Roman"/>
        </w:rPr>
        <w:t xml:space="preserve">mpirically observed patterns of asset ownership along the </w:t>
      </w:r>
      <w:r>
        <w:rPr>
          <w:rFonts w:ascii="Times New Roman" w:hAnsi="Times New Roman" w:cs="Times New Roman"/>
        </w:rPr>
        <w:t xml:space="preserve">income </w:t>
      </w:r>
      <w:r w:rsidR="0045544B">
        <w:rPr>
          <w:rFonts w:ascii="Times New Roman" w:hAnsi="Times New Roman" w:cs="Times New Roman"/>
        </w:rPr>
        <w:t>distribution</w:t>
      </w:r>
      <w:r>
        <w:rPr>
          <w:rFonts w:ascii="Times New Roman" w:hAnsi="Times New Roman" w:cs="Times New Roman"/>
        </w:rPr>
        <w:t xml:space="preserve"> indicate that</w:t>
      </w:r>
      <w:r w:rsidR="0045544B">
        <w:rPr>
          <w:rFonts w:ascii="Times New Roman" w:hAnsi="Times New Roman" w:cs="Times New Roman"/>
        </w:rPr>
        <w:t xml:space="preserve"> </w:t>
      </w:r>
      <w:r>
        <w:rPr>
          <w:rFonts w:ascii="Times New Roman" w:hAnsi="Times New Roman" w:cs="Times New Roman"/>
        </w:rPr>
        <w:t xml:space="preserve">households at </w:t>
      </w:r>
      <w:r w:rsidR="0045544B">
        <w:rPr>
          <w:rFonts w:ascii="Times New Roman" w:hAnsi="Times New Roman" w:cs="Times New Roman"/>
        </w:rPr>
        <w:t>the top ow</w:t>
      </w:r>
      <w:r>
        <w:rPr>
          <w:rFonts w:ascii="Times New Roman" w:hAnsi="Times New Roman" w:cs="Times New Roman"/>
        </w:rPr>
        <w:t>n</w:t>
      </w:r>
      <w:r w:rsidR="0045544B">
        <w:rPr>
          <w:rFonts w:ascii="Times New Roman" w:hAnsi="Times New Roman" w:cs="Times New Roman"/>
        </w:rPr>
        <w:t xml:space="preserve"> a</w:t>
      </w:r>
      <w:r>
        <w:rPr>
          <w:rFonts w:ascii="Times New Roman" w:hAnsi="Times New Roman" w:cs="Times New Roman"/>
        </w:rPr>
        <w:t xml:space="preserve"> more</w:t>
      </w:r>
      <w:r w:rsidR="0045544B">
        <w:rPr>
          <w:rFonts w:ascii="Times New Roman" w:hAnsi="Times New Roman" w:cs="Times New Roman"/>
        </w:rPr>
        <w:t xml:space="preserve"> diversified portfolio </w:t>
      </w:r>
      <w:r w:rsidR="0045544B">
        <w:rPr>
          <w:rFonts w:ascii="Times New Roman" w:hAnsi="Times New Roman" w:cs="Times New Roman"/>
        </w:rPr>
        <w:lastRenderedPageBreak/>
        <w:t xml:space="preserve">of real and financial assets, </w:t>
      </w:r>
      <w:r>
        <w:rPr>
          <w:rFonts w:ascii="Times New Roman" w:hAnsi="Times New Roman" w:cs="Times New Roman"/>
        </w:rPr>
        <w:t>while</w:t>
      </w:r>
      <w:r w:rsidRPr="004B05C8">
        <w:rPr>
          <w:rFonts w:ascii="Times New Roman" w:hAnsi="Times New Roman" w:cs="Times New Roman"/>
        </w:rPr>
        <w:t xml:space="preserve"> </w:t>
      </w:r>
      <w:r>
        <w:rPr>
          <w:rFonts w:ascii="Times New Roman" w:hAnsi="Times New Roman" w:cs="Times New Roman"/>
        </w:rPr>
        <w:t xml:space="preserve">low- and </w:t>
      </w:r>
      <w:r w:rsidR="0045544B">
        <w:rPr>
          <w:rFonts w:ascii="Times New Roman" w:hAnsi="Times New Roman" w:cs="Times New Roman"/>
        </w:rPr>
        <w:t>middle-income households</w:t>
      </w:r>
      <w:r>
        <w:rPr>
          <w:rFonts w:ascii="Times New Roman" w:hAnsi="Times New Roman" w:cs="Times New Roman"/>
        </w:rPr>
        <w:t xml:space="preserve"> are</w:t>
      </w:r>
      <w:r w:rsidR="0045544B">
        <w:rPr>
          <w:rFonts w:ascii="Times New Roman" w:hAnsi="Times New Roman" w:cs="Times New Roman"/>
        </w:rPr>
        <w:t xml:space="preserve"> reliant on housing </w:t>
      </w:r>
      <w:r>
        <w:rPr>
          <w:rFonts w:ascii="Times New Roman" w:hAnsi="Times New Roman" w:cs="Times New Roman"/>
        </w:rPr>
        <w:t>and</w:t>
      </w:r>
      <w:r w:rsidR="0045544B">
        <w:rPr>
          <w:rFonts w:ascii="Times New Roman" w:hAnsi="Times New Roman" w:cs="Times New Roman"/>
        </w:rPr>
        <w:t xml:space="preserve"> </w:t>
      </w:r>
      <w:r>
        <w:rPr>
          <w:rFonts w:ascii="Times New Roman" w:hAnsi="Times New Roman" w:cs="Times New Roman"/>
        </w:rPr>
        <w:t xml:space="preserve">low-yielding assets (including </w:t>
      </w:r>
      <w:r w:rsidR="0045544B">
        <w:rPr>
          <w:rFonts w:ascii="Times New Roman" w:hAnsi="Times New Roman" w:cs="Times New Roman"/>
        </w:rPr>
        <w:t>vehicles</w:t>
      </w:r>
      <w:r>
        <w:rPr>
          <w:rFonts w:ascii="Times New Roman" w:hAnsi="Times New Roman" w:cs="Times New Roman"/>
        </w:rPr>
        <w:t xml:space="preserve"> and transaction accounts) respectively</w:t>
      </w:r>
      <w:r w:rsidR="0045544B">
        <w:rPr>
          <w:rFonts w:ascii="Times New Roman" w:hAnsi="Times New Roman" w:cs="Times New Roman"/>
        </w:rPr>
        <w:t xml:space="preserve"> (Wolff 2014</w:t>
      </w:r>
      <w:r w:rsidR="00226FD1">
        <w:rPr>
          <w:rFonts w:ascii="Times New Roman" w:hAnsi="Times New Roman" w:cs="Times New Roman"/>
        </w:rPr>
        <w:t>:31</w:t>
      </w:r>
      <w:r>
        <w:rPr>
          <w:rFonts w:ascii="Times New Roman" w:hAnsi="Times New Roman" w:cs="Times New Roman"/>
        </w:rPr>
        <w:t xml:space="preserve">). </w:t>
      </w:r>
      <w:r w:rsidR="00643048">
        <w:rPr>
          <w:rFonts w:ascii="Times New Roman" w:hAnsi="Times New Roman" w:cs="Times New Roman"/>
        </w:rPr>
        <w:t>The Great Recession has shown that w</w:t>
      </w:r>
      <w:r w:rsidR="00241555">
        <w:rPr>
          <w:rFonts w:ascii="Times New Roman" w:hAnsi="Times New Roman" w:cs="Times New Roman"/>
        </w:rPr>
        <w:t>hile homeownership constitutes an important wealth-building v</w:t>
      </w:r>
      <w:r w:rsidR="00643048">
        <w:rPr>
          <w:rFonts w:ascii="Times New Roman" w:hAnsi="Times New Roman" w:cs="Times New Roman"/>
        </w:rPr>
        <w:t>ehicle, which is vital for long-</w:t>
      </w:r>
      <w:r w:rsidR="00241555">
        <w:rPr>
          <w:rFonts w:ascii="Times New Roman" w:hAnsi="Times New Roman" w:cs="Times New Roman"/>
        </w:rPr>
        <w:t>term improvements in household economic wellbeing, households whose balance sheets are dominated by primary residence are more volatile to economic shocks</w:t>
      </w:r>
      <w:r w:rsidR="00D712A1">
        <w:rPr>
          <w:rFonts w:ascii="Times New Roman" w:hAnsi="Times New Roman" w:cs="Times New Roman"/>
        </w:rPr>
        <w:t xml:space="preserve">. This is because changes in house price movements </w:t>
      </w:r>
      <w:r w:rsidR="00E3624C">
        <w:rPr>
          <w:rFonts w:ascii="Times New Roman" w:hAnsi="Times New Roman" w:cs="Times New Roman"/>
        </w:rPr>
        <w:t>lead to</w:t>
      </w:r>
      <w:r w:rsidR="00D712A1">
        <w:rPr>
          <w:rFonts w:ascii="Times New Roman" w:hAnsi="Times New Roman" w:cs="Times New Roman"/>
        </w:rPr>
        <w:t xml:space="preserve"> swings in the value of household net worth (defined as assets less liabilities)</w:t>
      </w:r>
      <w:r w:rsidR="00545BFF">
        <w:rPr>
          <w:rFonts w:ascii="Times New Roman" w:hAnsi="Times New Roman" w:cs="Times New Roman"/>
        </w:rPr>
        <w:t>, also owing to higher leverage of households for whom real estate is the only major asset</w:t>
      </w:r>
      <w:r w:rsidR="00241555">
        <w:rPr>
          <w:rFonts w:ascii="Times New Roman" w:hAnsi="Times New Roman" w:cs="Times New Roman"/>
        </w:rPr>
        <w:t>.</w:t>
      </w:r>
      <w:r w:rsidR="00D712A1">
        <w:rPr>
          <w:rFonts w:ascii="Times New Roman" w:hAnsi="Times New Roman" w:cs="Times New Roman"/>
        </w:rPr>
        <w:t xml:space="preserve"> </w:t>
      </w:r>
      <w:r w:rsidR="00463CAF">
        <w:rPr>
          <w:rFonts w:ascii="Times New Roman" w:hAnsi="Times New Roman" w:cs="Times New Roman"/>
        </w:rPr>
        <w:t>In fact, middle-income households suffered larger losses in their wealth in the aftermath of the Great Recession than households at the top of the distribution</w:t>
      </w:r>
      <w:r w:rsidR="008B2CEB">
        <w:rPr>
          <w:rFonts w:ascii="Times New Roman" w:hAnsi="Times New Roman" w:cs="Times New Roman"/>
        </w:rPr>
        <w:t xml:space="preserve">, owing to harsher debt repayment conditions </w:t>
      </w:r>
      <w:r w:rsidR="00463CAF">
        <w:rPr>
          <w:rFonts w:ascii="Times New Roman" w:hAnsi="Times New Roman" w:cs="Times New Roman"/>
        </w:rPr>
        <w:t>(Wolff 2014</w:t>
      </w:r>
      <w:r w:rsidR="00226FD1">
        <w:rPr>
          <w:rFonts w:ascii="Times New Roman" w:hAnsi="Times New Roman" w:cs="Times New Roman"/>
        </w:rPr>
        <w:t>:34</w:t>
      </w:r>
      <w:r w:rsidR="00463CAF">
        <w:rPr>
          <w:rFonts w:ascii="Times New Roman" w:hAnsi="Times New Roman" w:cs="Times New Roman"/>
        </w:rPr>
        <w:t>)</w:t>
      </w:r>
      <w:r>
        <w:rPr>
          <w:rFonts w:ascii="Times New Roman" w:hAnsi="Times New Roman" w:cs="Times New Roman"/>
        </w:rPr>
        <w:t>. In this context, the size of both unrealised and realised returns to wealth depends on the absolute size of wealth held by a household</w:t>
      </w:r>
      <w:r w:rsidR="008B2CEB">
        <w:rPr>
          <w:rFonts w:ascii="Times New Roman" w:hAnsi="Times New Roman" w:cs="Times New Roman"/>
        </w:rPr>
        <w:t xml:space="preserve"> (Szymborska 2017). </w:t>
      </w:r>
      <w:r w:rsidR="00B56B8D">
        <w:rPr>
          <w:rFonts w:ascii="Times New Roman" w:hAnsi="Times New Roman" w:cs="Times New Roman"/>
        </w:rPr>
        <w:t>G</w:t>
      </w:r>
      <w:r w:rsidR="008B2CEB">
        <w:rPr>
          <w:rFonts w:ascii="Times New Roman" w:hAnsi="Times New Roman" w:cs="Times New Roman"/>
        </w:rPr>
        <w:t>iven</w:t>
      </w:r>
      <w:r w:rsidR="00BE3E3E">
        <w:rPr>
          <w:rFonts w:ascii="Times New Roman" w:hAnsi="Times New Roman" w:cs="Times New Roman"/>
        </w:rPr>
        <w:t xml:space="preserve"> the</w:t>
      </w:r>
      <w:r w:rsidR="008B2CEB">
        <w:rPr>
          <w:rFonts w:ascii="Times New Roman" w:hAnsi="Times New Roman" w:cs="Times New Roman"/>
        </w:rPr>
        <w:t xml:space="preserve"> institutional structures of the US economy, </w:t>
      </w:r>
      <w:r w:rsidR="00BE3E3E">
        <w:rPr>
          <w:rFonts w:ascii="Times New Roman" w:hAnsi="Times New Roman" w:cs="Times New Roman"/>
        </w:rPr>
        <w:t xml:space="preserve">while </w:t>
      </w:r>
      <w:r w:rsidR="008B2CEB">
        <w:rPr>
          <w:rFonts w:ascii="Times New Roman" w:hAnsi="Times New Roman" w:cs="Times New Roman"/>
        </w:rPr>
        <w:t xml:space="preserve">balance sheet composition </w:t>
      </w:r>
      <w:r w:rsidR="00BE3E3E">
        <w:rPr>
          <w:rFonts w:ascii="Times New Roman" w:hAnsi="Times New Roman" w:cs="Times New Roman"/>
        </w:rPr>
        <w:t>is</w:t>
      </w:r>
      <w:r w:rsidR="008B2CEB">
        <w:rPr>
          <w:rFonts w:ascii="Times New Roman" w:hAnsi="Times New Roman" w:cs="Times New Roman"/>
        </w:rPr>
        <w:t xml:space="preserve"> vital </w:t>
      </w:r>
      <w:r w:rsidR="00BE3E3E">
        <w:rPr>
          <w:rFonts w:ascii="Times New Roman" w:hAnsi="Times New Roman" w:cs="Times New Roman"/>
        </w:rPr>
        <w:t>for</w:t>
      </w:r>
      <w:r w:rsidR="008B2CEB">
        <w:rPr>
          <w:rFonts w:ascii="Times New Roman" w:hAnsi="Times New Roman" w:cs="Times New Roman"/>
        </w:rPr>
        <w:t xml:space="preserve"> the trajectory and stability of household relative income,</w:t>
      </w:r>
      <w:r w:rsidR="004C18A8">
        <w:rPr>
          <w:rFonts w:ascii="Times New Roman" w:hAnsi="Times New Roman" w:cs="Times New Roman"/>
        </w:rPr>
        <w:t xml:space="preserve"> its </w:t>
      </w:r>
      <w:r w:rsidR="00B56B8D">
        <w:rPr>
          <w:rFonts w:ascii="Times New Roman" w:hAnsi="Times New Roman" w:cs="Times New Roman"/>
        </w:rPr>
        <w:t xml:space="preserve">potentially asymmetric </w:t>
      </w:r>
      <w:r w:rsidR="00BE3E3E">
        <w:rPr>
          <w:rFonts w:ascii="Times New Roman" w:hAnsi="Times New Roman" w:cs="Times New Roman"/>
        </w:rPr>
        <w:t xml:space="preserve">impact across </w:t>
      </w:r>
      <w:r w:rsidR="00B56B8D">
        <w:rPr>
          <w:rFonts w:ascii="Times New Roman" w:hAnsi="Times New Roman" w:cs="Times New Roman"/>
        </w:rPr>
        <w:t xml:space="preserve">different </w:t>
      </w:r>
      <w:r w:rsidR="00BE3E3E">
        <w:rPr>
          <w:rFonts w:ascii="Times New Roman" w:hAnsi="Times New Roman" w:cs="Times New Roman"/>
        </w:rPr>
        <w:t>households</w:t>
      </w:r>
      <w:r w:rsidR="008B2CEB">
        <w:rPr>
          <w:rFonts w:ascii="Times New Roman" w:hAnsi="Times New Roman" w:cs="Times New Roman"/>
        </w:rPr>
        <w:t xml:space="preserve"> is not yet fully understood in the literature</w:t>
      </w:r>
      <w:r w:rsidR="00BE3E3E">
        <w:rPr>
          <w:rFonts w:ascii="Times New Roman" w:hAnsi="Times New Roman" w:cs="Times New Roman"/>
        </w:rPr>
        <w:t>.</w:t>
      </w:r>
    </w:p>
    <w:p w14:paraId="1DF3B906" w14:textId="0D9EAD77" w:rsidR="00C22880" w:rsidRDefault="008D4F54" w:rsidP="00CB2341">
      <w:pPr>
        <w:ind w:firstLine="720"/>
        <w:rPr>
          <w:rFonts w:ascii="Times New Roman" w:hAnsi="Times New Roman" w:cs="Times New Roman"/>
        </w:rPr>
      </w:pPr>
      <w:r>
        <w:rPr>
          <w:rFonts w:ascii="Times New Roman" w:hAnsi="Times New Roman" w:cs="Times New Roman"/>
        </w:rPr>
        <w:t>The analysis in this paper is conducted with the caveat that t</w:t>
      </w:r>
      <w:r w:rsidR="00CB2341">
        <w:rPr>
          <w:rFonts w:ascii="Times New Roman" w:hAnsi="Times New Roman" w:cs="Times New Roman"/>
        </w:rPr>
        <w:t>here is no</w:t>
      </w:r>
      <w:r w:rsidR="00CB2341" w:rsidRPr="00C83CA2">
        <w:rPr>
          <w:rFonts w:ascii="Times New Roman" w:hAnsi="Times New Roman" w:cs="Times New Roman"/>
        </w:rPr>
        <w:t xml:space="preserve"> clear stochastic relationship between balance s</w:t>
      </w:r>
      <w:r w:rsidR="00CB2341">
        <w:rPr>
          <w:rFonts w:ascii="Times New Roman" w:hAnsi="Times New Roman" w:cs="Times New Roman"/>
        </w:rPr>
        <w:t>heet composition and relative income. I</w:t>
      </w:r>
      <w:r w:rsidR="00CB2341" w:rsidRPr="00DE67D8">
        <w:rPr>
          <w:rFonts w:ascii="Times New Roman" w:hAnsi="Times New Roman" w:cs="Times New Roman"/>
        </w:rPr>
        <w:t>ssues of mutual c</w:t>
      </w:r>
      <w:r w:rsidR="00CB2341">
        <w:rPr>
          <w:rFonts w:ascii="Times New Roman" w:hAnsi="Times New Roman" w:cs="Times New Roman"/>
        </w:rPr>
        <w:t xml:space="preserve">ausality in the relationship between income and wealth are highlighted by </w:t>
      </w:r>
      <w:r w:rsidR="00CB2341" w:rsidRPr="00DE67D8">
        <w:rPr>
          <w:rFonts w:ascii="Times New Roman" w:hAnsi="Times New Roman" w:cs="Times New Roman"/>
        </w:rPr>
        <w:t>Pik</w:t>
      </w:r>
      <w:r w:rsidR="00CB2341">
        <w:rPr>
          <w:rFonts w:ascii="Times New Roman" w:hAnsi="Times New Roman" w:cs="Times New Roman"/>
        </w:rPr>
        <w:t>etty (2014) and the subsequent criticism by</w:t>
      </w:r>
      <w:r w:rsidR="00CB2341" w:rsidRPr="00DE67D8">
        <w:rPr>
          <w:rFonts w:ascii="Times New Roman" w:hAnsi="Times New Roman" w:cs="Times New Roman"/>
        </w:rPr>
        <w:t xml:space="preserve"> Naidu (2017). According to Piketty, faster growth rate of the returns to wealth compared to income leads to a rise in the wealth-to-income ratio. This rise causes the capital share and thus inequality to expand under the assumption of a constant rate of return on investment. Naidu (2017) argues that an opposite dynamic is at work because assets are not valued by the amount of savings used for their purchase (as implied by Piketty), but by the future flow of income associated with asset ownership. Higher capital share of income would thus increase wealth (rather than the other way around) due to rising asset values.</w:t>
      </w:r>
      <w:r w:rsidR="00CB2341" w:rsidRPr="00C83CA2">
        <w:rPr>
          <w:rFonts w:ascii="Times New Roman" w:hAnsi="Times New Roman" w:cs="Times New Roman"/>
        </w:rPr>
        <w:t xml:space="preserve"> </w:t>
      </w:r>
      <w:r w:rsidR="00CB2341">
        <w:rPr>
          <w:rFonts w:ascii="Times New Roman" w:hAnsi="Times New Roman" w:cs="Times New Roman"/>
        </w:rPr>
        <w:t>In this context, the analysis in this paper does not aim to establish any causal relationships as the available data on household finances cannot reconcile the above causality debates. Moreover, b</w:t>
      </w:r>
      <w:r w:rsidR="00CB2341" w:rsidRPr="00CB2341">
        <w:rPr>
          <w:rFonts w:ascii="Times New Roman" w:hAnsi="Times New Roman" w:cs="Times New Roman"/>
        </w:rPr>
        <w:t>ecause the data is of low frequency and collects information on households</w:t>
      </w:r>
      <w:r w:rsidR="00CB2341">
        <w:rPr>
          <w:rFonts w:ascii="Times New Roman" w:hAnsi="Times New Roman" w:cs="Times New Roman"/>
        </w:rPr>
        <w:t>’</w:t>
      </w:r>
      <w:r w:rsidR="00CB2341" w:rsidRPr="00CB2341">
        <w:rPr>
          <w:rFonts w:ascii="Times New Roman" w:hAnsi="Times New Roman" w:cs="Times New Roman"/>
        </w:rPr>
        <w:t xml:space="preserve"> financial situation in isolation from the structural factors in the economy which may </w:t>
      </w:r>
      <w:r w:rsidR="007D557D">
        <w:rPr>
          <w:rFonts w:ascii="Times New Roman" w:hAnsi="Times New Roman" w:cs="Times New Roman"/>
        </w:rPr>
        <w:t>be at play</w:t>
      </w:r>
      <w:r w:rsidR="00CB2341" w:rsidRPr="00CB2341">
        <w:rPr>
          <w:rFonts w:ascii="Times New Roman" w:hAnsi="Times New Roman" w:cs="Times New Roman"/>
        </w:rPr>
        <w:t>, it is difficult to determine the precise independent effects of balance sheet composition on relative income</w:t>
      </w:r>
      <w:r w:rsidR="00CB2341">
        <w:rPr>
          <w:rFonts w:ascii="Times New Roman" w:hAnsi="Times New Roman" w:cs="Times New Roman"/>
        </w:rPr>
        <w:t xml:space="preserve">. Instead, the paper investigates </w:t>
      </w:r>
      <w:r w:rsidR="00C53213">
        <w:rPr>
          <w:rFonts w:ascii="Times New Roman" w:hAnsi="Times New Roman" w:cs="Times New Roman"/>
        </w:rPr>
        <w:t xml:space="preserve">differences in </w:t>
      </w:r>
      <w:r w:rsidR="00707B0A">
        <w:rPr>
          <w:rFonts w:ascii="Times New Roman" w:hAnsi="Times New Roman" w:cs="Times New Roman"/>
        </w:rPr>
        <w:t xml:space="preserve">the observed </w:t>
      </w:r>
      <w:r w:rsidR="00CB2341">
        <w:rPr>
          <w:rFonts w:ascii="Times New Roman" w:hAnsi="Times New Roman" w:cs="Times New Roman"/>
        </w:rPr>
        <w:t xml:space="preserve">empirical regularities between wealth composition and </w:t>
      </w:r>
      <w:r w:rsidR="00610F2E">
        <w:rPr>
          <w:rFonts w:ascii="Times New Roman" w:hAnsi="Times New Roman" w:cs="Times New Roman"/>
        </w:rPr>
        <w:t xml:space="preserve">relative </w:t>
      </w:r>
      <w:r w:rsidR="00CB2341">
        <w:rPr>
          <w:rFonts w:ascii="Times New Roman" w:hAnsi="Times New Roman" w:cs="Times New Roman"/>
        </w:rPr>
        <w:t>position in the income distribution across different households</w:t>
      </w:r>
      <w:r w:rsidR="00C53213">
        <w:rPr>
          <w:rFonts w:ascii="Times New Roman" w:hAnsi="Times New Roman" w:cs="Times New Roman"/>
        </w:rPr>
        <w:t>.</w:t>
      </w:r>
    </w:p>
    <w:p w14:paraId="2461439C" w14:textId="545C6159" w:rsidR="002C20CA" w:rsidRDefault="0045544B" w:rsidP="00A9244E">
      <w:pPr>
        <w:rPr>
          <w:rFonts w:ascii="Times New Roman" w:hAnsi="Times New Roman" w:cs="Times New Roman"/>
        </w:rPr>
      </w:pPr>
      <w:r>
        <w:rPr>
          <w:rFonts w:ascii="Times New Roman" w:hAnsi="Times New Roman" w:cs="Times New Roman"/>
        </w:rPr>
        <w:t>The paper is structured as follows. Section 2 describes</w:t>
      </w:r>
      <w:r w:rsidR="00F06B73">
        <w:rPr>
          <w:rFonts w:ascii="Times New Roman" w:hAnsi="Times New Roman" w:cs="Times New Roman"/>
        </w:rPr>
        <w:t xml:space="preserve"> the</w:t>
      </w:r>
      <w:r>
        <w:rPr>
          <w:rFonts w:ascii="Times New Roman" w:hAnsi="Times New Roman" w:cs="Times New Roman"/>
        </w:rPr>
        <w:t xml:space="preserve"> method of the empirical analysis in this paper, describing the chosen </w:t>
      </w:r>
      <w:r w:rsidR="00F06B73">
        <w:rPr>
          <w:rFonts w:ascii="Times New Roman" w:hAnsi="Times New Roman" w:cs="Times New Roman"/>
        </w:rPr>
        <w:t xml:space="preserve">estimation method and </w:t>
      </w:r>
      <w:r>
        <w:rPr>
          <w:rFonts w:ascii="Times New Roman" w:hAnsi="Times New Roman" w:cs="Times New Roman"/>
        </w:rPr>
        <w:t>specification. Section</w:t>
      </w:r>
      <w:r w:rsidR="009F4415">
        <w:rPr>
          <w:rFonts w:ascii="Times New Roman" w:hAnsi="Times New Roman" w:cs="Times New Roman"/>
        </w:rPr>
        <w:t xml:space="preserve"> 3</w:t>
      </w:r>
      <w:r>
        <w:rPr>
          <w:rFonts w:ascii="Times New Roman" w:hAnsi="Times New Roman" w:cs="Times New Roman"/>
        </w:rPr>
        <w:t xml:space="preserve"> </w:t>
      </w:r>
      <w:r w:rsidR="004C18A8">
        <w:rPr>
          <w:rFonts w:ascii="Times New Roman" w:hAnsi="Times New Roman" w:cs="Times New Roman"/>
        </w:rPr>
        <w:t>presents,</w:t>
      </w:r>
      <w:r>
        <w:rPr>
          <w:rFonts w:ascii="Times New Roman" w:hAnsi="Times New Roman" w:cs="Times New Roman"/>
        </w:rPr>
        <w:t xml:space="preserve"> and </w:t>
      </w:r>
      <w:r w:rsidR="009F4415">
        <w:rPr>
          <w:rFonts w:ascii="Times New Roman" w:hAnsi="Times New Roman" w:cs="Times New Roman"/>
        </w:rPr>
        <w:t xml:space="preserve">Section 4 </w:t>
      </w:r>
      <w:r>
        <w:rPr>
          <w:rFonts w:ascii="Times New Roman" w:hAnsi="Times New Roman" w:cs="Times New Roman"/>
        </w:rPr>
        <w:t xml:space="preserve">discusses results of the </w:t>
      </w:r>
      <w:r w:rsidR="008D4064">
        <w:rPr>
          <w:rFonts w:ascii="Times New Roman" w:hAnsi="Times New Roman" w:cs="Times New Roman"/>
        </w:rPr>
        <w:t>non-parametric median slope analysis</w:t>
      </w:r>
      <w:r>
        <w:rPr>
          <w:rFonts w:ascii="Times New Roman" w:hAnsi="Times New Roman" w:cs="Times New Roman"/>
        </w:rPr>
        <w:t>, looking in detail at</w:t>
      </w:r>
      <w:r w:rsidR="00C935CB">
        <w:rPr>
          <w:rFonts w:ascii="Times New Roman" w:hAnsi="Times New Roman" w:cs="Times New Roman"/>
        </w:rPr>
        <w:t xml:space="preserve"> the evolution of the estimated effects over time</w:t>
      </w:r>
      <w:r>
        <w:rPr>
          <w:rFonts w:ascii="Times New Roman" w:hAnsi="Times New Roman" w:cs="Times New Roman"/>
        </w:rPr>
        <w:t xml:space="preserve"> </w:t>
      </w:r>
      <w:r w:rsidR="00C935CB">
        <w:rPr>
          <w:rFonts w:ascii="Times New Roman" w:hAnsi="Times New Roman" w:cs="Times New Roman"/>
        </w:rPr>
        <w:t>in the course of financial deregulation and innovation</w:t>
      </w:r>
      <w:r w:rsidR="00F06B73">
        <w:rPr>
          <w:rFonts w:ascii="Times New Roman" w:hAnsi="Times New Roman" w:cs="Times New Roman"/>
        </w:rPr>
        <w:t xml:space="preserve">, </w:t>
      </w:r>
      <w:r w:rsidR="00F06B73">
        <w:rPr>
          <w:rFonts w:ascii="Times New Roman" w:hAnsi="Times New Roman" w:cs="Times New Roman"/>
        </w:rPr>
        <w:lastRenderedPageBreak/>
        <w:t>and</w:t>
      </w:r>
      <w:r w:rsidR="00C935CB">
        <w:rPr>
          <w:rFonts w:ascii="Times New Roman" w:hAnsi="Times New Roman" w:cs="Times New Roman"/>
        </w:rPr>
        <w:t xml:space="preserve"> examin</w:t>
      </w:r>
      <w:r w:rsidR="00F06B73">
        <w:rPr>
          <w:rFonts w:ascii="Times New Roman" w:hAnsi="Times New Roman" w:cs="Times New Roman"/>
        </w:rPr>
        <w:t>ing</w:t>
      </w:r>
      <w:r w:rsidR="00C935CB">
        <w:rPr>
          <w:rFonts w:ascii="Times New Roman" w:hAnsi="Times New Roman" w:cs="Times New Roman"/>
        </w:rPr>
        <w:t xml:space="preserve"> differences in the estimates across </w:t>
      </w:r>
      <w:r>
        <w:rPr>
          <w:rFonts w:ascii="Times New Roman" w:hAnsi="Times New Roman" w:cs="Times New Roman"/>
        </w:rPr>
        <w:t xml:space="preserve">the distribution of income and </w:t>
      </w:r>
      <w:r w:rsidR="00C935CB">
        <w:rPr>
          <w:rFonts w:ascii="Times New Roman" w:hAnsi="Times New Roman" w:cs="Times New Roman"/>
        </w:rPr>
        <w:t>between</w:t>
      </w:r>
      <w:r>
        <w:rPr>
          <w:rFonts w:ascii="Times New Roman" w:hAnsi="Times New Roman" w:cs="Times New Roman"/>
        </w:rPr>
        <w:t xml:space="preserve"> gender, racial, and intergenerational groups. Section </w:t>
      </w:r>
      <w:r w:rsidR="009F4415">
        <w:rPr>
          <w:rFonts w:ascii="Times New Roman" w:hAnsi="Times New Roman" w:cs="Times New Roman"/>
        </w:rPr>
        <w:t>5</w:t>
      </w:r>
      <w:r>
        <w:rPr>
          <w:rFonts w:ascii="Times New Roman" w:hAnsi="Times New Roman" w:cs="Times New Roman"/>
        </w:rPr>
        <w:t xml:space="preserve"> concludes.</w:t>
      </w:r>
    </w:p>
    <w:p w14:paraId="2432183A" w14:textId="459231BA" w:rsidR="0045544B" w:rsidRDefault="0045544B" w:rsidP="00FE6340">
      <w:pPr>
        <w:pStyle w:val="MyHeading1C"/>
        <w:numPr>
          <w:ilvl w:val="0"/>
          <w:numId w:val="2"/>
        </w:numPr>
        <w:spacing w:before="200"/>
        <w:ind w:left="425" w:hanging="357"/>
      </w:pPr>
      <w:r>
        <w:t>Method</w:t>
      </w:r>
    </w:p>
    <w:p w14:paraId="1407CED4" w14:textId="2888B8E9" w:rsidR="00DE67D8" w:rsidRDefault="00C83CA2" w:rsidP="00C83CA2">
      <w:pPr>
        <w:ind w:firstLine="0"/>
        <w:rPr>
          <w:rFonts w:ascii="Times New Roman" w:hAnsi="Times New Roman" w:cs="Times New Roman"/>
        </w:rPr>
      </w:pPr>
      <w:r w:rsidRPr="00C83CA2">
        <w:rPr>
          <w:rFonts w:ascii="Times New Roman" w:hAnsi="Times New Roman" w:cs="Times New Roman"/>
        </w:rPr>
        <w:t xml:space="preserve">To </w:t>
      </w:r>
      <w:r w:rsidR="004E07A6">
        <w:rPr>
          <w:rFonts w:ascii="Times New Roman" w:hAnsi="Times New Roman" w:cs="Times New Roman"/>
        </w:rPr>
        <w:t>evaluate</w:t>
      </w:r>
      <w:r w:rsidR="004E07A6" w:rsidRPr="00C83CA2">
        <w:rPr>
          <w:rFonts w:ascii="Times New Roman" w:hAnsi="Times New Roman" w:cs="Times New Roman"/>
        </w:rPr>
        <w:t xml:space="preserve"> </w:t>
      </w:r>
      <w:r w:rsidR="004E07A6">
        <w:rPr>
          <w:rFonts w:ascii="Times New Roman" w:hAnsi="Times New Roman" w:cs="Times New Roman"/>
        </w:rPr>
        <w:t xml:space="preserve">empirically </w:t>
      </w:r>
      <w:r w:rsidRPr="00C83CA2">
        <w:rPr>
          <w:rFonts w:ascii="Times New Roman" w:hAnsi="Times New Roman" w:cs="Times New Roman"/>
        </w:rPr>
        <w:t>the relationship between household balance sheet composition and position in the income distribution</w:t>
      </w:r>
      <w:r w:rsidR="00595A12">
        <w:rPr>
          <w:rFonts w:ascii="Times New Roman" w:hAnsi="Times New Roman" w:cs="Times New Roman"/>
        </w:rPr>
        <w:t>,</w:t>
      </w:r>
      <w:r w:rsidRPr="00C83CA2">
        <w:rPr>
          <w:rFonts w:ascii="Times New Roman" w:hAnsi="Times New Roman" w:cs="Times New Roman"/>
        </w:rPr>
        <w:t xml:space="preserve"> </w:t>
      </w:r>
      <w:r w:rsidR="009D2ACB">
        <w:rPr>
          <w:rFonts w:ascii="Times New Roman" w:hAnsi="Times New Roman" w:cs="Times New Roman"/>
        </w:rPr>
        <w:t>non-parametric</w:t>
      </w:r>
      <w:r w:rsidRPr="00C83CA2">
        <w:rPr>
          <w:rFonts w:ascii="Times New Roman" w:hAnsi="Times New Roman" w:cs="Times New Roman"/>
        </w:rPr>
        <w:t xml:space="preserve"> analysis is employed</w:t>
      </w:r>
      <w:r w:rsidR="00595A12">
        <w:rPr>
          <w:rFonts w:ascii="Times New Roman" w:hAnsi="Times New Roman" w:cs="Times New Roman"/>
        </w:rPr>
        <w:t xml:space="preserve"> on the U.S. Survey of Consumer Finances (SCF)</w:t>
      </w:r>
      <w:r w:rsidRPr="00C83CA2">
        <w:rPr>
          <w:rFonts w:ascii="Times New Roman" w:hAnsi="Times New Roman" w:cs="Times New Roman"/>
        </w:rPr>
        <w:t xml:space="preserve">. </w:t>
      </w:r>
      <w:r w:rsidR="00D7304E">
        <w:rPr>
          <w:rFonts w:ascii="Times New Roman" w:hAnsi="Times New Roman" w:cs="Times New Roman"/>
        </w:rPr>
        <w:t>A</w:t>
      </w:r>
      <w:r w:rsidRPr="00C83CA2">
        <w:rPr>
          <w:rFonts w:ascii="Times New Roman" w:hAnsi="Times New Roman" w:cs="Times New Roman"/>
        </w:rPr>
        <w:t xml:space="preserve"> </w:t>
      </w:r>
      <w:r w:rsidR="009D2ACB">
        <w:rPr>
          <w:rFonts w:ascii="Times New Roman" w:hAnsi="Times New Roman" w:cs="Times New Roman"/>
        </w:rPr>
        <w:t xml:space="preserve">Theil-Sen median slope of </w:t>
      </w:r>
      <w:r w:rsidRPr="00C83CA2">
        <w:rPr>
          <w:rFonts w:ascii="Times New Roman" w:hAnsi="Times New Roman" w:cs="Times New Roman"/>
        </w:rPr>
        <w:t xml:space="preserve">relative </w:t>
      </w:r>
      <w:r w:rsidR="00FD6C63">
        <w:rPr>
          <w:rFonts w:ascii="Times New Roman" w:hAnsi="Times New Roman" w:cs="Times New Roman"/>
        </w:rPr>
        <w:t>income</w:t>
      </w:r>
      <w:r w:rsidR="00D7304E">
        <w:rPr>
          <w:rFonts w:ascii="Times New Roman" w:hAnsi="Times New Roman" w:cs="Times New Roman"/>
        </w:rPr>
        <w:t xml:space="preserve"> is estimated</w:t>
      </w:r>
      <w:r w:rsidR="00A90617">
        <w:rPr>
          <w:rFonts w:ascii="Times New Roman" w:hAnsi="Times New Roman" w:cs="Times New Roman"/>
        </w:rPr>
        <w:t xml:space="preserve">, </w:t>
      </w:r>
      <w:r w:rsidRPr="00C83CA2">
        <w:rPr>
          <w:rFonts w:ascii="Times New Roman" w:hAnsi="Times New Roman" w:cs="Times New Roman"/>
        </w:rPr>
        <w:t>defined as the ratio of household income to the median</w:t>
      </w:r>
      <w:r w:rsidR="00FD6C63">
        <w:rPr>
          <w:rFonts w:ascii="Times New Roman" w:hAnsi="Times New Roman" w:cs="Times New Roman"/>
        </w:rPr>
        <w:t xml:space="preserve"> </w:t>
      </w:r>
      <w:r w:rsidRPr="00C83CA2">
        <w:rPr>
          <w:rFonts w:ascii="Times New Roman" w:hAnsi="Times New Roman" w:cs="Times New Roman"/>
        </w:rPr>
        <w:t xml:space="preserve">income in each wave, </w:t>
      </w:r>
      <w:r w:rsidR="009D2ACB">
        <w:rPr>
          <w:rFonts w:ascii="Times New Roman" w:hAnsi="Times New Roman" w:cs="Times New Roman"/>
        </w:rPr>
        <w:t>against</w:t>
      </w:r>
      <w:r w:rsidRPr="00C83CA2">
        <w:rPr>
          <w:rFonts w:ascii="Times New Roman" w:hAnsi="Times New Roman" w:cs="Times New Roman"/>
        </w:rPr>
        <w:t xml:space="preserve"> variables measuring the composition of asset and portfolio holdings. </w:t>
      </w:r>
    </w:p>
    <w:p w14:paraId="32EBDF20" w14:textId="4F5C2764" w:rsidR="0081441F" w:rsidRPr="006E4364" w:rsidRDefault="00B26780" w:rsidP="0081441F">
      <w:pPr>
        <w:pStyle w:val="MyHeading2"/>
        <w:spacing w:before="0"/>
        <w:rPr>
          <w:sz w:val="23"/>
          <w:szCs w:val="23"/>
        </w:rPr>
      </w:pPr>
      <w:r w:rsidRPr="006E4364">
        <w:rPr>
          <w:sz w:val="23"/>
          <w:szCs w:val="23"/>
        </w:rPr>
        <w:t xml:space="preserve">2.1. </w:t>
      </w:r>
      <w:r w:rsidR="00621F29">
        <w:rPr>
          <w:sz w:val="23"/>
          <w:szCs w:val="23"/>
        </w:rPr>
        <w:t>Estimation method</w:t>
      </w:r>
    </w:p>
    <w:p w14:paraId="5C3F0102" w14:textId="507FD0E2" w:rsidR="00595A12" w:rsidRPr="00211553" w:rsidRDefault="00595A12" w:rsidP="00595A12">
      <w:pPr>
        <w:ind w:firstLine="0"/>
        <w:rPr>
          <w:rFonts w:ascii="Times New Roman" w:hAnsi="Times New Roman" w:cs="Times New Roman"/>
        </w:rPr>
      </w:pPr>
      <w:r>
        <w:rPr>
          <w:rFonts w:ascii="Times New Roman" w:hAnsi="Times New Roman" w:cs="Times New Roman"/>
        </w:rPr>
        <w:t xml:space="preserve">The Theil-Sen median slope </w:t>
      </w:r>
      <w:r w:rsidRPr="00E92972">
        <w:rPr>
          <w:rFonts w:ascii="Times New Roman" w:hAnsi="Times New Roman" w:cs="Times New Roman"/>
        </w:rPr>
        <w:t xml:space="preserve">is </w:t>
      </w:r>
      <w:r>
        <w:rPr>
          <w:rFonts w:ascii="Times New Roman" w:hAnsi="Times New Roman" w:cs="Times New Roman"/>
        </w:rPr>
        <w:t xml:space="preserve">defined as </w:t>
      </w:r>
      <w:r w:rsidRPr="00E92972">
        <w:rPr>
          <w:rFonts w:ascii="Times New Roman" w:hAnsi="Times New Roman" w:cs="Times New Roman"/>
        </w:rPr>
        <w:t xml:space="preserve">the median of all slopes </w:t>
      </w:r>
      <w:r>
        <w:rPr>
          <w:rFonts w:ascii="Times New Roman" w:hAnsi="Times New Roman" w:cs="Times New Roman"/>
        </w:rPr>
        <w:t xml:space="preserve">calculated </w:t>
      </w:r>
      <w:r w:rsidRPr="00E92972">
        <w:rPr>
          <w:rFonts w:ascii="Times New Roman" w:hAnsi="Times New Roman" w:cs="Times New Roman"/>
        </w:rPr>
        <w:t>between each</w:t>
      </w:r>
      <w:r>
        <w:rPr>
          <w:rFonts w:ascii="Times New Roman" w:hAnsi="Times New Roman" w:cs="Times New Roman"/>
        </w:rPr>
        <w:t xml:space="preserve"> </w:t>
      </w:r>
      <w:r w:rsidR="007F4402">
        <w:rPr>
          <w:rFonts w:ascii="Times New Roman" w:hAnsi="Times New Roman" w:cs="Times New Roman"/>
        </w:rPr>
        <w:t>pair</w:t>
      </w:r>
      <w:r>
        <w:rPr>
          <w:rFonts w:ascii="Times New Roman" w:hAnsi="Times New Roman" w:cs="Times New Roman"/>
        </w:rPr>
        <w:t xml:space="preserve"> of</w:t>
      </w:r>
      <w:r w:rsidRPr="00E92972">
        <w:rPr>
          <w:rFonts w:ascii="Times New Roman" w:hAnsi="Times New Roman" w:cs="Times New Roman"/>
        </w:rPr>
        <w:t xml:space="preserve"> </w:t>
      </w:r>
      <w:proofErr w:type="spellStart"/>
      <w:r w:rsidRPr="00E92972">
        <w:rPr>
          <w:rFonts w:ascii="Times New Roman" w:hAnsi="Times New Roman" w:cs="Times New Roman"/>
        </w:rPr>
        <w:t>datapoint</w:t>
      </w:r>
      <w:r>
        <w:rPr>
          <w:rFonts w:ascii="Times New Roman" w:hAnsi="Times New Roman" w:cs="Times New Roman"/>
        </w:rPr>
        <w:t>s</w:t>
      </w:r>
      <w:proofErr w:type="spellEnd"/>
      <w:r w:rsidRPr="00E92972">
        <w:rPr>
          <w:rFonts w:ascii="Times New Roman" w:hAnsi="Times New Roman" w:cs="Times New Roman"/>
        </w:rPr>
        <w:t xml:space="preserve"> of </w:t>
      </w:r>
      <w:r>
        <w:rPr>
          <w:rFonts w:ascii="Times New Roman" w:hAnsi="Times New Roman" w:cs="Times New Roman"/>
        </w:rPr>
        <w:t>any</w:t>
      </w:r>
      <w:r w:rsidRPr="00E92972">
        <w:rPr>
          <w:rFonts w:ascii="Times New Roman" w:hAnsi="Times New Roman" w:cs="Times New Roman"/>
        </w:rPr>
        <w:t xml:space="preserve"> two variables</w:t>
      </w:r>
      <w:r>
        <w:rPr>
          <w:rStyle w:val="FootnoteReference"/>
        </w:rPr>
        <w:footnoteReference w:id="2"/>
      </w:r>
      <w:r>
        <w:rPr>
          <w:rFonts w:ascii="Times New Roman" w:hAnsi="Times New Roman" w:cs="Times New Roman"/>
        </w:rPr>
        <w:t xml:space="preserve"> </w:t>
      </w:r>
      <w:r w:rsidRPr="00E92972">
        <w:rPr>
          <w:rFonts w:ascii="Times New Roman" w:hAnsi="Times New Roman" w:cs="Times New Roman"/>
        </w:rPr>
        <w:t>(Theil 1950; Sen 1968)</w:t>
      </w:r>
      <w:r>
        <w:rPr>
          <w:rFonts w:ascii="Times New Roman" w:hAnsi="Times New Roman" w:cs="Times New Roman"/>
        </w:rPr>
        <w:t>.</w:t>
      </w:r>
      <w:r w:rsidRPr="00E92972">
        <w:rPr>
          <w:rFonts w:ascii="Times New Roman" w:hAnsi="Times New Roman" w:cs="Times New Roman"/>
        </w:rPr>
        <w:t xml:space="preserve"> </w:t>
      </w:r>
      <w:r>
        <w:rPr>
          <w:rFonts w:ascii="Times New Roman" w:hAnsi="Times New Roman" w:cs="Times New Roman"/>
        </w:rPr>
        <w:t>Its interpretation is similar to the regression coefficient as the</w:t>
      </w:r>
      <w:r w:rsidRPr="00E92972">
        <w:rPr>
          <w:rFonts w:ascii="Times New Roman" w:hAnsi="Times New Roman" w:cs="Times New Roman"/>
        </w:rPr>
        <w:t xml:space="preserve"> unit change in the outcome variable given a unit incr</w:t>
      </w:r>
      <w:r>
        <w:rPr>
          <w:rFonts w:ascii="Times New Roman" w:hAnsi="Times New Roman" w:cs="Times New Roman"/>
        </w:rPr>
        <w:t>ement in the predictor variable</w:t>
      </w:r>
      <w:r w:rsidRPr="00E92972">
        <w:rPr>
          <w:rFonts w:ascii="Times New Roman" w:hAnsi="Times New Roman" w:cs="Times New Roman"/>
        </w:rPr>
        <w:t xml:space="preserve">. The difference between non-parametric and regression-based slope is that the non-parametric </w:t>
      </w:r>
      <w:r>
        <w:rPr>
          <w:rFonts w:ascii="Times New Roman" w:hAnsi="Times New Roman" w:cs="Times New Roman"/>
        </w:rPr>
        <w:t>gradient</w:t>
      </w:r>
      <w:r w:rsidRPr="00E92972">
        <w:rPr>
          <w:rFonts w:ascii="Times New Roman" w:hAnsi="Times New Roman" w:cs="Times New Roman"/>
        </w:rPr>
        <w:t xml:space="preserve"> is based on </w:t>
      </w:r>
      <w:r>
        <w:rPr>
          <w:rFonts w:ascii="Times New Roman" w:hAnsi="Times New Roman" w:cs="Times New Roman"/>
        </w:rPr>
        <w:t xml:space="preserve">the </w:t>
      </w:r>
      <w:r w:rsidRPr="00E92972">
        <w:rPr>
          <w:rFonts w:ascii="Times New Roman" w:hAnsi="Times New Roman" w:cs="Times New Roman"/>
        </w:rPr>
        <w:t xml:space="preserve">calculation of a rank parameter rather than </w:t>
      </w:r>
      <w:r>
        <w:rPr>
          <w:rFonts w:ascii="Times New Roman" w:hAnsi="Times New Roman" w:cs="Times New Roman"/>
        </w:rPr>
        <w:t xml:space="preserve">the </w:t>
      </w:r>
      <w:r w:rsidRPr="00E92972">
        <w:rPr>
          <w:rFonts w:ascii="Times New Roman" w:hAnsi="Times New Roman" w:cs="Times New Roman"/>
        </w:rPr>
        <w:t xml:space="preserve">conditional </w:t>
      </w:r>
      <w:r>
        <w:rPr>
          <w:rFonts w:ascii="Times New Roman" w:hAnsi="Times New Roman" w:cs="Times New Roman"/>
        </w:rPr>
        <w:t>distribution estimation</w:t>
      </w:r>
      <w:r w:rsidR="00954B7C">
        <w:rPr>
          <w:rFonts w:ascii="Times New Roman" w:hAnsi="Times New Roman" w:cs="Times New Roman"/>
        </w:rPr>
        <w:t>, and</w:t>
      </w:r>
      <w:r w:rsidR="00CF1153">
        <w:rPr>
          <w:rFonts w:ascii="Times New Roman" w:hAnsi="Times New Roman" w:cs="Times New Roman"/>
        </w:rPr>
        <w:t>,</w:t>
      </w:r>
      <w:r w:rsidR="00954B7C">
        <w:rPr>
          <w:rFonts w:ascii="Times New Roman" w:hAnsi="Times New Roman" w:cs="Times New Roman"/>
        </w:rPr>
        <w:t xml:space="preserve"> as such</w:t>
      </w:r>
      <w:r w:rsidR="00CF1153">
        <w:rPr>
          <w:rFonts w:ascii="Times New Roman" w:hAnsi="Times New Roman" w:cs="Times New Roman"/>
        </w:rPr>
        <w:t>,</w:t>
      </w:r>
      <w:r w:rsidR="00954B7C">
        <w:rPr>
          <w:rFonts w:ascii="Times New Roman" w:hAnsi="Times New Roman" w:cs="Times New Roman"/>
        </w:rPr>
        <w:t xml:space="preserve"> does not require assumptions about the distribution of the error term (</w:t>
      </w:r>
      <w:proofErr w:type="spellStart"/>
      <w:r w:rsidR="00954B7C">
        <w:rPr>
          <w:rFonts w:ascii="Times New Roman" w:hAnsi="Times New Roman" w:cs="Times New Roman"/>
        </w:rPr>
        <w:t>Granato</w:t>
      </w:r>
      <w:proofErr w:type="spellEnd"/>
      <w:r w:rsidR="00954B7C">
        <w:rPr>
          <w:rFonts w:ascii="Times New Roman" w:hAnsi="Times New Roman" w:cs="Times New Roman"/>
        </w:rPr>
        <w:t xml:space="preserve"> 2006)</w:t>
      </w:r>
      <w:r w:rsidRPr="00DC5AAD">
        <w:rPr>
          <w:rStyle w:val="FootnoteReference"/>
        </w:rPr>
        <w:footnoteReference w:id="3"/>
      </w:r>
      <w:r w:rsidRPr="00270731">
        <w:rPr>
          <w:rFonts w:ascii="Times New Roman" w:hAnsi="Times New Roman" w:cs="Times New Roman"/>
          <w:vertAlign w:val="superscript"/>
        </w:rPr>
        <w:t>,</w:t>
      </w:r>
      <w:r w:rsidRPr="00270731">
        <w:rPr>
          <w:rStyle w:val="FootnoteReference"/>
        </w:rPr>
        <w:footnoteReference w:id="4"/>
      </w:r>
      <w:r w:rsidRPr="00E92972">
        <w:rPr>
          <w:rFonts w:ascii="Times New Roman" w:hAnsi="Times New Roman" w:cs="Times New Roman"/>
        </w:rPr>
        <w:t xml:space="preserve">. </w:t>
      </w:r>
    </w:p>
    <w:p w14:paraId="46DA561A" w14:textId="2E5C26DA" w:rsidR="00FD6C63" w:rsidRDefault="00FD6C63" w:rsidP="00595A12">
      <w:pPr>
        <w:pStyle w:val="FootnoteText"/>
        <w:spacing w:after="120" w:line="360" w:lineRule="auto"/>
        <w:ind w:firstLine="720"/>
        <w:rPr>
          <w:sz w:val="23"/>
          <w:szCs w:val="23"/>
        </w:rPr>
      </w:pPr>
      <w:r w:rsidRPr="00FD6C63">
        <w:rPr>
          <w:sz w:val="23"/>
          <w:szCs w:val="23"/>
        </w:rPr>
        <w:t>Given the outcome variable Y, the predictor variable X, and a proportion q</w:t>
      </w:r>
      <w:proofErr w:type="gramStart"/>
      <w:r w:rsidRPr="00FD6C63">
        <w:rPr>
          <w:rFonts w:ascii="MS Mincho" w:eastAsia="MS Mincho" w:hAnsi="MS Mincho" w:cs="MS Mincho"/>
          <w:sz w:val="23"/>
          <w:szCs w:val="23"/>
        </w:rPr>
        <w:t>∈</w:t>
      </w:r>
      <w:r w:rsidRPr="00FD6C63">
        <w:rPr>
          <w:sz w:val="23"/>
          <w:szCs w:val="23"/>
        </w:rPr>
        <w:t>(</w:t>
      </w:r>
      <w:proofErr w:type="gramEnd"/>
      <w:r w:rsidRPr="00FD6C63">
        <w:rPr>
          <w:sz w:val="23"/>
          <w:szCs w:val="23"/>
        </w:rPr>
        <w:t>0,1)</w:t>
      </w:r>
      <w:r w:rsidR="00595A12">
        <w:rPr>
          <w:sz w:val="23"/>
          <w:szCs w:val="23"/>
        </w:rPr>
        <w:t>,</w:t>
      </w:r>
      <w:r w:rsidRPr="00FD6C63">
        <w:rPr>
          <w:sz w:val="23"/>
          <w:szCs w:val="23"/>
        </w:rPr>
        <w:t xml:space="preserve"> </w:t>
      </w:r>
      <w:r>
        <w:rPr>
          <w:sz w:val="23"/>
          <w:szCs w:val="23"/>
        </w:rPr>
        <w:t>t</w:t>
      </w:r>
      <w:r w:rsidRPr="00FD6C63">
        <w:rPr>
          <w:sz w:val="23"/>
          <w:szCs w:val="23"/>
        </w:rPr>
        <w:t xml:space="preserve">he Theil-Sen median slope is defined as </w:t>
      </w:r>
      <m:oMath>
        <m:r>
          <w:rPr>
            <w:rFonts w:ascii="Cambria Math" w:hAnsi="Cambria Math"/>
            <w:sz w:val="23"/>
            <w:szCs w:val="23"/>
          </w:rPr>
          <m:t>β</m:t>
        </m:r>
      </m:oMath>
      <w:r>
        <w:rPr>
          <w:sz w:val="23"/>
          <w:szCs w:val="23"/>
        </w:rPr>
        <w:t xml:space="preserve"> in Equation 1</w:t>
      </w:r>
      <w:r w:rsidR="00184C62">
        <w:rPr>
          <w:sz w:val="23"/>
          <w:szCs w:val="23"/>
        </w:rPr>
        <w:t>:</w:t>
      </w:r>
    </w:p>
    <w:p w14:paraId="1E390F02" w14:textId="12A5152F" w:rsidR="00FD6C63" w:rsidRDefault="00FD6C63" w:rsidP="00FD6C63">
      <w:pPr>
        <w:pStyle w:val="FootnoteText"/>
        <w:spacing w:after="120" w:line="360" w:lineRule="auto"/>
        <w:ind w:left="1418"/>
        <w:rPr>
          <w:sz w:val="23"/>
          <w:szCs w:val="23"/>
        </w:rPr>
      </w:pPr>
      <m:oMath>
        <m:r>
          <w:rPr>
            <w:rFonts w:ascii="Cambria Math" w:hAnsi="Cambria Math"/>
            <w:sz w:val="23"/>
            <w:szCs w:val="23"/>
          </w:rPr>
          <m:t>θ</m:t>
        </m:r>
        <m:d>
          <m:dPr>
            <m:ctrlPr>
              <w:rPr>
                <w:rFonts w:ascii="Cambria Math" w:hAnsi="Cambria Math"/>
                <w:i/>
                <w:sz w:val="23"/>
                <w:szCs w:val="23"/>
              </w:rPr>
            </m:ctrlPr>
          </m:dPr>
          <m:e>
            <m:r>
              <w:rPr>
                <w:rFonts w:ascii="Cambria Math" w:hAnsi="Cambria Math"/>
                <w:sz w:val="23"/>
                <w:szCs w:val="23"/>
              </w:rPr>
              <m:t>Y-βX,X</m:t>
            </m:r>
          </m:e>
        </m:d>
        <m:r>
          <w:rPr>
            <w:rFonts w:ascii="Cambria Math" w:hAnsi="Cambria Math"/>
            <w:sz w:val="23"/>
            <w:szCs w:val="23"/>
          </w:rPr>
          <m:t>=1-2q</m:t>
        </m:r>
      </m:oMath>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(1)</w:t>
      </w:r>
    </w:p>
    <w:p w14:paraId="0F9A8AA5" w14:textId="0569CA30" w:rsidR="00FD6C63" w:rsidRDefault="00184C62" w:rsidP="00FD6C63">
      <w:pPr>
        <w:pStyle w:val="FootnoteText"/>
        <w:spacing w:after="120" w:line="360" w:lineRule="auto"/>
        <w:rPr>
          <w:sz w:val="23"/>
          <w:szCs w:val="23"/>
        </w:rPr>
      </w:pPr>
      <w:r>
        <w:rPr>
          <w:sz w:val="23"/>
          <w:szCs w:val="23"/>
        </w:rPr>
        <w:t>w</w:t>
      </w:r>
      <w:r w:rsidR="00FD6C63" w:rsidRPr="00FD6C63">
        <w:rPr>
          <w:sz w:val="23"/>
          <w:szCs w:val="23"/>
        </w:rPr>
        <w:t xml:space="preserve">here </w:t>
      </w:r>
      <m:oMath>
        <m:r>
          <w:rPr>
            <w:rFonts w:ascii="Cambria Math" w:hAnsi="Cambria Math"/>
            <w:sz w:val="23"/>
            <w:szCs w:val="23"/>
          </w:rPr>
          <m:t>θ</m:t>
        </m:r>
      </m:oMath>
      <w:r w:rsidR="00FD6C63" w:rsidRPr="00FD6C63">
        <w:rPr>
          <w:sz w:val="23"/>
          <w:szCs w:val="23"/>
        </w:rPr>
        <w:t xml:space="preserve"> is a rank correlation coefficient Somers’ D (Somers 1962) and q=</w:t>
      </w:r>
      <w:proofErr w:type="gramStart"/>
      <w:r w:rsidR="00FD6C63" w:rsidRPr="00FD6C63">
        <w:rPr>
          <w:sz w:val="23"/>
          <w:szCs w:val="23"/>
        </w:rPr>
        <w:t>0.5.</w:t>
      </w:r>
      <w:proofErr w:type="gramEnd"/>
      <w:r w:rsidR="00FD6C63" w:rsidRPr="00FD6C63">
        <w:rPr>
          <w:sz w:val="23"/>
          <w:szCs w:val="23"/>
        </w:rPr>
        <w:t xml:space="preserve"> Given the definition of Somers’ D </w:t>
      </w:r>
      <w:r w:rsidR="00FD6C63" w:rsidRPr="00FD6C63">
        <w:rPr>
          <w:i/>
          <w:sz w:val="23"/>
          <w:szCs w:val="23"/>
        </w:rPr>
        <w:t>D(Y|X)</w:t>
      </w:r>
      <w:r w:rsidR="00FD6C63" w:rsidRPr="00FD6C63">
        <w:rPr>
          <w:sz w:val="23"/>
          <w:szCs w:val="23"/>
        </w:rPr>
        <w:t>, the Theil-Sen median slope satisfies the following property</w:t>
      </w:r>
      <w:r w:rsidR="00AF0259">
        <w:rPr>
          <w:sz w:val="23"/>
          <w:szCs w:val="23"/>
        </w:rPr>
        <w:t xml:space="preserve"> described in Equations 2a-2c</w:t>
      </w:r>
      <w:r w:rsidR="00FD6C63" w:rsidRPr="00FD6C63">
        <w:rPr>
          <w:sz w:val="23"/>
          <w:szCs w:val="23"/>
        </w:rPr>
        <w:t>:</w:t>
      </w:r>
    </w:p>
    <w:p w14:paraId="32420FCF" w14:textId="5FD281A8" w:rsidR="00FD6C63" w:rsidRPr="00FD6C63" w:rsidRDefault="00FD6C63" w:rsidP="00FD6C63">
      <w:pPr>
        <w:pStyle w:val="FootnoteText"/>
        <w:spacing w:after="120" w:line="360" w:lineRule="auto"/>
        <w:ind w:left="1418"/>
        <w:rPr>
          <w:sz w:val="23"/>
          <w:szCs w:val="23"/>
        </w:rPr>
      </w:pPr>
      <w:r w:rsidRPr="00FD6C63">
        <w:rPr>
          <w:sz w:val="23"/>
          <w:szCs w:val="23"/>
        </w:rPr>
        <w:t xml:space="preserve"> </w:t>
      </w:r>
      <m:oMath>
        <m:r>
          <w:rPr>
            <w:rFonts w:ascii="Cambria Math" w:hAnsi="Cambria Math"/>
            <w:sz w:val="23"/>
            <w:szCs w:val="23"/>
          </w:rPr>
          <m:t>1-2(0.5) =D</m:t>
        </m:r>
        <m:d>
          <m:dPr>
            <m:ctrlPr>
              <w:rPr>
                <w:rFonts w:ascii="Cambria Math" w:hAnsi="Cambria Math"/>
                <w:i/>
                <w:sz w:val="23"/>
                <w:szCs w:val="23"/>
              </w:rPr>
            </m:ctrlPr>
          </m:dPr>
          <m:e>
            <m:r>
              <w:rPr>
                <w:rFonts w:ascii="Cambria Math" w:hAnsi="Cambria Math"/>
                <w:sz w:val="23"/>
                <w:szCs w:val="23"/>
              </w:rPr>
              <m:t>Y-βX</m:t>
            </m:r>
          </m:e>
          <m:e>
            <m:r>
              <w:rPr>
                <w:rFonts w:ascii="Cambria Math" w:hAnsi="Cambria Math"/>
                <w:sz w:val="23"/>
                <w:szCs w:val="23"/>
              </w:rPr>
              <m:t>X</m:t>
            </m:r>
          </m:e>
        </m:d>
      </m:oMath>
      <w:r w:rsidRPr="00FD6C63">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(2</w:t>
      </w:r>
      <w:r w:rsidR="00AF0259">
        <w:rPr>
          <w:sz w:val="23"/>
          <w:szCs w:val="23"/>
        </w:rPr>
        <w:t>a</w:t>
      </w:r>
      <w:r>
        <w:rPr>
          <w:sz w:val="23"/>
          <w:szCs w:val="23"/>
        </w:rPr>
        <w:t>)</w:t>
      </w:r>
    </w:p>
    <w:p w14:paraId="5E7BA29F" w14:textId="03353D15" w:rsidR="00AF0259" w:rsidRPr="004D5667" w:rsidRDefault="00FD6C63" w:rsidP="00FD6C63">
      <w:pPr>
        <w:pStyle w:val="FootnoteText"/>
        <w:spacing w:after="120" w:line="360" w:lineRule="auto"/>
        <w:ind w:left="1418"/>
        <w:rPr>
          <w:sz w:val="23"/>
          <w:szCs w:val="23"/>
        </w:rPr>
      </w:pPr>
      <w:r w:rsidRPr="00FD6C63">
        <w:rPr>
          <w:sz w:val="23"/>
          <w:szCs w:val="23"/>
        </w:rPr>
        <w:lastRenderedPageBreak/>
        <w:tab/>
      </w:r>
      <m:oMath>
        <m:r>
          <w:rPr>
            <w:rFonts w:ascii="Cambria Math" w:hAnsi="Cambria Math"/>
            <w:sz w:val="23"/>
            <w:szCs w:val="23"/>
          </w:rPr>
          <m:t>0=</m:t>
        </m:r>
        <m:func>
          <m:funcPr>
            <m:ctrlPr>
              <w:rPr>
                <w:rFonts w:ascii="Cambria Math" w:hAnsi="Cambria Math"/>
                <w:sz w:val="23"/>
                <w:szCs w:val="23"/>
              </w:rPr>
            </m:ctrlPr>
          </m:funcPr>
          <m:fName>
            <m:r>
              <m:rPr>
                <m:sty m:val="p"/>
              </m:rPr>
              <w:rPr>
                <w:rFonts w:ascii="Cambria Math" w:hAnsi="Cambria Math"/>
                <w:sz w:val="23"/>
                <w:szCs w:val="23"/>
              </w:rPr>
              <m:t>Pr</m:t>
            </m:r>
            <m:ctrlPr>
              <w:rPr>
                <w:rFonts w:ascii="Cambria Math" w:hAnsi="Cambria Math"/>
                <w:i/>
                <w:sz w:val="23"/>
                <w:szCs w:val="23"/>
              </w:rPr>
            </m:ctrlPr>
          </m:fName>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Y</m:t>
                    </m:r>
                  </m:e>
                  <m:sub>
                    <m:r>
                      <w:rPr>
                        <w:rFonts w:ascii="Cambria Math" w:hAnsi="Cambria Math"/>
                        <w:sz w:val="23"/>
                        <w:szCs w:val="23"/>
                      </w:rPr>
                      <m:t>1</m:t>
                    </m:r>
                  </m:sub>
                </m:sSub>
                <m:r>
                  <w:rPr>
                    <w:rFonts w:ascii="Cambria Math" w:hAnsi="Cambria Math"/>
                    <w:sz w:val="23"/>
                    <w:szCs w:val="23"/>
                  </w:rPr>
                  <m:t>-β</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1</m:t>
                    </m:r>
                  </m:sub>
                </m:sSub>
                <m:r>
                  <w:rPr>
                    <w:rFonts w:ascii="Cambria Math" w:hAnsi="Cambria Math"/>
                    <w:sz w:val="23"/>
                    <w:szCs w:val="23"/>
                  </w:rPr>
                  <m:t>&lt;</m:t>
                </m:r>
                <m:sSub>
                  <m:sSubPr>
                    <m:ctrlPr>
                      <w:rPr>
                        <w:rFonts w:ascii="Cambria Math" w:hAnsi="Cambria Math"/>
                        <w:i/>
                        <w:sz w:val="23"/>
                        <w:szCs w:val="23"/>
                      </w:rPr>
                    </m:ctrlPr>
                  </m:sSubPr>
                  <m:e>
                    <m:r>
                      <w:rPr>
                        <w:rFonts w:ascii="Cambria Math" w:hAnsi="Cambria Math"/>
                        <w:sz w:val="23"/>
                        <w:szCs w:val="23"/>
                      </w:rPr>
                      <m:t>Y</m:t>
                    </m:r>
                  </m:e>
                  <m:sub>
                    <m:r>
                      <w:rPr>
                        <w:rFonts w:ascii="Cambria Math" w:hAnsi="Cambria Math"/>
                        <w:sz w:val="23"/>
                        <w:szCs w:val="23"/>
                      </w:rPr>
                      <m:t>2</m:t>
                    </m:r>
                  </m:sub>
                </m:sSub>
                <m:r>
                  <w:rPr>
                    <w:rFonts w:ascii="Cambria Math" w:hAnsi="Cambria Math"/>
                    <w:sz w:val="23"/>
                    <w:szCs w:val="23"/>
                  </w:rPr>
                  <m:t>-β</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2</m:t>
                    </m:r>
                  </m:sub>
                </m:sSub>
              </m:e>
            </m:d>
          </m:e>
        </m:func>
        <m:r>
          <w:rPr>
            <w:rFonts w:ascii="Cambria Math" w:hAnsi="Cambria Math"/>
            <w:sz w:val="23"/>
            <w:szCs w:val="23"/>
          </w:rPr>
          <m:t>-</m:t>
        </m:r>
        <m:func>
          <m:funcPr>
            <m:ctrlPr>
              <w:rPr>
                <w:rFonts w:ascii="Cambria Math" w:hAnsi="Cambria Math"/>
                <w:sz w:val="23"/>
                <w:szCs w:val="23"/>
              </w:rPr>
            </m:ctrlPr>
          </m:funcPr>
          <m:fName>
            <m:r>
              <m:rPr>
                <m:sty m:val="p"/>
              </m:rPr>
              <w:rPr>
                <w:rFonts w:ascii="Cambria Math" w:hAnsi="Cambria Math"/>
                <w:sz w:val="23"/>
                <w:szCs w:val="23"/>
              </w:rPr>
              <m:t>Pr</m:t>
            </m:r>
            <m:ctrlPr>
              <w:rPr>
                <w:rFonts w:ascii="Cambria Math" w:hAnsi="Cambria Math"/>
                <w:i/>
                <w:sz w:val="23"/>
                <w:szCs w:val="23"/>
              </w:rPr>
            </m:ctrlPr>
          </m:fName>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Y</m:t>
                    </m:r>
                  </m:e>
                  <m:sub>
                    <m:r>
                      <w:rPr>
                        <w:rFonts w:ascii="Cambria Math" w:hAnsi="Cambria Math"/>
                        <w:sz w:val="23"/>
                        <w:szCs w:val="23"/>
                      </w:rPr>
                      <m:t>1</m:t>
                    </m:r>
                  </m:sub>
                </m:sSub>
                <m:r>
                  <w:rPr>
                    <w:rFonts w:ascii="Cambria Math" w:hAnsi="Cambria Math"/>
                    <w:sz w:val="23"/>
                    <w:szCs w:val="23"/>
                  </w:rPr>
                  <m:t>-β</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1</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Y</m:t>
                    </m:r>
                  </m:e>
                  <m:sub>
                    <m:r>
                      <w:rPr>
                        <w:rFonts w:ascii="Cambria Math" w:hAnsi="Cambria Math"/>
                        <w:sz w:val="23"/>
                        <w:szCs w:val="23"/>
                      </w:rPr>
                      <m:t>2</m:t>
                    </m:r>
                  </m:sub>
                </m:sSub>
                <m:r>
                  <w:rPr>
                    <w:rFonts w:ascii="Cambria Math" w:hAnsi="Cambria Math"/>
                    <w:sz w:val="23"/>
                    <w:szCs w:val="23"/>
                  </w:rPr>
                  <m:t>-β</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2</m:t>
                    </m:r>
                  </m:sub>
                </m:sSub>
              </m:e>
            </m:d>
          </m:e>
        </m:func>
      </m:oMath>
      <w:r w:rsidRPr="004D5667">
        <w:rPr>
          <w:sz w:val="23"/>
          <w:szCs w:val="23"/>
        </w:rPr>
        <w:tab/>
      </w:r>
      <w:r w:rsidR="00AF0259" w:rsidRPr="004D5667">
        <w:rPr>
          <w:sz w:val="23"/>
          <w:szCs w:val="23"/>
        </w:rPr>
        <w:t xml:space="preserve">            </w:t>
      </w:r>
      <w:r w:rsidRPr="004D5667">
        <w:rPr>
          <w:sz w:val="23"/>
          <w:szCs w:val="23"/>
        </w:rPr>
        <w:tab/>
      </w:r>
      <w:r w:rsidR="00AF0259" w:rsidRPr="004D5667">
        <w:rPr>
          <w:sz w:val="23"/>
          <w:szCs w:val="23"/>
        </w:rPr>
        <w:t xml:space="preserve">            (2b)</w:t>
      </w:r>
    </w:p>
    <w:p w14:paraId="6645FB1E" w14:textId="6E24C093" w:rsidR="00FD6C63" w:rsidRPr="004D5667" w:rsidRDefault="00FD6C63" w:rsidP="00FD6C63">
      <w:pPr>
        <w:pStyle w:val="FootnoteText"/>
        <w:spacing w:after="120" w:line="360" w:lineRule="auto"/>
        <w:ind w:left="1418"/>
        <w:rPr>
          <w:sz w:val="23"/>
          <w:szCs w:val="23"/>
        </w:rPr>
      </w:pPr>
      <w:r w:rsidRPr="004D5667">
        <w:rPr>
          <w:sz w:val="23"/>
          <w:szCs w:val="23"/>
        </w:rPr>
        <w:tab/>
      </w:r>
      <m:oMath>
        <m:r>
          <m:rPr>
            <m:sty m:val="p"/>
          </m:rPr>
          <w:rPr>
            <w:rFonts w:ascii="Cambria Math" w:hAnsi="Cambria Math"/>
            <w:sz w:val="23"/>
            <w:szCs w:val="23"/>
          </w:rPr>
          <m:t>Pr⁡</m:t>
        </m:r>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Y</m:t>
            </m:r>
          </m:e>
          <m:sub>
            <m:r>
              <w:rPr>
                <w:rFonts w:ascii="Cambria Math" w:hAnsi="Cambria Math"/>
                <w:sz w:val="23"/>
                <w:szCs w:val="23"/>
              </w:rPr>
              <m:t>2</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Y</m:t>
            </m:r>
          </m:e>
          <m:sub>
            <m:r>
              <w:rPr>
                <w:rFonts w:ascii="Cambria Math" w:hAnsi="Cambria Math"/>
                <w:sz w:val="23"/>
                <w:szCs w:val="23"/>
              </w:rPr>
              <m:t>1</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2</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1</m:t>
            </m:r>
          </m:sub>
        </m:sSub>
        <m:r>
          <w:rPr>
            <w:rFonts w:ascii="Cambria Math" w:hAnsi="Cambria Math"/>
            <w:sz w:val="23"/>
            <w:szCs w:val="23"/>
          </w:rPr>
          <m:t>)&lt;β)]=</m:t>
        </m:r>
        <m:r>
          <m:rPr>
            <m:sty m:val="p"/>
          </m:rPr>
          <w:rPr>
            <w:rFonts w:ascii="Cambria Math" w:hAnsi="Cambria Math"/>
            <w:sz w:val="23"/>
            <w:szCs w:val="23"/>
          </w:rPr>
          <m:t>Pr⁡</m:t>
        </m:r>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Y</m:t>
            </m:r>
          </m:e>
          <m:sub>
            <m:r>
              <w:rPr>
                <w:rFonts w:ascii="Cambria Math" w:hAnsi="Cambria Math"/>
                <w:sz w:val="23"/>
                <w:szCs w:val="23"/>
              </w:rPr>
              <m:t>2</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Y</m:t>
            </m:r>
          </m:e>
          <m:sub>
            <m:r>
              <w:rPr>
                <w:rFonts w:ascii="Cambria Math" w:hAnsi="Cambria Math"/>
                <w:sz w:val="23"/>
                <w:szCs w:val="23"/>
              </w:rPr>
              <m:t>1</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2</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1</m:t>
            </m:r>
          </m:sub>
        </m:sSub>
        <m:r>
          <w:rPr>
            <w:rFonts w:ascii="Cambria Math" w:hAnsi="Cambria Math"/>
            <w:sz w:val="23"/>
            <w:szCs w:val="23"/>
          </w:rPr>
          <m:t>)&gt;β)]</m:t>
        </m:r>
      </m:oMath>
      <w:r w:rsidRPr="004D5667">
        <w:rPr>
          <w:sz w:val="23"/>
          <w:szCs w:val="23"/>
        </w:rPr>
        <w:t xml:space="preserve"> </w:t>
      </w:r>
      <w:r w:rsidR="00AF0259" w:rsidRPr="004D5667">
        <w:rPr>
          <w:sz w:val="23"/>
          <w:szCs w:val="23"/>
        </w:rPr>
        <w:tab/>
      </w:r>
      <w:r w:rsidR="00AF0259" w:rsidRPr="004D5667">
        <w:rPr>
          <w:sz w:val="23"/>
          <w:szCs w:val="23"/>
        </w:rPr>
        <w:tab/>
        <w:t>(2c)</w:t>
      </w:r>
    </w:p>
    <w:p w14:paraId="49D6FFF8" w14:textId="25FBB80A" w:rsidR="00621F29" w:rsidRPr="000E68E9" w:rsidRDefault="00FD6C63" w:rsidP="000E68E9">
      <w:pPr>
        <w:rPr>
          <w:rFonts w:ascii="Times New Roman" w:hAnsi="Times New Roman" w:cs="Times New Roman"/>
        </w:rPr>
      </w:pPr>
      <w:r w:rsidRPr="00FD6C63">
        <w:rPr>
          <w:szCs w:val="23"/>
        </w:rPr>
        <w:t>This means that a pairwise slope (Y</w:t>
      </w:r>
      <w:r w:rsidRPr="00AF0259">
        <w:rPr>
          <w:sz w:val="24"/>
          <w:vertAlign w:val="subscript"/>
        </w:rPr>
        <w:t>2</w:t>
      </w:r>
      <w:r w:rsidRPr="00FD6C63">
        <w:rPr>
          <w:szCs w:val="23"/>
        </w:rPr>
        <w:t>–Y</w:t>
      </w:r>
      <w:r w:rsidRPr="00FD6C63">
        <w:rPr>
          <w:szCs w:val="23"/>
          <w:vertAlign w:val="subscript"/>
        </w:rPr>
        <w:t>1</w:t>
      </w:r>
      <w:r w:rsidRPr="00FD6C63">
        <w:rPr>
          <w:szCs w:val="23"/>
        </w:rPr>
        <w:t>)/(X</w:t>
      </w:r>
      <w:r w:rsidRPr="00FD6C63">
        <w:rPr>
          <w:szCs w:val="23"/>
          <w:vertAlign w:val="subscript"/>
        </w:rPr>
        <w:t>2</w:t>
      </w:r>
      <w:r w:rsidRPr="00FD6C63">
        <w:rPr>
          <w:szCs w:val="23"/>
        </w:rPr>
        <w:t>–X</w:t>
      </w:r>
      <w:r w:rsidRPr="00FD6C63">
        <w:rPr>
          <w:szCs w:val="23"/>
          <w:vertAlign w:val="subscript"/>
        </w:rPr>
        <w:t>1</w:t>
      </w:r>
      <w:r w:rsidRPr="00FD6C63">
        <w:rPr>
          <w:szCs w:val="23"/>
        </w:rPr>
        <w:t>), where Y</w:t>
      </w:r>
      <w:r w:rsidRPr="00FD6C63">
        <w:rPr>
          <w:szCs w:val="23"/>
          <w:vertAlign w:val="subscript"/>
        </w:rPr>
        <w:t>1</w:t>
      </w:r>
      <w:r w:rsidRPr="00FD6C63">
        <w:rPr>
          <w:szCs w:val="23"/>
        </w:rPr>
        <w:t>&lt;Y</w:t>
      </w:r>
      <w:r w:rsidRPr="00FD6C63">
        <w:rPr>
          <w:szCs w:val="23"/>
          <w:vertAlign w:val="subscript"/>
        </w:rPr>
        <w:t xml:space="preserve">2 </w:t>
      </w:r>
      <w:r w:rsidRPr="00FD6C63">
        <w:rPr>
          <w:szCs w:val="23"/>
        </w:rPr>
        <w:t>and X</w:t>
      </w:r>
      <w:r w:rsidRPr="00FD6C63">
        <w:rPr>
          <w:szCs w:val="23"/>
          <w:vertAlign w:val="subscript"/>
        </w:rPr>
        <w:t>1</w:t>
      </w:r>
      <w:r w:rsidRPr="00FD6C63">
        <w:rPr>
          <w:szCs w:val="23"/>
        </w:rPr>
        <w:t>&lt;X</w:t>
      </w:r>
      <w:r w:rsidRPr="00FD6C63">
        <w:rPr>
          <w:szCs w:val="23"/>
          <w:vertAlign w:val="subscript"/>
        </w:rPr>
        <w:t>2</w:t>
      </w:r>
      <w:r w:rsidRPr="00FD6C63">
        <w:rPr>
          <w:szCs w:val="23"/>
        </w:rPr>
        <w:t xml:space="preserve">, is equally likely to be above or below </w:t>
      </w:r>
      <m:oMath>
        <m:r>
          <w:rPr>
            <w:rFonts w:ascii="Cambria Math" w:hAnsi="Cambria Math"/>
            <w:szCs w:val="23"/>
          </w:rPr>
          <m:t>β</m:t>
        </m:r>
      </m:oMath>
      <w:r w:rsidRPr="00FD6C63">
        <w:rPr>
          <w:szCs w:val="23"/>
        </w:rPr>
        <w:t xml:space="preserve">. </w:t>
      </w:r>
      <w:r w:rsidR="00D7304E">
        <w:rPr>
          <w:szCs w:val="23"/>
        </w:rPr>
        <w:t>The</w:t>
      </w:r>
      <w:r w:rsidRPr="00FD6C63">
        <w:rPr>
          <w:szCs w:val="23"/>
        </w:rPr>
        <w:t xml:space="preserve"> Theil-Sen median slope</w:t>
      </w:r>
      <w:r w:rsidR="00D7304E">
        <w:rPr>
          <w:szCs w:val="23"/>
        </w:rPr>
        <w:t xml:space="preserve"> is assumed to</w:t>
      </w:r>
      <w:r w:rsidRPr="00FD6C63">
        <w:rPr>
          <w:szCs w:val="23"/>
        </w:rPr>
        <w:t xml:space="preserve"> follow the t-distribution.</w:t>
      </w:r>
      <w:r w:rsidR="005D013E">
        <w:rPr>
          <w:szCs w:val="23"/>
        </w:rPr>
        <w:t xml:space="preserve"> </w:t>
      </w:r>
      <w:r w:rsidR="00621F29">
        <w:rPr>
          <w:rFonts w:ascii="Times New Roman" w:hAnsi="Times New Roman" w:cs="Times New Roman"/>
        </w:rPr>
        <w:t xml:space="preserve">Since the size of the cross-section in the SCF is larger than the time series, </w:t>
      </w:r>
      <w:r w:rsidR="005D013E">
        <w:rPr>
          <w:rFonts w:ascii="Times New Roman" w:hAnsi="Times New Roman" w:cs="Times New Roman"/>
        </w:rPr>
        <w:t>Theil-Sen slopes are estimated separately for each</w:t>
      </w:r>
      <w:r w:rsidR="005D013E" w:rsidRPr="005D013E">
        <w:rPr>
          <w:rFonts w:ascii="Times New Roman" w:hAnsi="Times New Roman" w:cs="Times New Roman"/>
        </w:rPr>
        <w:t xml:space="preserve"> </w:t>
      </w:r>
      <w:r w:rsidR="005D013E">
        <w:rPr>
          <w:rFonts w:ascii="Times New Roman" w:hAnsi="Times New Roman" w:cs="Times New Roman"/>
        </w:rPr>
        <w:t xml:space="preserve">year of the survey.  This </w:t>
      </w:r>
      <w:r w:rsidR="00621F29">
        <w:rPr>
          <w:rFonts w:ascii="Times New Roman" w:hAnsi="Times New Roman" w:cs="Times New Roman"/>
        </w:rPr>
        <w:t>provides a clearer insight into the empirical relationship between wealth composition and relative income</w:t>
      </w:r>
      <w:r w:rsidR="005D013E">
        <w:rPr>
          <w:rFonts w:ascii="Times New Roman" w:hAnsi="Times New Roman" w:cs="Times New Roman"/>
        </w:rPr>
        <w:t xml:space="preserve"> over time and </w:t>
      </w:r>
      <w:r w:rsidR="00621F29">
        <w:rPr>
          <w:rFonts w:ascii="Times New Roman" w:hAnsi="Times New Roman" w:cs="Times New Roman"/>
        </w:rPr>
        <w:t xml:space="preserve">allows for investigation of these empirical regularities against the backdrop of </w:t>
      </w:r>
      <w:r w:rsidR="00935468">
        <w:rPr>
          <w:rFonts w:ascii="Times New Roman" w:hAnsi="Times New Roman" w:cs="Times New Roman"/>
        </w:rPr>
        <w:t xml:space="preserve">the </w:t>
      </w:r>
      <w:r w:rsidR="00621F29">
        <w:rPr>
          <w:rFonts w:ascii="Times New Roman" w:hAnsi="Times New Roman" w:cs="Times New Roman"/>
        </w:rPr>
        <w:t>changing structure of the US financial sector</w:t>
      </w:r>
      <w:r w:rsidR="00CB2341">
        <w:rPr>
          <w:rStyle w:val="FootnoteReference"/>
        </w:rPr>
        <w:footnoteReference w:id="5"/>
      </w:r>
      <w:r w:rsidR="00621F29">
        <w:rPr>
          <w:rFonts w:ascii="Times New Roman" w:hAnsi="Times New Roman" w:cs="Times New Roman"/>
        </w:rPr>
        <w:t xml:space="preserve">. </w:t>
      </w:r>
      <w:r w:rsidR="000E68E9">
        <w:rPr>
          <w:rFonts w:ascii="Times New Roman" w:hAnsi="Times New Roman" w:cs="Times New Roman"/>
        </w:rPr>
        <w:t xml:space="preserve">The analysis distinguishes </w:t>
      </w:r>
      <w:r w:rsidR="00997802">
        <w:rPr>
          <w:rFonts w:ascii="Times New Roman" w:hAnsi="Times New Roman" w:cs="Times New Roman"/>
        </w:rPr>
        <w:t xml:space="preserve">conceptually </w:t>
      </w:r>
      <w:r w:rsidR="000E68E9">
        <w:rPr>
          <w:rFonts w:ascii="Times New Roman" w:hAnsi="Times New Roman" w:cs="Times New Roman"/>
        </w:rPr>
        <w:t xml:space="preserve">between three periods: </w:t>
      </w:r>
      <w:r w:rsidR="000E68E9" w:rsidRPr="00E92972">
        <w:rPr>
          <w:rFonts w:ascii="Times New Roman" w:hAnsi="Times New Roman" w:cs="Times New Roman"/>
        </w:rPr>
        <w:t>1989-1998, 2001-2007, and 2010-2013. The first period corresponds to the p</w:t>
      </w:r>
      <w:r w:rsidR="000E68E9">
        <w:rPr>
          <w:rFonts w:ascii="Times New Roman" w:hAnsi="Times New Roman" w:cs="Times New Roman"/>
        </w:rPr>
        <w:t>re-subprime lending years, when</w:t>
      </w:r>
      <w:r w:rsidR="000E68E9" w:rsidRPr="00E92972">
        <w:rPr>
          <w:rFonts w:ascii="Times New Roman" w:hAnsi="Times New Roman" w:cs="Times New Roman"/>
        </w:rPr>
        <w:t xml:space="preserve"> growth in </w:t>
      </w:r>
      <w:r w:rsidR="000E68E9">
        <w:rPr>
          <w:rFonts w:ascii="Times New Roman" w:hAnsi="Times New Roman" w:cs="Times New Roman"/>
        </w:rPr>
        <w:t xml:space="preserve">the </w:t>
      </w:r>
      <w:r w:rsidR="000E68E9" w:rsidRPr="00E92972">
        <w:rPr>
          <w:rFonts w:ascii="Times New Roman" w:hAnsi="Times New Roman" w:cs="Times New Roman"/>
        </w:rPr>
        <w:t>private household debt was</w:t>
      </w:r>
      <w:r w:rsidR="000E68E9">
        <w:rPr>
          <w:rFonts w:ascii="Times New Roman" w:hAnsi="Times New Roman" w:cs="Times New Roman"/>
        </w:rPr>
        <w:t xml:space="preserve"> </w:t>
      </w:r>
      <w:r w:rsidR="000E68E9" w:rsidRPr="00E92972">
        <w:rPr>
          <w:rFonts w:ascii="Times New Roman" w:hAnsi="Times New Roman" w:cs="Times New Roman"/>
        </w:rPr>
        <w:t xml:space="preserve">rising steadily. The second period is associated with the acceleration of </w:t>
      </w:r>
      <w:r w:rsidR="000E68E9">
        <w:rPr>
          <w:rFonts w:ascii="Times New Roman" w:hAnsi="Times New Roman" w:cs="Times New Roman"/>
        </w:rPr>
        <w:t xml:space="preserve">the </w:t>
      </w:r>
      <w:r w:rsidR="000E68E9" w:rsidRPr="00E92972">
        <w:rPr>
          <w:rFonts w:ascii="Times New Roman" w:hAnsi="Times New Roman" w:cs="Times New Roman"/>
        </w:rPr>
        <w:t xml:space="preserve">subprime lending and the corresponding housing bubble. The third period captures the post-crisis conditions, </w:t>
      </w:r>
      <w:r w:rsidR="000E68E9">
        <w:rPr>
          <w:rFonts w:ascii="Times New Roman" w:hAnsi="Times New Roman" w:cs="Times New Roman"/>
        </w:rPr>
        <w:t>which were marked by</w:t>
      </w:r>
      <w:r w:rsidR="000E68E9" w:rsidRPr="00E92972">
        <w:rPr>
          <w:rFonts w:ascii="Times New Roman" w:hAnsi="Times New Roman" w:cs="Times New Roman"/>
        </w:rPr>
        <w:t xml:space="preserve"> the fall </w:t>
      </w:r>
      <w:r w:rsidR="004D10F9">
        <w:rPr>
          <w:rFonts w:ascii="Times New Roman" w:hAnsi="Times New Roman" w:cs="Times New Roman"/>
        </w:rPr>
        <w:t>of</w:t>
      </w:r>
      <w:r w:rsidR="000E68E9" w:rsidRPr="00E92972">
        <w:rPr>
          <w:rFonts w:ascii="Times New Roman" w:hAnsi="Times New Roman" w:cs="Times New Roman"/>
        </w:rPr>
        <w:t xml:space="preserve"> aggregate household debt </w:t>
      </w:r>
      <w:r w:rsidR="000E68E9">
        <w:rPr>
          <w:rFonts w:ascii="Times New Roman" w:hAnsi="Times New Roman" w:cs="Times New Roman"/>
        </w:rPr>
        <w:t>relative to GDP (source: Federal Reserve Economic Data, St Louis Fed)</w:t>
      </w:r>
      <w:r w:rsidR="000E68E9" w:rsidRPr="00E92972">
        <w:rPr>
          <w:rFonts w:ascii="Times New Roman" w:hAnsi="Times New Roman" w:cs="Times New Roman"/>
        </w:rPr>
        <w:t xml:space="preserve">. </w:t>
      </w:r>
    </w:p>
    <w:p w14:paraId="470AAA97" w14:textId="4F0A0D76" w:rsidR="00621F29" w:rsidRDefault="00595A12" w:rsidP="00184C62">
      <w:pPr>
        <w:rPr>
          <w:rFonts w:ascii="Times New Roman" w:hAnsi="Times New Roman" w:cs="Times New Roman"/>
        </w:rPr>
      </w:pPr>
      <w:r>
        <w:rPr>
          <w:rFonts w:ascii="Times New Roman" w:hAnsi="Times New Roman" w:cs="Times New Roman"/>
        </w:rPr>
        <w:t>The c</w:t>
      </w:r>
      <w:r w:rsidR="00621F29">
        <w:rPr>
          <w:rFonts w:ascii="Times New Roman" w:hAnsi="Times New Roman" w:cs="Times New Roman"/>
        </w:rPr>
        <w:t>hoice of the non-parametric method is motivated by the complex</w:t>
      </w:r>
      <w:r>
        <w:rPr>
          <w:rFonts w:ascii="Times New Roman" w:hAnsi="Times New Roman" w:cs="Times New Roman"/>
        </w:rPr>
        <w:t xml:space="preserve"> </w:t>
      </w:r>
      <w:r w:rsidR="00621F29">
        <w:rPr>
          <w:rFonts w:ascii="Times New Roman" w:hAnsi="Times New Roman" w:cs="Times New Roman"/>
        </w:rPr>
        <w:t>design of</w:t>
      </w:r>
      <w:r>
        <w:rPr>
          <w:rFonts w:ascii="Times New Roman" w:hAnsi="Times New Roman" w:cs="Times New Roman"/>
        </w:rPr>
        <w:t xml:space="preserve"> SCF</w:t>
      </w:r>
      <w:r w:rsidR="00621F29">
        <w:rPr>
          <w:rFonts w:ascii="Times New Roman" w:hAnsi="Times New Roman" w:cs="Times New Roman"/>
        </w:rPr>
        <w:t xml:space="preserve">, which limits applicability of more advanced econometric techniques. </w:t>
      </w:r>
      <w:r>
        <w:rPr>
          <w:rFonts w:ascii="Times New Roman" w:hAnsi="Times New Roman" w:cs="Times New Roman"/>
        </w:rPr>
        <w:t>SCF follows a</w:t>
      </w:r>
      <w:r w:rsidR="00621F29">
        <w:rPr>
          <w:rFonts w:ascii="Times New Roman" w:hAnsi="Times New Roman" w:cs="Times New Roman"/>
        </w:rPr>
        <w:t xml:space="preserve"> multiply imputed survey structure</w:t>
      </w:r>
      <w:r>
        <w:rPr>
          <w:rFonts w:ascii="Times New Roman" w:hAnsi="Times New Roman" w:cs="Times New Roman"/>
        </w:rPr>
        <w:t xml:space="preserve"> in order to account for missing values due to nonresponse, which is typical in survey data. </w:t>
      </w:r>
      <w:r w:rsidR="00080F82">
        <w:rPr>
          <w:rFonts w:ascii="Times New Roman" w:hAnsi="Times New Roman" w:cs="Times New Roman"/>
        </w:rPr>
        <w:t>I</w:t>
      </w:r>
      <w:r w:rsidR="00FD653F" w:rsidRPr="00FD653F">
        <w:rPr>
          <w:rFonts w:ascii="Times New Roman" w:hAnsi="Times New Roman" w:cs="Times New Roman"/>
        </w:rPr>
        <w:t>mput</w:t>
      </w:r>
      <w:r w:rsidR="00080F82">
        <w:rPr>
          <w:rFonts w:ascii="Times New Roman" w:hAnsi="Times New Roman" w:cs="Times New Roman"/>
        </w:rPr>
        <w:t xml:space="preserve">ation </w:t>
      </w:r>
      <w:r w:rsidR="00FD653F" w:rsidRPr="00FD653F">
        <w:rPr>
          <w:rFonts w:ascii="Times New Roman" w:hAnsi="Times New Roman" w:cs="Times New Roman"/>
        </w:rPr>
        <w:t>draw</w:t>
      </w:r>
      <w:r w:rsidR="00080F82">
        <w:rPr>
          <w:rFonts w:ascii="Times New Roman" w:hAnsi="Times New Roman" w:cs="Times New Roman"/>
        </w:rPr>
        <w:t>s</w:t>
      </w:r>
      <w:r w:rsidR="00FD653F" w:rsidRPr="00FD653F">
        <w:rPr>
          <w:rFonts w:ascii="Times New Roman" w:hAnsi="Times New Roman" w:cs="Times New Roman"/>
        </w:rPr>
        <w:t xml:space="preserve"> from estimat</w:t>
      </w:r>
      <w:r w:rsidR="00080F82">
        <w:rPr>
          <w:rFonts w:ascii="Times New Roman" w:hAnsi="Times New Roman" w:cs="Times New Roman"/>
        </w:rPr>
        <w:t>ions</w:t>
      </w:r>
      <w:r w:rsidR="00FD653F" w:rsidRPr="00FD653F">
        <w:rPr>
          <w:rFonts w:ascii="Times New Roman" w:hAnsi="Times New Roman" w:cs="Times New Roman"/>
        </w:rPr>
        <w:t xml:space="preserve"> of the conditional probability distribution of the data. </w:t>
      </w:r>
      <w:r w:rsidR="00080F82">
        <w:rPr>
          <w:rFonts w:ascii="Times New Roman" w:hAnsi="Times New Roman" w:cs="Times New Roman"/>
        </w:rPr>
        <w:t xml:space="preserve">Moreover, </w:t>
      </w:r>
      <w:r w:rsidR="00080F82" w:rsidRPr="00080F82">
        <w:rPr>
          <w:rFonts w:ascii="Times New Roman" w:hAnsi="Times New Roman" w:cs="Times New Roman"/>
        </w:rPr>
        <w:t>SCF is not of an equal-probability design</w:t>
      </w:r>
      <w:r w:rsidR="00080F82">
        <w:rPr>
          <w:rFonts w:ascii="Times New Roman" w:hAnsi="Times New Roman" w:cs="Times New Roman"/>
        </w:rPr>
        <w:t>, which necessitates inclusion of</w:t>
      </w:r>
      <w:r w:rsidR="00080F82" w:rsidRPr="00080F82">
        <w:rPr>
          <w:rFonts w:ascii="Times New Roman" w:hAnsi="Times New Roman" w:cs="Times New Roman"/>
        </w:rPr>
        <w:t xml:space="preserve"> nonresponse </w:t>
      </w:r>
      <w:r w:rsidR="00080F82">
        <w:rPr>
          <w:rFonts w:ascii="Times New Roman" w:hAnsi="Times New Roman" w:cs="Times New Roman"/>
        </w:rPr>
        <w:t>-</w:t>
      </w:r>
      <w:r w:rsidR="00757BEF">
        <w:rPr>
          <w:rFonts w:ascii="Times New Roman" w:hAnsi="Times New Roman" w:cs="Times New Roman"/>
        </w:rPr>
        <w:t>a</w:t>
      </w:r>
      <w:r w:rsidR="00080F82" w:rsidRPr="00080F82">
        <w:rPr>
          <w:rFonts w:ascii="Times New Roman" w:hAnsi="Times New Roman" w:cs="Times New Roman"/>
        </w:rPr>
        <w:t>djusted probability weights computed from the original selection probabilities</w:t>
      </w:r>
      <w:r w:rsidR="00080F82">
        <w:rPr>
          <w:rFonts w:ascii="Times New Roman" w:hAnsi="Times New Roman" w:cs="Times New Roman"/>
        </w:rPr>
        <w:t>.</w:t>
      </w:r>
      <w:r w:rsidR="00080F82" w:rsidRPr="00080F82">
        <w:rPr>
          <w:rFonts w:ascii="Times New Roman" w:hAnsi="Times New Roman" w:cs="Times New Roman"/>
        </w:rPr>
        <w:t xml:space="preserve"> </w:t>
      </w:r>
      <w:r w:rsidR="00080F82">
        <w:rPr>
          <w:rFonts w:ascii="Times New Roman" w:hAnsi="Times New Roman" w:cs="Times New Roman"/>
        </w:rPr>
        <w:t>Both of these operations (multiple imputation and nonresponse-adjusted probability weights)</w:t>
      </w:r>
      <w:r w:rsidR="00621F29">
        <w:rPr>
          <w:rFonts w:ascii="Times New Roman" w:hAnsi="Times New Roman" w:cs="Times New Roman"/>
        </w:rPr>
        <w:t xml:space="preserve"> complicate the </w:t>
      </w:r>
      <w:r w:rsidR="00757BEF">
        <w:rPr>
          <w:rFonts w:ascii="Times New Roman" w:hAnsi="Times New Roman" w:cs="Times New Roman"/>
        </w:rPr>
        <w:t xml:space="preserve">parametric </w:t>
      </w:r>
      <w:r w:rsidR="00621F29">
        <w:rPr>
          <w:rFonts w:ascii="Times New Roman" w:hAnsi="Times New Roman" w:cs="Times New Roman"/>
        </w:rPr>
        <w:t>structure of the error term</w:t>
      </w:r>
      <w:r w:rsidR="00080F82">
        <w:rPr>
          <w:rFonts w:ascii="Times New Roman" w:hAnsi="Times New Roman" w:cs="Times New Roman"/>
        </w:rPr>
        <w:t xml:space="preserve"> </w:t>
      </w:r>
      <w:r w:rsidR="00621F29">
        <w:rPr>
          <w:rFonts w:ascii="Times New Roman" w:hAnsi="Times New Roman" w:cs="Times New Roman"/>
        </w:rPr>
        <w:t xml:space="preserve">and the covariance-variance relationships assumed by the regression method. </w:t>
      </w:r>
    </w:p>
    <w:p w14:paraId="74E04C27" w14:textId="314E97EA" w:rsidR="00621F29" w:rsidRDefault="00935468" w:rsidP="00184C62">
      <w:pPr>
        <w:rPr>
          <w:rFonts w:ascii="Times New Roman" w:hAnsi="Times New Roman" w:cs="Times New Roman"/>
        </w:rPr>
      </w:pPr>
      <w:r>
        <w:rPr>
          <w:rFonts w:ascii="Times New Roman" w:hAnsi="Times New Roman" w:cs="Times New Roman"/>
        </w:rPr>
        <w:t>Firstly, t</w:t>
      </w:r>
      <w:r w:rsidR="00184C62" w:rsidRPr="00E92972">
        <w:t xml:space="preserve">here are strong reasons to </w:t>
      </w:r>
      <w:r w:rsidR="00184C62">
        <w:t>suspect</w:t>
      </w:r>
      <w:r w:rsidR="00184C62" w:rsidRPr="00E92972">
        <w:t xml:space="preserve"> mutual causality between </w:t>
      </w:r>
      <w:r w:rsidR="00184C62">
        <w:t xml:space="preserve">relative income and </w:t>
      </w:r>
      <w:r w:rsidR="00184C62" w:rsidRPr="00E92972">
        <w:t>wealth</w:t>
      </w:r>
      <w:r w:rsidR="00184C62">
        <w:t xml:space="preserve"> composition, as indicated earlier by the Piketty-Naidu debate. </w:t>
      </w:r>
      <w:r w:rsidR="00184C62" w:rsidRPr="00E92972">
        <w:t xml:space="preserve">In </w:t>
      </w:r>
      <w:r w:rsidR="00184C62">
        <w:t>our</w:t>
      </w:r>
      <w:r w:rsidR="00184C62" w:rsidRPr="00E92972">
        <w:t xml:space="preserve"> sample, </w:t>
      </w:r>
      <w:r w:rsidR="00184C62">
        <w:t xml:space="preserve">the </w:t>
      </w:r>
      <w:r w:rsidR="00184C62" w:rsidRPr="00E92972">
        <w:t>correlation between the median</w:t>
      </w:r>
      <w:r w:rsidR="00184C62">
        <w:t xml:space="preserve"> </w:t>
      </w:r>
      <w:r w:rsidR="00184C62" w:rsidRPr="00E92972">
        <w:t xml:space="preserve">income ratio and net wealth is </w:t>
      </w:r>
      <w:r w:rsidR="00AE300C">
        <w:t>0.51</w:t>
      </w:r>
      <w:r w:rsidR="00184C62" w:rsidRPr="00E92972">
        <w:t>.</w:t>
      </w:r>
      <w:r w:rsidR="00184C62">
        <w:t xml:space="preserve"> When relative income is included as a regressor rather than the dependent variable, its coefficient is statistically different from zero in specifications with balance sheet composition variables on the left-hand side.</w:t>
      </w:r>
      <w:r w:rsidR="00A01B9D">
        <w:t xml:space="preserve"> N</w:t>
      </w:r>
      <w:r w:rsidR="00184C62">
        <w:t xml:space="preserve">on-equal probability design and imputation of missing data, together with the lack of macro-level variables influencing income and wealth distribution, suggest that there are </w:t>
      </w:r>
      <w:r w:rsidR="00184C62">
        <w:rPr>
          <w:rFonts w:ascii="Times New Roman" w:hAnsi="Times New Roman" w:cs="Times New Roman"/>
        </w:rPr>
        <w:t xml:space="preserve">unobserved effects which may be correlated with regressors. For this reason, regression estimates are likely to be biased. </w:t>
      </w:r>
      <w:r w:rsidR="00A01B9D">
        <w:t>However, g</w:t>
      </w:r>
      <w:r w:rsidR="00A01B9D" w:rsidRPr="00E92972">
        <w:t xml:space="preserve">iven the </w:t>
      </w:r>
      <w:r w:rsidR="00A01B9D">
        <w:t xml:space="preserve">multiply imputed survey </w:t>
      </w:r>
      <w:r w:rsidR="00A01B9D" w:rsidRPr="00E92972">
        <w:t xml:space="preserve">structure of the </w:t>
      </w:r>
      <w:r w:rsidR="00A01B9D">
        <w:t>data</w:t>
      </w:r>
      <w:r w:rsidR="00A01B9D" w:rsidRPr="00E92972">
        <w:t xml:space="preserve">, it is </w:t>
      </w:r>
      <w:r w:rsidR="00A01B9D">
        <w:t>difficult</w:t>
      </w:r>
      <w:r w:rsidR="00A01B9D" w:rsidRPr="00E92972">
        <w:t xml:space="preserve"> to</w:t>
      </w:r>
      <w:r w:rsidR="00A01B9D">
        <w:t xml:space="preserve"> meaningfully</w:t>
      </w:r>
      <w:r w:rsidR="00A01B9D" w:rsidRPr="00E92972">
        <w:t xml:space="preserve"> employ the </w:t>
      </w:r>
      <w:r w:rsidR="00A01B9D" w:rsidRPr="00E92972">
        <w:lastRenderedPageBreak/>
        <w:t xml:space="preserve">standard procedures dealing with endogeneity, such as the instrumental variable estimation </w:t>
      </w:r>
      <w:r w:rsidR="00A01B9D">
        <w:t xml:space="preserve">or generalised method of moments </w:t>
      </w:r>
      <w:r w:rsidR="00A01B9D" w:rsidRPr="00E92972">
        <w:t xml:space="preserve">techniques. </w:t>
      </w:r>
      <w:r w:rsidR="00A01B9D">
        <w:t>There are no clear instruments available in the data which would be correlated with balance sheet variables but not independently correlated with relative income.</w:t>
      </w:r>
    </w:p>
    <w:p w14:paraId="11B71E04" w14:textId="6341FCC9" w:rsidR="00621F29" w:rsidRPr="00757BEF" w:rsidRDefault="00757BEF" w:rsidP="00757BEF">
      <w:r>
        <w:rPr>
          <w:rFonts w:ascii="Times New Roman" w:hAnsi="Times New Roman" w:cs="Times New Roman"/>
        </w:rPr>
        <w:t>In addition to the problem</w:t>
      </w:r>
      <w:r w:rsidR="00184C62">
        <w:rPr>
          <w:rFonts w:ascii="Times New Roman" w:hAnsi="Times New Roman" w:cs="Times New Roman"/>
        </w:rPr>
        <w:t xml:space="preserve"> </w:t>
      </w:r>
      <w:r>
        <w:rPr>
          <w:rFonts w:ascii="Times New Roman" w:hAnsi="Times New Roman" w:cs="Times New Roman"/>
        </w:rPr>
        <w:t xml:space="preserve">of </w:t>
      </w:r>
      <w:r w:rsidR="00184C62">
        <w:rPr>
          <w:rFonts w:ascii="Times New Roman" w:hAnsi="Times New Roman" w:cs="Times New Roman"/>
        </w:rPr>
        <w:t>bias</w:t>
      </w:r>
      <w:r>
        <w:rPr>
          <w:rFonts w:ascii="Times New Roman" w:hAnsi="Times New Roman" w:cs="Times New Roman"/>
        </w:rPr>
        <w:t xml:space="preserve"> posed by endogeneity</w:t>
      </w:r>
      <w:r w:rsidR="00621F29">
        <w:rPr>
          <w:rFonts w:ascii="Times New Roman" w:hAnsi="Times New Roman" w:cs="Times New Roman"/>
        </w:rPr>
        <w:t>,</w:t>
      </w:r>
      <w:r>
        <w:rPr>
          <w:rFonts w:ascii="Times New Roman" w:hAnsi="Times New Roman" w:cs="Times New Roman"/>
        </w:rPr>
        <w:t xml:space="preserve"> efficiency of </w:t>
      </w:r>
      <w:r w:rsidR="00184C62">
        <w:rPr>
          <w:rFonts w:ascii="Times New Roman" w:hAnsi="Times New Roman" w:cs="Times New Roman"/>
        </w:rPr>
        <w:t>regression</w:t>
      </w:r>
      <w:r>
        <w:rPr>
          <w:rFonts w:ascii="Times New Roman" w:hAnsi="Times New Roman" w:cs="Times New Roman"/>
        </w:rPr>
        <w:t xml:space="preserve"> estimator</w:t>
      </w:r>
      <w:r w:rsidR="00184C62">
        <w:rPr>
          <w:rFonts w:ascii="Times New Roman" w:hAnsi="Times New Roman" w:cs="Times New Roman"/>
        </w:rPr>
        <w:t>s</w:t>
      </w:r>
      <w:r>
        <w:rPr>
          <w:rFonts w:ascii="Times New Roman" w:hAnsi="Times New Roman" w:cs="Times New Roman"/>
        </w:rPr>
        <w:t xml:space="preserve"> is questioned by the presence of heteroscedasticity and non-normal error distribution. </w:t>
      </w:r>
      <w:r>
        <w:t>Survey data typically suffer from heteroscedasticity and error terms are frequently not independent (Winship</w:t>
      </w:r>
      <w:r w:rsidR="000B615A">
        <w:t xml:space="preserve"> and </w:t>
      </w:r>
      <w:proofErr w:type="spellStart"/>
      <w:r>
        <w:t>Radbill</w:t>
      </w:r>
      <w:proofErr w:type="spellEnd"/>
      <w:r>
        <w:t xml:space="preserve"> 1994). This is because survey data is not typically collected in a random way due to sample clustering and oversampling of certain groups (</w:t>
      </w:r>
      <w:r w:rsidR="007300D0">
        <w:t>in SCF,</w:t>
      </w:r>
      <w:r>
        <w:t xml:space="preserve"> the </w:t>
      </w:r>
      <w:r w:rsidR="00EF5FE2">
        <w:t>top tail of the income distribution</w:t>
      </w:r>
      <w:r>
        <w:t xml:space="preserve"> </w:t>
      </w:r>
      <w:r w:rsidR="007300D0">
        <w:t>is oversampled to account for likely non-response among the richest</w:t>
      </w:r>
      <w:r>
        <w:t xml:space="preserve">). </w:t>
      </w:r>
      <w:r w:rsidR="00184C62">
        <w:t xml:space="preserve">Bootstrapping of standard errors using replicate weights helps mitigate this problem to a certain extent. </w:t>
      </w:r>
      <w:r w:rsidR="00EF5FE2">
        <w:rPr>
          <w:rFonts w:ascii="Times New Roman" w:hAnsi="Times New Roman" w:cs="Times New Roman"/>
        </w:rPr>
        <w:t>However</w:t>
      </w:r>
      <w:r>
        <w:rPr>
          <w:rFonts w:ascii="Times New Roman" w:hAnsi="Times New Roman" w:cs="Times New Roman"/>
        </w:rPr>
        <w:t>,</w:t>
      </w:r>
      <w:r w:rsidR="00621F29">
        <w:rPr>
          <w:rFonts w:ascii="Times New Roman" w:hAnsi="Times New Roman" w:cs="Times New Roman"/>
        </w:rPr>
        <w:t xml:space="preserve"> while assumption that the error term is normally distributed is not strictly required for an unbiased estimator, lack of normality renders statistical inference </w:t>
      </w:r>
      <w:r w:rsidR="00935468">
        <w:rPr>
          <w:rFonts w:ascii="Times New Roman" w:hAnsi="Times New Roman" w:cs="Times New Roman"/>
        </w:rPr>
        <w:t>highly problematic</w:t>
      </w:r>
      <w:r w:rsidR="00EF5FE2">
        <w:rPr>
          <w:rFonts w:ascii="Times New Roman" w:hAnsi="Times New Roman" w:cs="Times New Roman"/>
        </w:rPr>
        <w:t xml:space="preserve"> (Wooldridge 2002:126-7)</w:t>
      </w:r>
      <w:r w:rsidR="00621F29">
        <w:rPr>
          <w:rFonts w:ascii="Times New Roman" w:hAnsi="Times New Roman" w:cs="Times New Roman"/>
        </w:rPr>
        <w:t xml:space="preserve">. </w:t>
      </w:r>
      <w:r w:rsidR="00621F29">
        <w:t xml:space="preserve">Visual investigation of </w:t>
      </w:r>
      <w:r w:rsidR="00935468">
        <w:t xml:space="preserve">the residual structure in a regression model </w:t>
      </w:r>
      <w:r w:rsidR="00621F29">
        <w:t>and</w:t>
      </w:r>
      <w:r w:rsidR="00935468">
        <w:t xml:space="preserve"> the</w:t>
      </w:r>
      <w:r w:rsidR="00621F29">
        <w:t xml:space="preserve"> Shapiro-Wilk W test indicate that in no regression specification are residuals normally distributed. Instead</w:t>
      </w:r>
      <w:r w:rsidR="00935468">
        <w:t>,</w:t>
      </w:r>
      <w:r w:rsidR="00621F29">
        <w:t xml:space="preserve"> residuals are heavy-tailed, particularly at the top of the distribution.</w:t>
      </w:r>
    </w:p>
    <w:p w14:paraId="27D146A9" w14:textId="7BF9F917" w:rsidR="00621F29" w:rsidRDefault="00EF5FE2" w:rsidP="00621F29">
      <w:pPr>
        <w:rPr>
          <w:rFonts w:ascii="Times New Roman" w:hAnsi="Times New Roman" w:cs="Times New Roman"/>
        </w:rPr>
      </w:pPr>
      <w:r>
        <w:rPr>
          <w:rFonts w:ascii="Times New Roman" w:hAnsi="Times New Roman" w:cs="Times New Roman"/>
        </w:rPr>
        <w:t xml:space="preserve">Furthermore, </w:t>
      </w:r>
      <w:r w:rsidR="00621F29" w:rsidRPr="00E92972">
        <w:rPr>
          <w:rFonts w:ascii="Times New Roman" w:hAnsi="Times New Roman" w:cs="Times New Roman"/>
        </w:rPr>
        <w:t xml:space="preserve">OLS </w:t>
      </w:r>
      <w:r w:rsidR="00621F29">
        <w:rPr>
          <w:rFonts w:ascii="Times New Roman" w:hAnsi="Times New Roman" w:cs="Times New Roman"/>
        </w:rPr>
        <w:t>estimation method</w:t>
      </w:r>
      <w:r w:rsidR="00621F29" w:rsidRPr="00E92972">
        <w:rPr>
          <w:rFonts w:ascii="Times New Roman" w:hAnsi="Times New Roman" w:cs="Times New Roman"/>
        </w:rPr>
        <w:t xml:space="preserve"> </w:t>
      </w:r>
      <w:r w:rsidR="00621F29">
        <w:rPr>
          <w:rFonts w:ascii="Times New Roman" w:hAnsi="Times New Roman" w:cs="Times New Roman"/>
        </w:rPr>
        <w:t>relies</w:t>
      </w:r>
      <w:r w:rsidR="00621F29" w:rsidRPr="00E92972">
        <w:rPr>
          <w:rFonts w:ascii="Times New Roman" w:hAnsi="Times New Roman" w:cs="Times New Roman"/>
        </w:rPr>
        <w:t xml:space="preserve"> on mean averages </w:t>
      </w:r>
      <w:r w:rsidR="00621F29">
        <w:rPr>
          <w:rFonts w:ascii="Times New Roman" w:hAnsi="Times New Roman" w:cs="Times New Roman"/>
        </w:rPr>
        <w:t xml:space="preserve">in calculating the estimates. This </w:t>
      </w:r>
      <w:r>
        <w:rPr>
          <w:rFonts w:ascii="Times New Roman" w:hAnsi="Times New Roman" w:cs="Times New Roman"/>
        </w:rPr>
        <w:t>makes</w:t>
      </w:r>
      <w:r w:rsidR="00621F29">
        <w:rPr>
          <w:rFonts w:ascii="Times New Roman" w:hAnsi="Times New Roman" w:cs="Times New Roman"/>
        </w:rPr>
        <w:t xml:space="preserve"> the estimated</w:t>
      </w:r>
      <w:r w:rsidR="00621F29" w:rsidRPr="00E92972">
        <w:rPr>
          <w:rFonts w:ascii="Times New Roman" w:hAnsi="Times New Roman" w:cs="Times New Roman"/>
        </w:rPr>
        <w:t xml:space="preserve"> </w:t>
      </w:r>
      <w:r w:rsidR="00621F29">
        <w:rPr>
          <w:rFonts w:ascii="Times New Roman" w:hAnsi="Times New Roman" w:cs="Times New Roman"/>
        </w:rPr>
        <w:t>coefficients</w:t>
      </w:r>
      <w:r>
        <w:rPr>
          <w:rFonts w:ascii="Times New Roman" w:hAnsi="Times New Roman" w:cs="Times New Roman"/>
        </w:rPr>
        <w:t xml:space="preserve"> more</w:t>
      </w:r>
      <w:r w:rsidR="00621F29">
        <w:rPr>
          <w:rFonts w:ascii="Times New Roman" w:hAnsi="Times New Roman" w:cs="Times New Roman"/>
        </w:rPr>
        <w:t xml:space="preserve"> </w:t>
      </w:r>
      <w:r w:rsidR="00621F29" w:rsidRPr="00E92972">
        <w:rPr>
          <w:rFonts w:ascii="Times New Roman" w:hAnsi="Times New Roman" w:cs="Times New Roman"/>
        </w:rPr>
        <w:t>sensitiv</w:t>
      </w:r>
      <w:r>
        <w:rPr>
          <w:rFonts w:ascii="Times New Roman" w:hAnsi="Times New Roman" w:cs="Times New Roman"/>
        </w:rPr>
        <w:t>e</w:t>
      </w:r>
      <w:r w:rsidR="00621F29" w:rsidRPr="00E92972">
        <w:rPr>
          <w:rFonts w:ascii="Times New Roman" w:hAnsi="Times New Roman" w:cs="Times New Roman"/>
        </w:rPr>
        <w:t xml:space="preserve"> to the </w:t>
      </w:r>
      <w:r w:rsidR="00621F29">
        <w:rPr>
          <w:rFonts w:ascii="Times New Roman" w:hAnsi="Times New Roman" w:cs="Times New Roman"/>
        </w:rPr>
        <w:t xml:space="preserve">heavy-tailed distribution of </w:t>
      </w:r>
      <w:r w:rsidR="00DB103D">
        <w:rPr>
          <w:rFonts w:ascii="Times New Roman" w:hAnsi="Times New Roman" w:cs="Times New Roman"/>
        </w:rPr>
        <w:t xml:space="preserve">the </w:t>
      </w:r>
      <w:r w:rsidR="00AE300C">
        <w:rPr>
          <w:rFonts w:ascii="Times New Roman" w:hAnsi="Times New Roman" w:cs="Times New Roman"/>
        </w:rPr>
        <w:t>median income ratio</w:t>
      </w:r>
      <w:r w:rsidR="00DB103D">
        <w:rPr>
          <w:rFonts w:ascii="Times New Roman" w:hAnsi="Times New Roman" w:cs="Times New Roman"/>
        </w:rPr>
        <w:t xml:space="preserve"> and balance sheet composition. </w:t>
      </w:r>
      <w:r w:rsidR="00621F29">
        <w:rPr>
          <w:rFonts w:ascii="Times New Roman" w:hAnsi="Times New Roman" w:cs="Times New Roman"/>
        </w:rPr>
        <w:t xml:space="preserve">As seen in Table </w:t>
      </w:r>
      <w:r w:rsidR="00935468">
        <w:rPr>
          <w:rFonts w:ascii="Times New Roman" w:hAnsi="Times New Roman" w:cs="Times New Roman"/>
        </w:rPr>
        <w:t>B1</w:t>
      </w:r>
      <w:r w:rsidR="00621F29">
        <w:rPr>
          <w:rFonts w:ascii="Times New Roman" w:hAnsi="Times New Roman" w:cs="Times New Roman"/>
        </w:rPr>
        <w:t xml:space="preserve"> in the Appendix</w:t>
      </w:r>
      <w:r w:rsidR="00935468">
        <w:rPr>
          <w:rFonts w:ascii="Times New Roman" w:hAnsi="Times New Roman" w:cs="Times New Roman"/>
        </w:rPr>
        <w:t xml:space="preserve"> B</w:t>
      </w:r>
      <w:r w:rsidR="00621F29">
        <w:rPr>
          <w:rFonts w:ascii="Times New Roman" w:hAnsi="Times New Roman" w:cs="Times New Roman"/>
        </w:rPr>
        <w:t xml:space="preserve">, </w:t>
      </w:r>
      <w:r w:rsidR="00DB103D">
        <w:rPr>
          <w:rFonts w:ascii="Times New Roman" w:hAnsi="Times New Roman" w:cs="Times New Roman"/>
        </w:rPr>
        <w:t xml:space="preserve">these </w:t>
      </w:r>
      <w:r w:rsidR="00621F29">
        <w:rPr>
          <w:rFonts w:ascii="Times New Roman" w:hAnsi="Times New Roman" w:cs="Times New Roman"/>
        </w:rPr>
        <w:t>variables tend to have a wide range from highly positive to negative values. In this case, mean averaging in OLS regression may produce estimators which do not reflect the typical relationship between balance sheet composition and relative income.</w:t>
      </w:r>
    </w:p>
    <w:p w14:paraId="30999417" w14:textId="14AA7962" w:rsidR="00621F29" w:rsidRDefault="00EF5FE2" w:rsidP="00621F29">
      <w:r>
        <w:t>Overall, r</w:t>
      </w:r>
      <w:r w:rsidR="00621F29">
        <w:t>egression analysis poses a problem due to substantial noise in the data generated by the multiply-imputed survey structure of the dataset</w:t>
      </w:r>
      <w:r w:rsidR="00935468">
        <w:t>, unobserved effects correlated with regressors,</w:t>
      </w:r>
      <w:r w:rsidR="00621F29">
        <w:t xml:space="preserve"> and heavily skewed distribution of </w:t>
      </w:r>
      <w:r w:rsidR="00935468">
        <w:t>income and wealth variables</w:t>
      </w:r>
      <w:r w:rsidR="00621F29">
        <w:t xml:space="preserve">. </w:t>
      </w:r>
      <w:r w:rsidR="00F2616D">
        <w:t>Nevertheless,</w:t>
      </w:r>
      <w:r w:rsidR="00621F29">
        <w:t xml:space="preserve"> regression </w:t>
      </w:r>
      <w:r w:rsidR="00F2616D">
        <w:t>analysis is valuable in</w:t>
      </w:r>
      <w:r w:rsidR="00621F29">
        <w:t xml:space="preserve"> gaug</w:t>
      </w:r>
      <w:r w:rsidR="00F2616D">
        <w:t>ing</w:t>
      </w:r>
      <w:r w:rsidR="00621F29">
        <w:t xml:space="preserve"> whether balance sheet composition has a statistically significant association with </w:t>
      </w:r>
      <w:r w:rsidR="00AE300C">
        <w:t>relative income</w:t>
      </w:r>
      <w:r w:rsidR="00621F29">
        <w:t xml:space="preserve"> after controlling for household characteristics</w:t>
      </w:r>
      <w:r w:rsidR="00F2616D">
        <w:t>, which go</w:t>
      </w:r>
      <w:r w:rsidR="00935468">
        <w:t>es</w:t>
      </w:r>
      <w:r w:rsidR="00F2616D">
        <w:t xml:space="preserve"> unnoticed in the non-parametric estimation</w:t>
      </w:r>
      <w:r w:rsidR="00621F29">
        <w:t xml:space="preserve">. </w:t>
      </w:r>
      <w:r w:rsidR="00F2616D">
        <w:t xml:space="preserve">For this reason, regression analysis may provide a rough robustness check on the median slope estimates obtained by the non-parametric method, controlling the </w:t>
      </w:r>
      <w:r w:rsidR="00935468">
        <w:t>estimated effects</w:t>
      </w:r>
      <w:r w:rsidR="00F2616D">
        <w:t xml:space="preserve"> of wealth composition for other factors influencing the </w:t>
      </w:r>
      <w:r w:rsidR="00AE300C">
        <w:t>median income ratio</w:t>
      </w:r>
      <w:r w:rsidR="00F2616D">
        <w:t xml:space="preserve">. Keeping in mind the above limitations of regression analysis on this dataset, </w:t>
      </w:r>
      <w:r w:rsidR="00935468">
        <w:t xml:space="preserve">the paper compares performance of a </w:t>
      </w:r>
      <w:r w:rsidR="00F2616D">
        <w:t xml:space="preserve">linear regression model </w:t>
      </w:r>
      <w:r w:rsidR="00935468">
        <w:t xml:space="preserve">with and without balance sheet composition </w:t>
      </w:r>
      <w:r w:rsidR="00935468">
        <w:lastRenderedPageBreak/>
        <w:t>variables,</w:t>
      </w:r>
      <w:r w:rsidR="00F2616D">
        <w:t xml:space="preserve"> using OLS</w:t>
      </w:r>
      <w:r w:rsidR="00935468">
        <w:t xml:space="preserve"> estimation</w:t>
      </w:r>
      <w:r w:rsidR="00DB103D">
        <w:rPr>
          <w:rStyle w:val="FootnoteReference"/>
        </w:rPr>
        <w:footnoteReference w:id="6"/>
      </w:r>
      <w:r w:rsidR="00F2616D">
        <w:t xml:space="preserve">. </w:t>
      </w:r>
      <w:r w:rsidR="00B70AAC">
        <w:t xml:space="preserve">The objective of this exercise is to formally test whether inclusion of balance sheet variables produces a </w:t>
      </w:r>
      <w:r w:rsidR="00D04746">
        <w:t xml:space="preserve">significantly </w:t>
      </w:r>
      <w:r w:rsidR="00B70AAC">
        <w:t xml:space="preserve">better </w:t>
      </w:r>
      <w:r w:rsidR="00D04746">
        <w:t xml:space="preserve">regression model than specification using only household characteristics, </w:t>
      </w:r>
      <w:r w:rsidR="00920F8E">
        <w:t xml:space="preserve">using </w:t>
      </w:r>
      <w:r w:rsidR="00D04746">
        <w:t xml:space="preserve">the </w:t>
      </w:r>
      <w:r w:rsidR="00920F8E">
        <w:t>extra-sum-of-squares F test</w:t>
      </w:r>
      <w:r w:rsidR="00D04746">
        <w:t xml:space="preserve"> (explained in more detail in Section 3)</w:t>
      </w:r>
      <w:r w:rsidR="00B70AAC">
        <w:t xml:space="preserve">. </w:t>
      </w:r>
      <w:r w:rsidR="00F2616D">
        <w:t xml:space="preserve">Regression analysis is undertaken with a caveat that </w:t>
      </w:r>
      <w:r w:rsidR="00935468">
        <w:t>the magnitude and standard errors of its</w:t>
      </w:r>
      <w:r w:rsidR="00F2616D">
        <w:t xml:space="preserve"> estimates</w:t>
      </w:r>
      <w:r w:rsidR="00F2616D" w:rsidRPr="00F2616D">
        <w:t xml:space="preserve"> </w:t>
      </w:r>
      <w:r w:rsidR="00F2616D">
        <w:t>are less reliable than the non-parametric Theil-Sen median slope,</w:t>
      </w:r>
      <w:r w:rsidR="00621F29">
        <w:t xml:space="preserve"> given strong assumptions about the parametric distribution of the error term required by the regression model</w:t>
      </w:r>
      <w:r w:rsidR="00F2616D">
        <w:t xml:space="preserve"> and</w:t>
      </w:r>
      <w:r w:rsidR="00621F29">
        <w:t xml:space="preserve"> non-normal residual distribution</w:t>
      </w:r>
      <w:r w:rsidR="009F7EEB">
        <w:rPr>
          <w:rStyle w:val="FootnoteReference"/>
        </w:rPr>
        <w:footnoteReference w:id="7"/>
      </w:r>
      <w:r w:rsidR="00621F29">
        <w:t>.</w:t>
      </w:r>
    </w:p>
    <w:p w14:paraId="509EAE65" w14:textId="6360792D" w:rsidR="00621F29" w:rsidRPr="0077782C" w:rsidRDefault="00757BEF" w:rsidP="00B70AAC">
      <w:pPr>
        <w:rPr>
          <w:rFonts w:ascii="Times New Roman" w:hAnsi="Times New Roman" w:cs="Times New Roman"/>
        </w:rPr>
      </w:pPr>
      <w:r>
        <w:rPr>
          <w:rFonts w:ascii="Times New Roman" w:hAnsi="Times New Roman" w:cs="Times New Roman"/>
        </w:rPr>
        <w:t xml:space="preserve">In sum, the Theil-Sen median slope is a preferred method to estimate the empirical regularities between wealth composition and relative income. The Theil-Sen median slope is more robust to outliers as it evaluates the empirical relationship at the median of the distribution of the dependent variable. It also allows to evaluate empirically the </w:t>
      </w:r>
      <w:r w:rsidR="00F23B86">
        <w:rPr>
          <w:rFonts w:ascii="Times New Roman" w:hAnsi="Times New Roman" w:cs="Times New Roman"/>
        </w:rPr>
        <w:t>association between</w:t>
      </w:r>
      <w:r>
        <w:rPr>
          <w:rFonts w:ascii="Times New Roman" w:hAnsi="Times New Roman" w:cs="Times New Roman"/>
        </w:rPr>
        <w:t xml:space="preserve"> wealth heterogeneity </w:t>
      </w:r>
      <w:r w:rsidR="00F23B86">
        <w:rPr>
          <w:rFonts w:ascii="Times New Roman" w:hAnsi="Times New Roman" w:cs="Times New Roman"/>
        </w:rPr>
        <w:t>and</w:t>
      </w:r>
      <w:r>
        <w:rPr>
          <w:rFonts w:ascii="Times New Roman" w:hAnsi="Times New Roman" w:cs="Times New Roman"/>
        </w:rPr>
        <w:t xml:space="preserve"> </w:t>
      </w:r>
      <w:r w:rsidR="00F23B86">
        <w:rPr>
          <w:rFonts w:ascii="Times New Roman" w:hAnsi="Times New Roman" w:cs="Times New Roman"/>
        </w:rPr>
        <w:t>relative income</w:t>
      </w:r>
      <w:r>
        <w:rPr>
          <w:rFonts w:ascii="Times New Roman" w:hAnsi="Times New Roman" w:cs="Times New Roman"/>
        </w:rPr>
        <w:t xml:space="preserve"> without making assumptions about the distribution of the error term, which are inherent in the regression approach and are likely to be violated in the SCF. </w:t>
      </w:r>
    </w:p>
    <w:p w14:paraId="2C6D04B6" w14:textId="77777777" w:rsidR="00621F29" w:rsidRPr="006E4364" w:rsidRDefault="00621F29" w:rsidP="009F6DD7">
      <w:pPr>
        <w:pStyle w:val="MyHeading2"/>
        <w:numPr>
          <w:ilvl w:val="1"/>
          <w:numId w:val="2"/>
        </w:numPr>
        <w:ind w:left="426"/>
        <w:rPr>
          <w:sz w:val="23"/>
          <w:szCs w:val="23"/>
        </w:rPr>
      </w:pPr>
      <w:r>
        <w:rPr>
          <w:sz w:val="23"/>
          <w:szCs w:val="23"/>
        </w:rPr>
        <w:t>Specification</w:t>
      </w:r>
    </w:p>
    <w:p w14:paraId="32F806BF" w14:textId="5ED8D80B" w:rsidR="00B26780" w:rsidRPr="009D2ACB" w:rsidRDefault="00226287" w:rsidP="009D2ACB">
      <w:pPr>
        <w:ind w:firstLine="0"/>
        <w:rPr>
          <w:rFonts w:ascii="Times New Roman" w:hAnsi="Times New Roman" w:cs="Times New Roman"/>
        </w:rPr>
      </w:pPr>
      <w:r>
        <w:t xml:space="preserve">As mentioned previously, the outcome variable is the </w:t>
      </w:r>
      <w:r w:rsidR="00AE300C">
        <w:t>median income ratio</w:t>
      </w:r>
      <w:r w:rsidR="00A70729">
        <w:t xml:space="preserve"> (interchangeably called relative income)</w:t>
      </w:r>
      <w:r w:rsidR="00C67ED8">
        <w:t xml:space="preserve">, which relates income of a household to </w:t>
      </w:r>
      <w:r w:rsidR="00C6174F">
        <w:t xml:space="preserve">the </w:t>
      </w:r>
      <w:r w:rsidR="00C67ED8">
        <w:t>median income for the whole sample in each wave of the survey</w:t>
      </w:r>
      <w:r w:rsidR="00C67ED8">
        <w:rPr>
          <w:rStyle w:val="FootnoteReference"/>
        </w:rPr>
        <w:footnoteReference w:id="8"/>
      </w:r>
      <w:r w:rsidR="00C67ED8">
        <w:t xml:space="preserve">. </w:t>
      </w:r>
      <w:r w:rsidR="009D2ACB">
        <w:t>To capture the structure of wealth</w:t>
      </w:r>
      <w:r w:rsidR="009D2ACB" w:rsidRPr="00E92972">
        <w:t>,</w:t>
      </w:r>
      <w:r w:rsidR="009D2ACB">
        <w:t xml:space="preserve"> balance sheet</w:t>
      </w:r>
      <w:r w:rsidR="009D2ACB" w:rsidRPr="00E92972">
        <w:t xml:space="preserve"> </w:t>
      </w:r>
      <w:r w:rsidR="009D2ACB">
        <w:t>composition</w:t>
      </w:r>
      <w:r w:rsidR="009D2ACB" w:rsidRPr="00E92972">
        <w:t xml:space="preserve"> variables are presented in terms of </w:t>
      </w:r>
      <w:r w:rsidR="009D2ACB">
        <w:t>their contribution to the total holdings of assets or debt</w:t>
      </w:r>
      <w:r w:rsidR="009D2ACB" w:rsidRPr="00E92972">
        <w:t>.</w:t>
      </w:r>
      <w:r w:rsidR="009D2ACB" w:rsidRPr="00C83CA2">
        <w:rPr>
          <w:rFonts w:ascii="Times New Roman" w:hAnsi="Times New Roman" w:cs="Times New Roman"/>
        </w:rPr>
        <w:t xml:space="preserve"> </w:t>
      </w:r>
      <w:r w:rsidR="00B83FB8">
        <w:t>B</w:t>
      </w:r>
      <w:r w:rsidR="00B26780" w:rsidRPr="00E92972">
        <w:t>alance sheet</w:t>
      </w:r>
      <w:r w:rsidR="00B26780">
        <w:t xml:space="preserve"> composition</w:t>
      </w:r>
      <w:r w:rsidR="00B26780" w:rsidRPr="00E92972">
        <w:t xml:space="preserve"> variables include relative shares of financial and non-financial assets in total assets, the shares of secured and unsecured debt in total debt holdings, and leverage measures.</w:t>
      </w:r>
      <w:r w:rsidR="003E37BB">
        <w:t xml:space="preserve"> </w:t>
      </w:r>
      <w:r w:rsidR="00C6174F">
        <w:t>Consequently, t</w:t>
      </w:r>
      <w:r w:rsidR="00B26780">
        <w:t>his</w:t>
      </w:r>
      <w:r w:rsidR="00B26780" w:rsidRPr="00E92972">
        <w:t xml:space="preserve"> specification only includes households with holdings of assets and debt. </w:t>
      </w:r>
      <w:r w:rsidR="0099081D" w:rsidRPr="00B97AA2">
        <w:t xml:space="preserve">Table </w:t>
      </w:r>
      <w:r w:rsidR="0000346C" w:rsidRPr="00B97AA2">
        <w:t>B</w:t>
      </w:r>
      <w:r w:rsidR="00B26780" w:rsidRPr="00B97AA2">
        <w:t>1 in Appendix</w:t>
      </w:r>
      <w:r w:rsidR="00E0089D" w:rsidRPr="00B97AA2">
        <w:t xml:space="preserve"> </w:t>
      </w:r>
      <w:r w:rsidR="0000346C" w:rsidRPr="00B97AA2">
        <w:t>B</w:t>
      </w:r>
      <w:r w:rsidR="00B26780" w:rsidRPr="00E92972">
        <w:t xml:space="preserve"> presents descriptive statistics for </w:t>
      </w:r>
      <w:r w:rsidR="003E37BB">
        <w:t>the</w:t>
      </w:r>
      <w:r w:rsidR="00B26780" w:rsidRPr="00E92972">
        <w:t xml:space="preserve"> variables of interest, </w:t>
      </w:r>
      <w:r w:rsidR="0099081D">
        <w:t xml:space="preserve">while Table </w:t>
      </w:r>
      <w:r w:rsidR="0000346C">
        <w:t>B</w:t>
      </w:r>
      <w:r w:rsidR="00B26780">
        <w:t>2 shows</w:t>
      </w:r>
      <w:r w:rsidR="00B26780" w:rsidRPr="00E92972">
        <w:t xml:space="preserve"> the correlation matrix.</w:t>
      </w:r>
    </w:p>
    <w:p w14:paraId="392531D3" w14:textId="1999617B" w:rsidR="00B26780" w:rsidRPr="00E92972" w:rsidRDefault="003E37BB" w:rsidP="00A70729">
      <w:r>
        <w:lastRenderedPageBreak/>
        <w:t>T</w:t>
      </w:r>
      <w:r w:rsidR="00B26780" w:rsidRPr="00E92972">
        <w:t>he contribution of financial assets is broken</w:t>
      </w:r>
      <w:r w:rsidR="00B26780">
        <w:t xml:space="preserve"> down</w:t>
      </w:r>
      <w:r w:rsidR="00B26780" w:rsidRPr="00E92972">
        <w:t xml:space="preserve"> into the total asset share of transaction accounts, financial investment assets, and</w:t>
      </w:r>
      <w:r w:rsidR="007533B9">
        <w:t xml:space="preserve"> retirement and insurance assets</w:t>
      </w:r>
      <w:r>
        <w:rPr>
          <w:rStyle w:val="FootnoteReference"/>
        </w:rPr>
        <w:footnoteReference w:id="9"/>
      </w:r>
      <w:r w:rsidR="00B26780" w:rsidRPr="00E92972">
        <w:t>. The share of non-financial assets is decomposed into the contribution of primary residence,</w:t>
      </w:r>
      <w:r w:rsidR="00C67ED8">
        <w:t xml:space="preserve"> other real estate,</w:t>
      </w:r>
      <w:r w:rsidR="00B26780" w:rsidRPr="00E92972">
        <w:t xml:space="preserve"> business equity, and vehicles and other non-financial assets to total asset holdings</w:t>
      </w:r>
      <w:r>
        <w:rPr>
          <w:rStyle w:val="FootnoteReference"/>
        </w:rPr>
        <w:footnoteReference w:id="10"/>
      </w:r>
      <w:r w:rsidR="00B26780" w:rsidRPr="00E92972">
        <w:t>.</w:t>
      </w:r>
      <w:r w:rsidR="00A70729">
        <w:t xml:space="preserve"> It is</w:t>
      </w:r>
      <w:r w:rsidR="00B26780">
        <w:t xml:space="preserve"> expect</w:t>
      </w:r>
      <w:r w:rsidR="00A70729">
        <w:t>ed</w:t>
      </w:r>
      <w:r w:rsidR="00B26780">
        <w:t xml:space="preserve"> </w:t>
      </w:r>
      <w:r w:rsidR="00B26780" w:rsidRPr="00E92972">
        <w:t xml:space="preserve">that </w:t>
      </w:r>
      <w:r w:rsidR="00B26780">
        <w:t xml:space="preserve">greater contribution </w:t>
      </w:r>
      <w:r w:rsidR="00B26780" w:rsidRPr="00E92972">
        <w:t>of</w:t>
      </w:r>
      <w:r w:rsidR="00FA25B8">
        <w:t xml:space="preserve"> other property</w:t>
      </w:r>
      <w:r w:rsidRPr="00E92972">
        <w:t xml:space="preserve">, business equity, </w:t>
      </w:r>
      <w:r w:rsidR="00FA25B8" w:rsidRPr="00E92972">
        <w:t>financial investment assets</w:t>
      </w:r>
      <w:r w:rsidR="00FA25B8">
        <w:t xml:space="preserve">, </w:t>
      </w:r>
      <w:r w:rsidRPr="00E92972">
        <w:t xml:space="preserve">and retirement and insurance assets </w:t>
      </w:r>
      <w:r w:rsidR="00B26780">
        <w:t xml:space="preserve">to total asset holdings </w:t>
      </w:r>
      <w:r w:rsidR="00B26780" w:rsidRPr="00E92972">
        <w:t>increase</w:t>
      </w:r>
      <w:r w:rsidR="00B26780">
        <w:t>s</w:t>
      </w:r>
      <w:r w:rsidR="00B26780" w:rsidRPr="00E92972">
        <w:t xml:space="preserve"> the median income ratio.</w:t>
      </w:r>
      <w:r>
        <w:t xml:space="preserve"> </w:t>
      </w:r>
      <w:r w:rsidR="00417FF8">
        <w:t>T</w:t>
      </w:r>
      <w:r>
        <w:t>hese assets</w:t>
      </w:r>
      <w:r w:rsidR="00417FF8">
        <w:t xml:space="preserve"> typically</w:t>
      </w:r>
      <w:r>
        <w:t xml:space="preserve"> yield comparatively higher returns</w:t>
      </w:r>
      <w:r w:rsidR="00C6174F">
        <w:t>, require large initial down</w:t>
      </w:r>
      <w:r w:rsidR="005F44A3">
        <w:t xml:space="preserve"> </w:t>
      </w:r>
      <w:r w:rsidR="00C6174F">
        <w:t>payments,</w:t>
      </w:r>
      <w:r>
        <w:t xml:space="preserve"> and tend to be concentrated at the top of the distribution (</w:t>
      </w:r>
      <w:r w:rsidR="00226FD1">
        <w:t xml:space="preserve">cf. </w:t>
      </w:r>
      <w:r>
        <w:t>Wolff 2014).</w:t>
      </w:r>
      <w:r w:rsidR="00B26780" w:rsidRPr="00E92972">
        <w:t xml:space="preserve"> In contrast, greater share of primary residence, transaction accounts, and vehicles and other non-financial assets </w:t>
      </w:r>
      <w:r w:rsidR="00B26780">
        <w:t xml:space="preserve">in total holdings </w:t>
      </w:r>
      <w:r w:rsidR="00B26780" w:rsidRPr="00E92972">
        <w:t>is expected to have a decreasin</w:t>
      </w:r>
      <w:r w:rsidR="00B26780">
        <w:t xml:space="preserve">g effect on the median </w:t>
      </w:r>
      <w:r w:rsidR="00C6174F">
        <w:t xml:space="preserve">income </w:t>
      </w:r>
      <w:r w:rsidR="00B26780">
        <w:t xml:space="preserve">ratio. </w:t>
      </w:r>
      <w:r w:rsidR="00417FF8">
        <w:t>T</w:t>
      </w:r>
      <w:r w:rsidR="00B26780">
        <w:t>he</w:t>
      </w:r>
      <w:r w:rsidR="00B26780" w:rsidRPr="00E92972">
        <w:t xml:space="preserve"> </w:t>
      </w:r>
      <w:r w:rsidR="00B26780">
        <w:t>balance sheet</w:t>
      </w:r>
      <w:r w:rsidR="00B26780" w:rsidRPr="00E92972">
        <w:t xml:space="preserve"> </w:t>
      </w:r>
      <w:r w:rsidR="00B26780">
        <w:t xml:space="preserve">shares of these assets </w:t>
      </w:r>
      <w:r>
        <w:t>tend</w:t>
      </w:r>
      <w:r w:rsidR="00B26780">
        <w:t xml:space="preserve"> to be the highest among</w:t>
      </w:r>
      <w:r w:rsidR="00B26780" w:rsidRPr="00E92972">
        <w:t xml:space="preserve"> households in the middle and </w:t>
      </w:r>
      <w:r w:rsidR="00B26780">
        <w:t xml:space="preserve">the </w:t>
      </w:r>
      <w:r w:rsidR="00B26780" w:rsidRPr="00E92972">
        <w:t>bottom of the</w:t>
      </w:r>
      <w:r w:rsidR="00B26780">
        <w:t xml:space="preserve"> income</w:t>
      </w:r>
      <w:r w:rsidR="00B26780" w:rsidRPr="00E92972">
        <w:t xml:space="preserve"> distribution. </w:t>
      </w:r>
    </w:p>
    <w:p w14:paraId="62F543FE" w14:textId="4F52DF8B" w:rsidR="00B26780" w:rsidRPr="00E92972" w:rsidRDefault="003E37BB" w:rsidP="00B26780">
      <w:r>
        <w:t>R</w:t>
      </w:r>
      <w:r w:rsidR="00B26780" w:rsidRPr="00E92972">
        <w:t xml:space="preserve">elationship between debt and </w:t>
      </w:r>
      <w:r w:rsidR="00C6174F">
        <w:t xml:space="preserve">relative </w:t>
      </w:r>
      <w:r w:rsidR="00C07221">
        <w:t>income</w:t>
      </w:r>
      <w:r w:rsidR="00B26780" w:rsidRPr="00E92972">
        <w:t xml:space="preserve"> is ambiguous. </w:t>
      </w:r>
      <w:r w:rsidR="00B26780">
        <w:t>T</w:t>
      </w:r>
      <w:r w:rsidR="00B26780" w:rsidRPr="00E92972">
        <w:t xml:space="preserve">he association </w:t>
      </w:r>
      <w:r w:rsidR="00B26780">
        <w:t>can be</w:t>
      </w:r>
      <w:r w:rsidR="00B26780" w:rsidRPr="00E92972">
        <w:t xml:space="preserve"> negative, as debt repayment</w:t>
      </w:r>
      <w:r w:rsidR="00B26780">
        <w:t>s reduce</w:t>
      </w:r>
      <w:r w:rsidR="00B26780" w:rsidRPr="00E92972">
        <w:t xml:space="preserve"> </w:t>
      </w:r>
      <w:r w:rsidR="00B26780">
        <w:t xml:space="preserve">household </w:t>
      </w:r>
      <w:r w:rsidR="00B26780" w:rsidRPr="00E92972">
        <w:t xml:space="preserve">income. On the other hand, debt </w:t>
      </w:r>
      <w:r w:rsidR="00B26780">
        <w:t>may</w:t>
      </w:r>
      <w:r w:rsidR="00B26780" w:rsidRPr="00E92972">
        <w:t xml:space="preserve"> have a positive impact on the </w:t>
      </w:r>
      <w:r w:rsidR="00AE300C">
        <w:t>median income ratio</w:t>
      </w:r>
      <w:r w:rsidR="00B26780" w:rsidRPr="00E92972">
        <w:t xml:space="preserve">, as </w:t>
      </w:r>
      <w:r w:rsidR="00B26780">
        <w:t>credit</w:t>
      </w:r>
      <w:r w:rsidR="00B26780" w:rsidRPr="00E92972">
        <w:t xml:space="preserve"> provides an additional source of</w:t>
      </w:r>
      <w:r w:rsidR="00B26780">
        <w:t xml:space="preserve"> financing which can be used for</w:t>
      </w:r>
      <w:r w:rsidR="00B26780" w:rsidRPr="00E92972">
        <w:t xml:space="preserve"> consumption and investment. </w:t>
      </w:r>
      <w:r w:rsidR="00B26780">
        <w:t>This effect is defined by the composition of debt holdings</w:t>
      </w:r>
      <w:r w:rsidR="0099081D">
        <w:rPr>
          <w:rStyle w:val="FootnoteReference"/>
        </w:rPr>
        <w:footnoteReference w:id="11"/>
      </w:r>
      <w:r w:rsidR="00B26780">
        <w:t xml:space="preserve">. </w:t>
      </w:r>
      <w:r w:rsidR="00955A56">
        <w:t>T</w:t>
      </w:r>
      <w:r w:rsidR="00B26780">
        <w:t xml:space="preserve">he relationship </w:t>
      </w:r>
      <w:r w:rsidR="00955A56">
        <w:t xml:space="preserve">is expected </w:t>
      </w:r>
      <w:r w:rsidR="00B26780">
        <w:t>to be positive for the greater share of</w:t>
      </w:r>
      <w:r w:rsidR="00B26780" w:rsidRPr="00E92972">
        <w:t xml:space="preserve"> debt secured by housing</w:t>
      </w:r>
      <w:r w:rsidR="00B26780">
        <w:t xml:space="preserve"> in total </w:t>
      </w:r>
      <w:r w:rsidR="002939ED">
        <w:t xml:space="preserve">debt </w:t>
      </w:r>
      <w:r w:rsidR="00B26780">
        <w:t>holdings</w:t>
      </w:r>
      <w:r w:rsidR="00B26780" w:rsidRPr="00E92972">
        <w:t>,</w:t>
      </w:r>
      <w:r w:rsidR="00B26780">
        <w:t xml:space="preserve"> as it allows </w:t>
      </w:r>
      <w:r w:rsidR="00B26780" w:rsidRPr="00E92972">
        <w:t>for home equity withdrawal</w:t>
      </w:r>
      <w:r w:rsidR="00A17D71">
        <w:t xml:space="preserve"> and further purchases of assets on which capital income can be earned</w:t>
      </w:r>
      <w:r w:rsidR="00FA25B8">
        <w:t xml:space="preserve"> (Williams 2016)</w:t>
      </w:r>
      <w:r w:rsidR="00B26780" w:rsidRPr="00E92972">
        <w:t xml:space="preserve">. In contrast, </w:t>
      </w:r>
      <w:r w:rsidR="00B26780">
        <w:t>greater reliance on</w:t>
      </w:r>
      <w:r w:rsidR="00B26780" w:rsidRPr="00E92972">
        <w:t xml:space="preserve"> unsecured debt </w:t>
      </w:r>
      <w:r w:rsidR="00B26780">
        <w:t>in total liabilities is</w:t>
      </w:r>
      <w:r w:rsidR="00B26780" w:rsidRPr="00E92972">
        <w:t xml:space="preserve"> expected to decrease the median</w:t>
      </w:r>
      <w:r w:rsidR="00B26780">
        <w:t xml:space="preserve"> income</w:t>
      </w:r>
      <w:r w:rsidR="00B26780" w:rsidRPr="00E92972">
        <w:t xml:space="preserve"> ratio, as</w:t>
      </w:r>
      <w:r w:rsidR="00B7276E">
        <w:t xml:space="preserve"> </w:t>
      </w:r>
      <w:r w:rsidR="00B26780" w:rsidRPr="00E92972">
        <w:t xml:space="preserve">this type of </w:t>
      </w:r>
      <w:r w:rsidR="00B26780">
        <w:t>debt</w:t>
      </w:r>
      <w:r w:rsidR="00B26780" w:rsidRPr="00E92972">
        <w:t xml:space="preserve"> is predominant</w:t>
      </w:r>
      <w:r w:rsidR="00B7276E">
        <w:t>ly used by</w:t>
      </w:r>
      <w:r w:rsidR="00B26780">
        <w:t xml:space="preserve"> </w:t>
      </w:r>
      <w:r w:rsidR="00B26780" w:rsidRPr="00E92972">
        <w:t>low-income households</w:t>
      </w:r>
      <w:r w:rsidR="00B7276E">
        <w:t xml:space="preserve"> to cover necessary expenses</w:t>
      </w:r>
      <w:r w:rsidR="00A82C06">
        <w:t xml:space="preserve"> (</w:t>
      </w:r>
      <w:proofErr w:type="spellStart"/>
      <w:r w:rsidR="00D071FC">
        <w:t>Pollin</w:t>
      </w:r>
      <w:proofErr w:type="spellEnd"/>
      <w:r w:rsidR="00D071FC">
        <w:t xml:space="preserve"> 1990; </w:t>
      </w:r>
      <w:proofErr w:type="spellStart"/>
      <w:r w:rsidR="00D071FC">
        <w:t>Servon</w:t>
      </w:r>
      <w:proofErr w:type="spellEnd"/>
      <w:r w:rsidR="00D071FC">
        <w:t xml:space="preserve"> 2018</w:t>
      </w:r>
      <w:r w:rsidR="00A82C06">
        <w:t>)</w:t>
      </w:r>
      <w:r w:rsidR="00B26780" w:rsidRPr="00E92972">
        <w:t xml:space="preserve">. </w:t>
      </w:r>
      <w:r w:rsidR="00C6174F">
        <w:t>The estimation</w:t>
      </w:r>
      <w:r w:rsidR="00B26780" w:rsidRPr="00E92972">
        <w:t xml:space="preserve"> </w:t>
      </w:r>
      <w:r w:rsidR="00B26780">
        <w:t>distinguish</w:t>
      </w:r>
      <w:r w:rsidR="00C6174F">
        <w:t>es</w:t>
      </w:r>
      <w:r w:rsidR="00B26780">
        <w:t xml:space="preserve"> between</w:t>
      </w:r>
      <w:r w:rsidR="00B26780" w:rsidRPr="00E92972">
        <w:t xml:space="preserve"> </w:t>
      </w:r>
      <w:r w:rsidR="00FA25B8">
        <w:t xml:space="preserve">relative holdings of </w:t>
      </w:r>
      <w:r w:rsidR="00B26780" w:rsidRPr="00E92972">
        <w:t>mortgage</w:t>
      </w:r>
      <w:r w:rsidR="00FA25B8">
        <w:t xml:space="preserve"> debt</w:t>
      </w:r>
      <w:r w:rsidR="00B26780" w:rsidRPr="00E92972">
        <w:t xml:space="preserve"> </w:t>
      </w:r>
      <w:r w:rsidR="00FA25B8">
        <w:t>(</w:t>
      </w:r>
      <w:r w:rsidR="00B26780" w:rsidRPr="00E92972">
        <w:t>secured by primary residence and by other property</w:t>
      </w:r>
      <w:r w:rsidR="00FA25B8">
        <w:t xml:space="preserve">), </w:t>
      </w:r>
      <w:r w:rsidR="00B26780">
        <w:t xml:space="preserve">unsecured debt </w:t>
      </w:r>
      <w:r w:rsidR="00FA25B8">
        <w:t>(</w:t>
      </w:r>
      <w:r w:rsidR="00B26780" w:rsidRPr="00E92972">
        <w:t>instalment loans and credit card balances</w:t>
      </w:r>
      <w:r w:rsidR="00FA25B8">
        <w:t>), and other types of debt (</w:t>
      </w:r>
      <w:r w:rsidR="00B26780" w:rsidRPr="00E92972">
        <w:t>other lines of credit and other debt</w:t>
      </w:r>
      <w:r w:rsidR="00FA25B8">
        <w:t>)</w:t>
      </w:r>
      <w:r w:rsidR="00B26780" w:rsidRPr="00E92972">
        <w:t>.</w:t>
      </w:r>
    </w:p>
    <w:p w14:paraId="763E4707" w14:textId="2EBB5FD4" w:rsidR="00B26780" w:rsidRDefault="003E37BB" w:rsidP="00B26780">
      <w:r>
        <w:t>C</w:t>
      </w:r>
      <w:r w:rsidR="00B26780">
        <w:t>onsideration of the impact of household balance sheet composition</w:t>
      </w:r>
      <w:r w:rsidR="00B26780" w:rsidRPr="00E92972">
        <w:t xml:space="preserve"> on</w:t>
      </w:r>
      <w:r w:rsidR="00A70729">
        <w:t xml:space="preserve"> relative</w:t>
      </w:r>
      <w:r w:rsidR="00B26780" w:rsidRPr="00E92972">
        <w:t xml:space="preserve"> </w:t>
      </w:r>
      <w:r w:rsidR="00C07221">
        <w:t>income</w:t>
      </w:r>
      <w:r w:rsidR="00B26780" w:rsidRPr="00E92972">
        <w:t xml:space="preserve"> </w:t>
      </w:r>
      <w:r w:rsidR="00B26780">
        <w:t xml:space="preserve">calls for </w:t>
      </w:r>
      <w:r w:rsidR="00C6174F">
        <w:t>analysis</w:t>
      </w:r>
      <w:r w:rsidR="00B26780">
        <w:t xml:space="preserve"> of leverage measures</w:t>
      </w:r>
      <w:r w:rsidR="00C6174F">
        <w:t>, which include</w:t>
      </w:r>
      <w:r w:rsidR="00B26780" w:rsidRPr="00E92972">
        <w:t xml:space="preserve"> the</w:t>
      </w:r>
      <w:r w:rsidR="00B26780">
        <w:t xml:space="preserve"> monthly</w:t>
      </w:r>
      <w:r w:rsidR="00B26780" w:rsidRPr="00E92972">
        <w:t xml:space="preserve"> </w:t>
      </w:r>
      <w:r w:rsidR="00B26780">
        <w:t xml:space="preserve">debt-service-to-income ratio </w:t>
      </w:r>
      <w:r w:rsidR="00B26780" w:rsidRPr="00E92972">
        <w:t>(</w:t>
      </w:r>
      <w:r w:rsidR="00B26780">
        <w:t>DSY</w:t>
      </w:r>
      <w:r w:rsidR="00B26780" w:rsidRPr="00E92972">
        <w:t>)</w:t>
      </w:r>
      <w:r w:rsidR="00B26780">
        <w:t>, debt-to-asset ratio, and debt-to-income ratio</w:t>
      </w:r>
      <w:r w:rsidR="00B26780" w:rsidRPr="00E92972">
        <w:t>.</w:t>
      </w:r>
      <w:r w:rsidR="00D36126">
        <w:t xml:space="preserve"> </w:t>
      </w:r>
      <w:r w:rsidR="00C6174F">
        <w:t>Analysis</w:t>
      </w:r>
      <w:r w:rsidR="00D36126">
        <w:t xml:space="preserve"> of several </w:t>
      </w:r>
      <w:r w:rsidR="00C6174F">
        <w:t>leverage indicators</w:t>
      </w:r>
      <w:r w:rsidR="00D36126">
        <w:t xml:space="preserve"> </w:t>
      </w:r>
      <w:r w:rsidR="00784C3D">
        <w:t>reflects</w:t>
      </w:r>
      <w:r w:rsidR="00D36126">
        <w:t xml:space="preserve"> </w:t>
      </w:r>
      <w:r w:rsidR="00D36126">
        <w:lastRenderedPageBreak/>
        <w:t>different circumstances of indebtedness – for instance, rich households in the dataset have the largest debt-to-income ratios but the smallest ratios of debt to assets.</w:t>
      </w:r>
      <w:r w:rsidR="00784C3D">
        <w:t xml:space="preserve"> Moreover, while the ratio of debt service to income has been on the decline for all households, the ratio of debt to assets </w:t>
      </w:r>
      <w:r w:rsidR="00C6174F">
        <w:t>has</w:t>
      </w:r>
      <w:r w:rsidR="00784C3D">
        <w:t xml:space="preserve"> increased at the bottom of the distribution</w:t>
      </w:r>
      <w:r w:rsidR="00B26780">
        <w:t>. Higher debt-service-to-income ratio and debt-to-asset ratio are</w:t>
      </w:r>
      <w:r w:rsidR="00B26780" w:rsidRPr="00E92972">
        <w:t xml:space="preserve"> expected to </w:t>
      </w:r>
      <w:r w:rsidR="00B26780">
        <w:t xml:space="preserve">be </w:t>
      </w:r>
      <w:r w:rsidR="00B26780" w:rsidRPr="00E92972">
        <w:t>negative</w:t>
      </w:r>
      <w:r w:rsidR="00B26780">
        <w:t xml:space="preserve">ly associated </w:t>
      </w:r>
      <w:r w:rsidR="00B26780" w:rsidRPr="00E92972">
        <w:t xml:space="preserve">with </w:t>
      </w:r>
      <w:r w:rsidR="00C07221">
        <w:t>the median income ratio</w:t>
      </w:r>
      <w:r w:rsidR="00B26780" w:rsidRPr="00E92972">
        <w:t xml:space="preserve"> as households</w:t>
      </w:r>
      <w:r w:rsidR="00B26780">
        <w:t xml:space="preserve"> with high values of these ratios </w:t>
      </w:r>
      <w:r w:rsidR="00B26780" w:rsidRPr="00E92972">
        <w:t xml:space="preserve">tend to </w:t>
      </w:r>
      <w:r w:rsidR="00B26780">
        <w:t>be towards the bottom of the distribution</w:t>
      </w:r>
      <w:r w:rsidR="00B26780" w:rsidRPr="00E92972">
        <w:t>.</w:t>
      </w:r>
      <w:r w:rsidR="00B26780">
        <w:t xml:space="preserve"> Conversely, the debt-to-income ratio </w:t>
      </w:r>
      <w:r w:rsidR="00B045B0">
        <w:t xml:space="preserve">is expected </w:t>
      </w:r>
      <w:r w:rsidR="00B26780">
        <w:t xml:space="preserve">to be positively associated with </w:t>
      </w:r>
      <w:r w:rsidR="00C07221">
        <w:t>the median income ratio</w:t>
      </w:r>
      <w:r w:rsidR="00B26780">
        <w:t xml:space="preserve"> as households at the top of the distribution </w:t>
      </w:r>
      <w:r>
        <w:t>tend</w:t>
      </w:r>
      <w:r w:rsidR="00B26780">
        <w:t xml:space="preserve"> to have higher values of this ratio than the rest.</w:t>
      </w:r>
    </w:p>
    <w:p w14:paraId="1BBE2349" w14:textId="1F67FCA9" w:rsidR="00AF6F4F" w:rsidRDefault="00A70729" w:rsidP="00AF6F4F">
      <w:pPr>
        <w:ind w:firstLine="720"/>
      </w:pPr>
      <w:r>
        <w:t>For each of these balance sheet composition variables, Theil-Sen median slopes are estimated for all waves between 1989 and 2013</w:t>
      </w:r>
      <w:r w:rsidRPr="00A70729">
        <w:t xml:space="preserve"> </w:t>
      </w:r>
      <w:r>
        <w:t xml:space="preserve">individually. </w:t>
      </w:r>
      <w:r w:rsidR="00AF6F4F" w:rsidRPr="00AF6F4F">
        <w:t xml:space="preserve">The Theil-Sen median slope </w:t>
      </w:r>
      <w:r w:rsidR="00C6174F">
        <w:t>is first</w:t>
      </w:r>
      <w:r w:rsidR="00AF6F4F" w:rsidRPr="00AF6F4F">
        <w:t xml:space="preserve"> estimated</w:t>
      </w:r>
      <w:r w:rsidR="00AF6F4F">
        <w:t xml:space="preserve"> for the whole sample, and</w:t>
      </w:r>
      <w:r w:rsidR="00AF6F4F" w:rsidRPr="00AF6F4F">
        <w:t xml:space="preserve"> </w:t>
      </w:r>
      <w:r w:rsidR="00C6174F">
        <w:t xml:space="preserve">then </w:t>
      </w:r>
      <w:r w:rsidR="00AF6F4F" w:rsidRPr="00AF6F4F">
        <w:t xml:space="preserve">separately </w:t>
      </w:r>
      <w:r w:rsidR="00AF6F4F">
        <w:t xml:space="preserve">for different income groups and </w:t>
      </w:r>
      <w:r w:rsidR="00AF6F4F" w:rsidRPr="00AF6F4F">
        <w:t>across gender, race, and age cohort</w:t>
      </w:r>
      <w:r w:rsidR="00AF6F4F">
        <w:t>.</w:t>
      </w:r>
      <w:r w:rsidR="00AF6F4F" w:rsidRPr="00AF6F4F">
        <w:t xml:space="preserve"> </w:t>
      </w:r>
      <w:r w:rsidR="00AF6F4F">
        <w:t xml:space="preserve">The analysis compares households in the bottom 20% and top 10% of </w:t>
      </w:r>
      <w:r w:rsidR="00C6174F">
        <w:t xml:space="preserve">the </w:t>
      </w:r>
      <w:r w:rsidR="00AF6F4F">
        <w:t>income distribution,</w:t>
      </w:r>
      <w:r w:rsidR="00AF6F4F" w:rsidRPr="00AF6F4F">
        <w:t xml:space="preserve"> female and male households, households headed by Blacks/Latinos to Whites/other ethnicities</w:t>
      </w:r>
      <w:r w:rsidR="009620F8">
        <w:rPr>
          <w:rStyle w:val="FootnoteReference"/>
        </w:rPr>
        <w:footnoteReference w:id="12"/>
      </w:r>
      <w:r w:rsidR="00AF6F4F" w:rsidRPr="00AF6F4F">
        <w:t xml:space="preserve">, and households headed by millennials to baby boomers. In the USA, these socio-demographic groups are known to be economically disadvantaged relative to their counterparts, and the task of this analysis is to illuminate the resulting disparities in the </w:t>
      </w:r>
      <w:r w:rsidR="00C6174F">
        <w:t xml:space="preserve">impact of the </w:t>
      </w:r>
      <w:r w:rsidR="00AF6F4F" w:rsidRPr="00AF6F4F">
        <w:t xml:space="preserve">accumulation of specific </w:t>
      </w:r>
      <w:r w:rsidR="00C6174F">
        <w:t>types of wealth on relative income</w:t>
      </w:r>
      <w:r w:rsidR="00AF6F4F" w:rsidRPr="00AF6F4F">
        <w:t xml:space="preserve">. </w:t>
      </w:r>
      <w:r w:rsidR="00DC5AAD">
        <w:t>It is</w:t>
      </w:r>
      <w:r w:rsidR="00AF6F4F" w:rsidRPr="00AF6F4F">
        <w:t xml:space="preserve"> expect</w:t>
      </w:r>
      <w:r w:rsidR="00DC5AAD">
        <w:t>ed</w:t>
      </w:r>
      <w:r w:rsidR="00AF6F4F" w:rsidRPr="00AF6F4F">
        <w:t xml:space="preserve"> that due to the high opportunity cost of purchasing assets relative to financing everyday consumption, and because of discrimination issues in credit markets associated with the predatory lending practices, these groups were exposed to more costly forms of borrowing and the impact of asset and debt composition on the median income ratio is likely to be different for </w:t>
      </w:r>
      <w:r w:rsidR="00AF6F4F">
        <w:t>these households</w:t>
      </w:r>
      <w:r w:rsidR="00AF6F4F" w:rsidRPr="00AF6F4F">
        <w:t xml:space="preserve">. </w:t>
      </w:r>
    </w:p>
    <w:p w14:paraId="16417655" w14:textId="4A0E568B" w:rsidR="00AF0259" w:rsidRPr="00E92972" w:rsidRDefault="00572847" w:rsidP="00A70729">
      <w:pPr>
        <w:rPr>
          <w:rFonts w:ascii="Times New Roman" w:hAnsi="Times New Roman" w:cs="Times New Roman"/>
        </w:rPr>
      </w:pPr>
      <w:r>
        <w:t>In addition to the median slope analysis, the paper evaluates the empirical regularities between wealth composition and relative income when controlling for household characteristics,</w:t>
      </w:r>
      <w:r w:rsidR="00AF6F4F">
        <w:t xml:space="preserve"> g</w:t>
      </w:r>
      <w:r w:rsidR="00A70729">
        <w:t>iven</w:t>
      </w:r>
      <w:r>
        <w:t xml:space="preserve"> the</w:t>
      </w:r>
      <w:r w:rsidR="00A70729">
        <w:t xml:space="preserve"> caveats </w:t>
      </w:r>
      <w:r>
        <w:t xml:space="preserve">of regression analysis </w:t>
      </w:r>
      <w:r w:rsidR="00A70729">
        <w:t>outlined above</w:t>
      </w:r>
      <w:r>
        <w:t>. We</w:t>
      </w:r>
      <w:r w:rsidR="00A70729">
        <w:t>alth composition variables are included one by one in a regression</w:t>
      </w:r>
      <w:r>
        <w:t xml:space="preserve"> model</w:t>
      </w:r>
      <w:r w:rsidR="00A70729">
        <w:t xml:space="preserve"> in each wave </w:t>
      </w:r>
      <w:r>
        <w:t xml:space="preserve">of the survey </w:t>
      </w:r>
      <w:r w:rsidR="00A70729">
        <w:t xml:space="preserve">in order to examine the significance </w:t>
      </w:r>
      <w:r>
        <w:t xml:space="preserve">and strength </w:t>
      </w:r>
      <w:r w:rsidR="00A70729">
        <w:t xml:space="preserve">of the relationship when controlling for household characteristics. </w:t>
      </w:r>
      <w:r w:rsidR="00AF0259" w:rsidRPr="00E92972">
        <w:t>E</w:t>
      </w:r>
      <w:r w:rsidR="00AF0259">
        <w:t>quation 3</w:t>
      </w:r>
      <w:r w:rsidR="00AF0259" w:rsidRPr="00E92972">
        <w:t xml:space="preserve"> presents the baseline regression </w:t>
      </w:r>
      <w:r w:rsidR="00AF0259">
        <w:t>specification</w:t>
      </w:r>
      <w:r w:rsidR="00AF0259" w:rsidRPr="00E92972">
        <w:t xml:space="preserve">. The dependent variable </w:t>
      </w:r>
      <w:proofErr w:type="spellStart"/>
      <w:proofErr w:type="gramStart"/>
      <w:r w:rsidR="00AF0259" w:rsidRPr="00A64F3B">
        <w:rPr>
          <w:i/>
        </w:rPr>
        <w:t>z</w:t>
      </w:r>
      <w:r w:rsidR="00AF0259" w:rsidRPr="00A64F3B">
        <w:rPr>
          <w:i/>
          <w:vertAlign w:val="subscript"/>
        </w:rPr>
        <w:t>i,t</w:t>
      </w:r>
      <w:proofErr w:type="spellEnd"/>
      <w:proofErr w:type="gramEnd"/>
      <w:r w:rsidR="00AF0259" w:rsidRPr="00E92972">
        <w:t xml:space="preserve"> is </w:t>
      </w:r>
      <w:r w:rsidR="00AF0259">
        <w:t xml:space="preserve">the </w:t>
      </w:r>
      <w:r w:rsidR="00AE300C">
        <w:t>median income ratio</w:t>
      </w:r>
      <w:r w:rsidR="00A70729">
        <w:t xml:space="preserve"> </w:t>
      </w:r>
      <w:r w:rsidR="00AF0259" w:rsidRPr="00E92972">
        <w:t xml:space="preserve">of household </w:t>
      </w:r>
      <w:proofErr w:type="spellStart"/>
      <w:r w:rsidR="00AF0259" w:rsidRPr="00A64F3B">
        <w:rPr>
          <w:i/>
        </w:rPr>
        <w:t>i</w:t>
      </w:r>
      <w:proofErr w:type="spellEnd"/>
      <w:r w:rsidR="00AF0259" w:rsidRPr="00E92972">
        <w:t xml:space="preserve"> in wave </w:t>
      </w:r>
      <w:r w:rsidR="00AF0259" w:rsidRPr="00A64F3B">
        <w:rPr>
          <w:i/>
        </w:rPr>
        <w:t>t</w:t>
      </w:r>
      <w:r w:rsidR="00364A63">
        <w:t xml:space="preserve">. </w:t>
      </w:r>
      <w:proofErr w:type="spellStart"/>
      <w:r w:rsidR="00AF0259" w:rsidRPr="00A64F3B">
        <w:rPr>
          <w:i/>
        </w:rPr>
        <w:t>X</w:t>
      </w:r>
      <w:r w:rsidR="00AF0259" w:rsidRPr="00E4709A">
        <w:rPr>
          <w:i/>
          <w:vertAlign w:val="subscript"/>
        </w:rPr>
        <w:t>i,t</w:t>
      </w:r>
      <w:proofErr w:type="spellEnd"/>
      <w:r w:rsidR="00AF0259" w:rsidRPr="00E92972">
        <w:t xml:space="preserve"> is the matrix of regressors </w:t>
      </w:r>
      <w:r w:rsidR="00AF0259">
        <w:t xml:space="preserve">for each observation over time, </w:t>
      </w:r>
      <w:r w:rsidR="00AF0259" w:rsidRPr="00E92972">
        <w:t xml:space="preserve">and </w:t>
      </w:r>
      <w:r w:rsidR="00AF0259" w:rsidRPr="00A64F3B">
        <w:rPr>
          <w:i/>
        </w:rPr>
        <w:t>β</w:t>
      </w:r>
      <w:r w:rsidR="00AF0259" w:rsidRPr="00E92972">
        <w:t xml:space="preserve"> </w:t>
      </w:r>
      <w:r w:rsidR="00AF0259">
        <w:t xml:space="preserve">is </w:t>
      </w:r>
      <w:r w:rsidR="00AF0259" w:rsidRPr="00E92972">
        <w:t>the matrix of estimated coefficients.</w:t>
      </w:r>
      <w:r w:rsidR="00AF0259">
        <w:t xml:space="preserve"> </w:t>
      </w:r>
      <w:r w:rsidR="00AF0259" w:rsidRPr="00E92972">
        <w:t>The error term</w:t>
      </w:r>
      <w:r w:rsidR="00AF0259">
        <w:t xml:space="preserve"> is denoted by </w:t>
      </w:r>
      <m:oMath>
        <m:r>
          <w:rPr>
            <w:rFonts w:ascii="Cambria Math" w:hAnsi="Cambria Math"/>
          </w:rPr>
          <m:t>ε</m:t>
        </m:r>
      </m:oMath>
      <w:proofErr w:type="gramStart"/>
      <w:r w:rsidR="00AF0259" w:rsidRPr="00E4709A">
        <w:rPr>
          <w:i/>
          <w:vertAlign w:val="subscript"/>
        </w:rPr>
        <w:t>i,t</w:t>
      </w:r>
      <w:r w:rsidR="00AF0259" w:rsidRPr="00E92972">
        <w:t>.</w:t>
      </w:r>
      <w:proofErr w:type="gramEnd"/>
    </w:p>
    <w:p w14:paraId="109A9B38" w14:textId="7B23F2EB" w:rsidR="00AF0259" w:rsidRPr="00AF0259" w:rsidRDefault="007506EB" w:rsidP="00AF0259">
      <w:pPr>
        <w:jc w:val="right"/>
      </w:pPr>
      <m:oMath>
        <m:sSub>
          <m:sSubPr>
            <m:ctrlPr>
              <w:rPr>
                <w:rFonts w:ascii="Cambria Math" w:hAnsi="Cambria Math"/>
              </w:rPr>
            </m:ctrlPr>
          </m:sSubPr>
          <m:e>
            <m:r>
              <w:rPr>
                <w:rFonts w:ascii="Cambria Math" w:hAnsi="Cambria Math"/>
              </w:rPr>
              <m:t>z</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β</m:t>
        </m:r>
        <m:r>
          <m:rPr>
            <m:sty m:val="p"/>
          </m:rPr>
          <w:rPr>
            <w:rFonts w:ascii="Cambria Math" w:hAnsi="Cambria Math"/>
          </w:rPr>
          <m:t xml:space="preserve">+ </m:t>
        </m:r>
        <m:sSub>
          <m:sSubPr>
            <m:ctrlPr>
              <w:rPr>
                <w:rFonts w:ascii="Cambria Math" w:hAnsi="Cambria Math"/>
              </w:rPr>
            </m:ctrlPr>
          </m:sSubPr>
          <m:e>
            <m:r>
              <w:rPr>
                <w:rFonts w:ascii="Cambria Math" w:hAnsi="Cambria Math"/>
              </w:rPr>
              <m:t>ε</m:t>
            </m:r>
          </m:e>
          <m:sub>
            <m:r>
              <w:rPr>
                <w:rFonts w:ascii="Cambria Math" w:hAnsi="Cambria Math"/>
              </w:rPr>
              <m:t>i</m:t>
            </m:r>
            <m:r>
              <m:rPr>
                <m:sty m:val="p"/>
              </m:rPr>
              <w:rPr>
                <w:rFonts w:ascii="Cambria Math" w:hAnsi="Cambria Math"/>
              </w:rPr>
              <m:t>,</m:t>
            </m:r>
            <m:r>
              <w:rPr>
                <w:rFonts w:ascii="Cambria Math" w:hAnsi="Cambria Math"/>
              </w:rPr>
              <m:t>t</m:t>
            </m:r>
          </m:sub>
        </m:sSub>
      </m:oMath>
      <w:r w:rsidR="00AF0259" w:rsidRPr="00E92972">
        <w:tab/>
      </w:r>
      <w:r w:rsidR="00AF0259">
        <w:tab/>
      </w:r>
      <w:r w:rsidR="00AF0259" w:rsidRPr="00AA22CA">
        <w:rPr>
          <w:i/>
        </w:rPr>
        <w:t>t</w:t>
      </w:r>
      <w:r w:rsidR="00AF0259">
        <w:rPr>
          <w:i/>
        </w:rPr>
        <w:t xml:space="preserve"> </w:t>
      </w:r>
      <w:r w:rsidR="00AF0259" w:rsidRPr="00AA22CA">
        <w:rPr>
          <w:i/>
        </w:rPr>
        <w:t>=</w:t>
      </w:r>
      <w:r w:rsidR="00AF0259">
        <w:rPr>
          <w:i/>
        </w:rPr>
        <w:t xml:space="preserve"> </w:t>
      </w:r>
      <w:r w:rsidR="00AF0259" w:rsidRPr="00AA22CA">
        <w:rPr>
          <w:i/>
        </w:rPr>
        <w:t>1989,</w:t>
      </w:r>
      <w:r w:rsidR="00AF0259">
        <w:rPr>
          <w:i/>
        </w:rPr>
        <w:t xml:space="preserve"> </w:t>
      </w:r>
      <w:r w:rsidR="00AF0259" w:rsidRPr="00AA22CA">
        <w:rPr>
          <w:i/>
        </w:rPr>
        <w:t>1992,</w:t>
      </w:r>
      <w:r w:rsidR="00AF0259">
        <w:rPr>
          <w:i/>
        </w:rPr>
        <w:t xml:space="preserve"> </w:t>
      </w:r>
      <w:r w:rsidR="00AF0259" w:rsidRPr="00AA22CA">
        <w:rPr>
          <w:i/>
        </w:rPr>
        <w:t>1995,</w:t>
      </w:r>
      <w:r w:rsidR="00AF0259">
        <w:rPr>
          <w:i/>
        </w:rPr>
        <w:t xml:space="preserve"> </w:t>
      </w:r>
      <w:proofErr w:type="gramStart"/>
      <w:r w:rsidR="00AF0259" w:rsidRPr="00AA22CA">
        <w:rPr>
          <w:i/>
        </w:rPr>
        <w:t>…</w:t>
      </w:r>
      <w:r w:rsidR="00AF0259">
        <w:rPr>
          <w:i/>
        </w:rPr>
        <w:t xml:space="preserve"> </w:t>
      </w:r>
      <w:r w:rsidR="00AF0259" w:rsidRPr="00AA22CA">
        <w:rPr>
          <w:i/>
        </w:rPr>
        <w:t>,</w:t>
      </w:r>
      <w:proofErr w:type="gramEnd"/>
      <w:r w:rsidR="00AF0259">
        <w:rPr>
          <w:i/>
        </w:rPr>
        <w:t xml:space="preserve"> </w:t>
      </w:r>
      <w:r w:rsidR="00AF0259" w:rsidRPr="00AA22CA">
        <w:rPr>
          <w:i/>
        </w:rPr>
        <w:t>2013</w:t>
      </w:r>
      <w:r w:rsidR="00AF0259">
        <w:tab/>
      </w:r>
      <w:r w:rsidR="00AF0259">
        <w:tab/>
        <w:t>(3</w:t>
      </w:r>
      <w:r w:rsidR="00AF0259" w:rsidRPr="00E92972">
        <w:t>)</w:t>
      </w:r>
    </w:p>
    <w:p w14:paraId="2419E4D8" w14:textId="04DA205F" w:rsidR="00DC5AAD" w:rsidRDefault="00AF0259" w:rsidP="00364A63">
      <w:pPr>
        <w:rPr>
          <w:rFonts w:ascii="Times New Roman" w:hAnsi="Times New Roman" w:cs="Times New Roman"/>
        </w:rPr>
      </w:pPr>
      <w:r>
        <w:rPr>
          <w:rFonts w:ascii="Times New Roman" w:hAnsi="Times New Roman" w:cs="Times New Roman"/>
        </w:rPr>
        <w:lastRenderedPageBreak/>
        <w:t xml:space="preserve">Each regression includes a set of controls corresponding to household characteristics. </w:t>
      </w:r>
      <w:r w:rsidR="00364A63">
        <w:rPr>
          <w:rFonts w:ascii="Times New Roman" w:hAnsi="Times New Roman" w:cs="Times New Roman"/>
        </w:rPr>
        <w:t xml:space="preserve">Firstly, </w:t>
      </w:r>
      <w:r w:rsidR="00B26780" w:rsidRPr="00E92972">
        <w:rPr>
          <w:rFonts w:ascii="Times New Roman" w:hAnsi="Times New Roman" w:cs="Times New Roman"/>
        </w:rPr>
        <w:t>age</w:t>
      </w:r>
      <w:r>
        <w:rPr>
          <w:rFonts w:ascii="Times New Roman" w:hAnsi="Times New Roman" w:cs="Times New Roman"/>
        </w:rPr>
        <w:t xml:space="preserve"> of</w:t>
      </w:r>
      <w:r w:rsidR="000E441A">
        <w:rPr>
          <w:rFonts w:ascii="Times New Roman" w:hAnsi="Times New Roman" w:cs="Times New Roman"/>
        </w:rPr>
        <w:t xml:space="preserve"> </w:t>
      </w:r>
      <w:r>
        <w:rPr>
          <w:rFonts w:ascii="Times New Roman" w:hAnsi="Times New Roman" w:cs="Times New Roman"/>
        </w:rPr>
        <w:t xml:space="preserve">household </w:t>
      </w:r>
      <w:r w:rsidR="00DC5AAD">
        <w:rPr>
          <w:rFonts w:ascii="Times New Roman" w:hAnsi="Times New Roman" w:cs="Times New Roman"/>
        </w:rPr>
        <w:t>head</w:t>
      </w:r>
      <w:r w:rsidRPr="00AF0259">
        <w:rPr>
          <w:rFonts w:ascii="Times New Roman" w:hAnsi="Times New Roman" w:cs="Times New Roman"/>
        </w:rPr>
        <w:t xml:space="preserve"> </w:t>
      </w:r>
      <w:r>
        <w:rPr>
          <w:rFonts w:ascii="Times New Roman" w:hAnsi="Times New Roman" w:cs="Times New Roman"/>
        </w:rPr>
        <w:t xml:space="preserve">and the value of </w:t>
      </w:r>
      <w:r w:rsidRPr="00E92972">
        <w:rPr>
          <w:rFonts w:ascii="Times New Roman" w:hAnsi="Times New Roman" w:cs="Times New Roman"/>
        </w:rPr>
        <w:t xml:space="preserve">age squared </w:t>
      </w:r>
      <w:r w:rsidR="00364A63">
        <w:rPr>
          <w:rFonts w:ascii="Times New Roman" w:hAnsi="Times New Roman" w:cs="Times New Roman"/>
        </w:rPr>
        <w:t xml:space="preserve">are included </w:t>
      </w:r>
      <w:r w:rsidRPr="00E92972">
        <w:rPr>
          <w:rFonts w:ascii="Times New Roman" w:hAnsi="Times New Roman" w:cs="Times New Roman"/>
        </w:rPr>
        <w:t xml:space="preserve">in order to account for the </w:t>
      </w:r>
      <w:r>
        <w:rPr>
          <w:rFonts w:ascii="Times New Roman" w:hAnsi="Times New Roman" w:cs="Times New Roman"/>
        </w:rPr>
        <w:t xml:space="preserve">presence of the </w:t>
      </w:r>
      <w:r w:rsidRPr="00E92972">
        <w:rPr>
          <w:rFonts w:ascii="Times New Roman" w:hAnsi="Times New Roman" w:cs="Times New Roman"/>
        </w:rPr>
        <w:t>life-cycle effects</w:t>
      </w:r>
      <w:r>
        <w:rPr>
          <w:rFonts w:ascii="Times New Roman" w:hAnsi="Times New Roman" w:cs="Times New Roman"/>
        </w:rPr>
        <w:t xml:space="preserve">. </w:t>
      </w:r>
      <w:r w:rsidR="00B26780">
        <w:rPr>
          <w:rFonts w:ascii="Times New Roman" w:hAnsi="Times New Roman" w:cs="Times New Roman"/>
        </w:rPr>
        <w:t>According to</w:t>
      </w:r>
      <w:r w:rsidR="00B26780" w:rsidRPr="00E92972">
        <w:rPr>
          <w:rFonts w:ascii="Times New Roman" w:hAnsi="Times New Roman" w:cs="Times New Roman"/>
        </w:rPr>
        <w:t xml:space="preserve"> </w:t>
      </w:r>
      <w:r>
        <w:rPr>
          <w:rFonts w:ascii="Times New Roman" w:hAnsi="Times New Roman" w:cs="Times New Roman"/>
        </w:rPr>
        <w:t>the life-cycle</w:t>
      </w:r>
      <w:r w:rsidR="00B26780">
        <w:rPr>
          <w:rFonts w:ascii="Times New Roman" w:hAnsi="Times New Roman" w:cs="Times New Roman"/>
        </w:rPr>
        <w:t xml:space="preserve"> theory, an</w:t>
      </w:r>
      <w:r w:rsidR="00B26780" w:rsidRPr="00E92972">
        <w:rPr>
          <w:rFonts w:ascii="Times New Roman" w:hAnsi="Times New Roman" w:cs="Times New Roman"/>
        </w:rPr>
        <w:t xml:space="preserve"> inverted U-shape</w:t>
      </w:r>
      <w:r w:rsidR="00B26780">
        <w:rPr>
          <w:rFonts w:ascii="Times New Roman" w:hAnsi="Times New Roman" w:cs="Times New Roman"/>
        </w:rPr>
        <w:t>d</w:t>
      </w:r>
      <w:r w:rsidR="00B26780" w:rsidRPr="00E92972">
        <w:rPr>
          <w:rFonts w:ascii="Times New Roman" w:hAnsi="Times New Roman" w:cs="Times New Roman"/>
        </w:rPr>
        <w:t xml:space="preserve"> relationship </w:t>
      </w:r>
      <w:r w:rsidR="00364A63">
        <w:rPr>
          <w:rFonts w:ascii="Times New Roman" w:hAnsi="Times New Roman" w:cs="Times New Roman"/>
        </w:rPr>
        <w:t xml:space="preserve">is expected </w:t>
      </w:r>
      <w:r w:rsidR="00B26780" w:rsidRPr="00E92972">
        <w:rPr>
          <w:rFonts w:ascii="Times New Roman" w:hAnsi="Times New Roman" w:cs="Times New Roman"/>
        </w:rPr>
        <w:t xml:space="preserve">between age and </w:t>
      </w:r>
      <w:r w:rsidR="00B26780">
        <w:rPr>
          <w:rFonts w:ascii="Times New Roman" w:hAnsi="Times New Roman" w:cs="Times New Roman"/>
        </w:rPr>
        <w:t xml:space="preserve">the </w:t>
      </w:r>
      <w:r w:rsidR="00B26780" w:rsidRPr="00E92972">
        <w:rPr>
          <w:rFonts w:ascii="Times New Roman" w:hAnsi="Times New Roman" w:cs="Times New Roman"/>
        </w:rPr>
        <w:t>income</w:t>
      </w:r>
      <w:r w:rsidR="00B26780">
        <w:rPr>
          <w:rFonts w:ascii="Times New Roman" w:hAnsi="Times New Roman" w:cs="Times New Roman"/>
        </w:rPr>
        <w:t xml:space="preserve"> </w:t>
      </w:r>
      <w:r w:rsidR="00034A20">
        <w:rPr>
          <w:rFonts w:ascii="Times New Roman" w:hAnsi="Times New Roman" w:cs="Times New Roman"/>
        </w:rPr>
        <w:t>(Kim 201</w:t>
      </w:r>
      <w:r w:rsidR="006E397A">
        <w:rPr>
          <w:rFonts w:ascii="Times New Roman" w:hAnsi="Times New Roman" w:cs="Times New Roman"/>
        </w:rPr>
        <w:t>7</w:t>
      </w:r>
      <w:r w:rsidR="00034A20">
        <w:rPr>
          <w:rFonts w:ascii="Times New Roman" w:hAnsi="Times New Roman" w:cs="Times New Roman"/>
        </w:rPr>
        <w:t>)</w:t>
      </w:r>
      <w:r w:rsidR="00B26780">
        <w:rPr>
          <w:rFonts w:ascii="Times New Roman" w:hAnsi="Times New Roman" w:cs="Times New Roman"/>
        </w:rPr>
        <w:t>. As households engage</w:t>
      </w:r>
      <w:r w:rsidR="00B26780" w:rsidRPr="00E92972">
        <w:rPr>
          <w:rFonts w:ascii="Times New Roman" w:hAnsi="Times New Roman" w:cs="Times New Roman"/>
        </w:rPr>
        <w:t xml:space="preserve"> in consumption smoothing</w:t>
      </w:r>
      <w:r w:rsidR="00B26780" w:rsidRPr="00286B0F">
        <w:rPr>
          <w:rFonts w:ascii="Times New Roman" w:hAnsi="Times New Roman" w:cs="Times New Roman"/>
        </w:rPr>
        <w:t xml:space="preserve"> </w:t>
      </w:r>
      <w:r w:rsidR="00B26780" w:rsidRPr="00E92972">
        <w:rPr>
          <w:rFonts w:ascii="Times New Roman" w:hAnsi="Times New Roman" w:cs="Times New Roman"/>
        </w:rPr>
        <w:t>over their life-cycle</w:t>
      </w:r>
      <w:r w:rsidR="00B26780">
        <w:rPr>
          <w:rFonts w:ascii="Times New Roman" w:hAnsi="Times New Roman" w:cs="Times New Roman"/>
        </w:rPr>
        <w:t>, they experience the highest levels of relative income during their</w:t>
      </w:r>
      <w:r w:rsidR="00B26780" w:rsidRPr="00E92972">
        <w:rPr>
          <w:rFonts w:ascii="Times New Roman" w:hAnsi="Times New Roman" w:cs="Times New Roman"/>
        </w:rPr>
        <w:t xml:space="preserve"> </w:t>
      </w:r>
      <w:r w:rsidR="00B26780">
        <w:rPr>
          <w:rFonts w:ascii="Times New Roman" w:hAnsi="Times New Roman" w:cs="Times New Roman"/>
        </w:rPr>
        <w:t>productive years, declining after retirement.</w:t>
      </w:r>
      <w:r w:rsidR="00B26780" w:rsidRPr="00E92972">
        <w:rPr>
          <w:rFonts w:ascii="Times New Roman" w:hAnsi="Times New Roman" w:cs="Times New Roman"/>
        </w:rPr>
        <w:t xml:space="preserve"> </w:t>
      </w:r>
      <w:r w:rsidR="00DC5AAD">
        <w:rPr>
          <w:rFonts w:ascii="Times New Roman" w:hAnsi="Times New Roman" w:cs="Times New Roman"/>
        </w:rPr>
        <w:t>To account for the impact of labour market experiences of different household members on household’s median income ratio, regression specification controls for the fraction of adults in a household aged between 18 and 35, 36 and 65, and 66 and above. It is expected that a higher proportion of adults aged between 36 and 65 is associated with a higher median income ratio as household members enter their peak productive years, while negative association is expected for the fraction of adults aged 18 to 35 (who are likely to be in higher education or in formative years of their career) and 66 and above (who are likely retired).</w:t>
      </w:r>
    </w:p>
    <w:p w14:paraId="74513B17" w14:textId="32148542" w:rsidR="009D6742" w:rsidRDefault="00B26780" w:rsidP="00364A63">
      <w:pPr>
        <w:rPr>
          <w:rFonts w:ascii="Times New Roman" w:hAnsi="Times New Roman" w:cs="Times New Roman"/>
        </w:rPr>
      </w:pPr>
      <w:r w:rsidRPr="00E92972">
        <w:rPr>
          <w:rFonts w:ascii="Times New Roman" w:hAnsi="Times New Roman" w:cs="Times New Roman"/>
        </w:rPr>
        <w:t xml:space="preserve">Secondly, </w:t>
      </w:r>
      <w:r w:rsidR="00D7304E">
        <w:rPr>
          <w:rFonts w:ascii="Times New Roman" w:hAnsi="Times New Roman" w:cs="Times New Roman"/>
        </w:rPr>
        <w:t>regression specification controls of</w:t>
      </w:r>
      <w:r>
        <w:rPr>
          <w:rFonts w:ascii="Times New Roman" w:hAnsi="Times New Roman" w:cs="Times New Roman"/>
        </w:rPr>
        <w:t xml:space="preserve"> human capital accumulation through education</w:t>
      </w:r>
      <w:r w:rsidR="00D7304E">
        <w:rPr>
          <w:rFonts w:ascii="Times New Roman" w:hAnsi="Times New Roman" w:cs="Times New Roman"/>
        </w:rPr>
        <w:t>,</w:t>
      </w:r>
      <w:r>
        <w:rPr>
          <w:rFonts w:ascii="Times New Roman" w:hAnsi="Times New Roman" w:cs="Times New Roman"/>
        </w:rPr>
        <w:t xml:space="preserve"> </w:t>
      </w:r>
      <w:r w:rsidR="00D7304E">
        <w:rPr>
          <w:rFonts w:ascii="Times New Roman" w:hAnsi="Times New Roman" w:cs="Times New Roman"/>
        </w:rPr>
        <w:t xml:space="preserve">which is </w:t>
      </w:r>
      <w:r>
        <w:rPr>
          <w:rFonts w:ascii="Times New Roman" w:hAnsi="Times New Roman" w:cs="Times New Roman"/>
        </w:rPr>
        <w:t>measured as</w:t>
      </w:r>
      <w:r w:rsidRPr="00E92972">
        <w:rPr>
          <w:rFonts w:ascii="Times New Roman" w:hAnsi="Times New Roman" w:cs="Times New Roman"/>
        </w:rPr>
        <w:t xml:space="preserve"> the</w:t>
      </w:r>
      <w:r w:rsidR="000E441A">
        <w:rPr>
          <w:rFonts w:ascii="Times New Roman" w:hAnsi="Times New Roman" w:cs="Times New Roman"/>
        </w:rPr>
        <w:t xml:space="preserve"> </w:t>
      </w:r>
      <w:r w:rsidRPr="00E92972">
        <w:rPr>
          <w:rFonts w:ascii="Times New Roman" w:hAnsi="Times New Roman" w:cs="Times New Roman"/>
        </w:rPr>
        <w:t xml:space="preserve">index of the highest educational achievement of </w:t>
      </w:r>
      <w:r w:rsidR="00D7304E">
        <w:rPr>
          <w:rFonts w:ascii="Times New Roman" w:hAnsi="Times New Roman" w:cs="Times New Roman"/>
        </w:rPr>
        <w:t xml:space="preserve">all </w:t>
      </w:r>
      <w:r w:rsidR="000E441A">
        <w:rPr>
          <w:rFonts w:ascii="Times New Roman" w:hAnsi="Times New Roman" w:cs="Times New Roman"/>
        </w:rPr>
        <w:t xml:space="preserve">adult </w:t>
      </w:r>
      <w:r w:rsidRPr="00E92972">
        <w:rPr>
          <w:rFonts w:ascii="Times New Roman" w:hAnsi="Times New Roman" w:cs="Times New Roman"/>
        </w:rPr>
        <w:t xml:space="preserve">household </w:t>
      </w:r>
      <w:r w:rsidR="000E441A">
        <w:rPr>
          <w:rFonts w:ascii="Times New Roman" w:hAnsi="Times New Roman" w:cs="Times New Roman"/>
        </w:rPr>
        <w:t>members</w:t>
      </w:r>
      <w:r w:rsidRPr="00E92972">
        <w:rPr>
          <w:rFonts w:ascii="Times New Roman" w:hAnsi="Times New Roman" w:cs="Times New Roman"/>
        </w:rPr>
        <w:t>, ranging from 1 – no grades completed, to 17 – graduate school</w:t>
      </w:r>
      <w:r w:rsidR="00D7304E">
        <w:rPr>
          <w:rFonts w:ascii="Times New Roman" w:hAnsi="Times New Roman" w:cs="Times New Roman"/>
        </w:rPr>
        <w:t xml:space="preserve">. Higher </w:t>
      </w:r>
      <w:r w:rsidR="00FB5140">
        <w:rPr>
          <w:rFonts w:ascii="Times New Roman" w:hAnsi="Times New Roman" w:cs="Times New Roman"/>
        </w:rPr>
        <w:t>education</w:t>
      </w:r>
      <w:r w:rsidR="00D7304E">
        <w:rPr>
          <w:rFonts w:ascii="Times New Roman" w:hAnsi="Times New Roman" w:cs="Times New Roman"/>
        </w:rPr>
        <w:t>al attainment is expected</w:t>
      </w:r>
      <w:r w:rsidR="00FB5140">
        <w:rPr>
          <w:rFonts w:ascii="Times New Roman" w:hAnsi="Times New Roman" w:cs="Times New Roman"/>
        </w:rPr>
        <w:t xml:space="preserve"> to improve household’s relative income</w:t>
      </w:r>
      <w:r w:rsidR="002179C6">
        <w:rPr>
          <w:rFonts w:ascii="Times New Roman" w:hAnsi="Times New Roman" w:cs="Times New Roman"/>
        </w:rPr>
        <w:t xml:space="preserve"> (Sullivan/</w:t>
      </w:r>
      <w:proofErr w:type="spellStart"/>
      <w:r w:rsidR="002179C6">
        <w:rPr>
          <w:rFonts w:ascii="Times New Roman" w:hAnsi="Times New Roman" w:cs="Times New Roman"/>
        </w:rPr>
        <w:t>Smeeding</w:t>
      </w:r>
      <w:proofErr w:type="spellEnd"/>
      <w:r w:rsidR="002179C6">
        <w:rPr>
          <w:rFonts w:ascii="Times New Roman" w:hAnsi="Times New Roman" w:cs="Times New Roman"/>
        </w:rPr>
        <w:t xml:space="preserve"> 1997)</w:t>
      </w:r>
      <w:r w:rsidR="006D7A4A">
        <w:rPr>
          <w:rStyle w:val="FootnoteReference"/>
        </w:rPr>
        <w:footnoteReference w:id="13"/>
      </w:r>
      <w:r w:rsidRPr="00E92972">
        <w:rPr>
          <w:rFonts w:ascii="Times New Roman" w:hAnsi="Times New Roman" w:cs="Times New Roman"/>
        </w:rPr>
        <w:t xml:space="preserve">. </w:t>
      </w:r>
      <w:r w:rsidR="008C22B9">
        <w:rPr>
          <w:rFonts w:ascii="Times New Roman" w:hAnsi="Times New Roman" w:cs="Times New Roman"/>
        </w:rPr>
        <w:t xml:space="preserve">The reason for including </w:t>
      </w:r>
      <w:r w:rsidR="00D7304E">
        <w:rPr>
          <w:rFonts w:ascii="Times New Roman" w:hAnsi="Times New Roman" w:cs="Times New Roman"/>
        </w:rPr>
        <w:t>the total value</w:t>
      </w:r>
      <w:r w:rsidR="008C22B9">
        <w:rPr>
          <w:rFonts w:ascii="Times New Roman" w:hAnsi="Times New Roman" w:cs="Times New Roman"/>
        </w:rPr>
        <w:t xml:space="preserve"> </w:t>
      </w:r>
      <w:r w:rsidR="00D7304E">
        <w:rPr>
          <w:rFonts w:ascii="Times New Roman" w:hAnsi="Times New Roman" w:cs="Times New Roman"/>
        </w:rPr>
        <w:t>of</w:t>
      </w:r>
      <w:r w:rsidR="008C22B9">
        <w:rPr>
          <w:rFonts w:ascii="Times New Roman" w:hAnsi="Times New Roman" w:cs="Times New Roman"/>
        </w:rPr>
        <w:t xml:space="preserve"> education</w:t>
      </w:r>
      <w:r w:rsidR="00D7304E">
        <w:rPr>
          <w:rFonts w:ascii="Times New Roman" w:hAnsi="Times New Roman" w:cs="Times New Roman"/>
        </w:rPr>
        <w:t>al attainment</w:t>
      </w:r>
      <w:r w:rsidR="008C22B9">
        <w:rPr>
          <w:rFonts w:ascii="Times New Roman" w:hAnsi="Times New Roman" w:cs="Times New Roman"/>
        </w:rPr>
        <w:t xml:space="preserve"> for adult household members </w:t>
      </w:r>
      <w:r w:rsidR="00D7304E">
        <w:rPr>
          <w:rFonts w:ascii="Times New Roman" w:hAnsi="Times New Roman" w:cs="Times New Roman"/>
        </w:rPr>
        <w:t xml:space="preserve">rather than for household head only </w:t>
      </w:r>
      <w:r w:rsidR="008C22B9">
        <w:rPr>
          <w:rFonts w:ascii="Times New Roman" w:hAnsi="Times New Roman" w:cs="Times New Roman"/>
        </w:rPr>
        <w:t>is to account for characteristics of a spouse and other adults</w:t>
      </w:r>
      <w:r w:rsidR="00D7304E">
        <w:rPr>
          <w:rFonts w:ascii="Times New Roman" w:hAnsi="Times New Roman" w:cs="Times New Roman"/>
        </w:rPr>
        <w:t xml:space="preserve"> in the household</w:t>
      </w:r>
      <w:r w:rsidR="008C22B9">
        <w:rPr>
          <w:rFonts w:ascii="Times New Roman" w:hAnsi="Times New Roman" w:cs="Times New Roman"/>
        </w:rPr>
        <w:t xml:space="preserve"> that are pertinent to influencing household’s position in the income distribution</w:t>
      </w:r>
      <w:r w:rsidR="00726EBF">
        <w:rPr>
          <w:rStyle w:val="FootnoteReference"/>
        </w:rPr>
        <w:footnoteReference w:id="14"/>
      </w:r>
      <w:r w:rsidR="008C22B9">
        <w:rPr>
          <w:rFonts w:ascii="Times New Roman" w:hAnsi="Times New Roman" w:cs="Times New Roman"/>
        </w:rPr>
        <w:t>.</w:t>
      </w:r>
    </w:p>
    <w:p w14:paraId="055DA75A" w14:textId="31D5A466" w:rsidR="000E441A" w:rsidRDefault="004C4220" w:rsidP="009D6742">
      <w:pPr>
        <w:rPr>
          <w:rFonts w:ascii="Times New Roman" w:hAnsi="Times New Roman" w:cs="Times New Roman"/>
        </w:rPr>
      </w:pPr>
      <w:r>
        <w:rPr>
          <w:rFonts w:ascii="Times New Roman" w:hAnsi="Times New Roman" w:cs="Times New Roman"/>
        </w:rPr>
        <w:t>Moreover,</w:t>
      </w:r>
      <w:r w:rsidR="00B26780">
        <w:rPr>
          <w:rFonts w:ascii="Times New Roman" w:hAnsi="Times New Roman" w:cs="Times New Roman"/>
        </w:rPr>
        <w:t xml:space="preserve"> dummy variables for gender</w:t>
      </w:r>
      <w:r w:rsidR="00B26780" w:rsidRPr="00E92972">
        <w:rPr>
          <w:rFonts w:ascii="Times New Roman" w:hAnsi="Times New Roman" w:cs="Times New Roman"/>
        </w:rPr>
        <w:t xml:space="preserve"> and race</w:t>
      </w:r>
      <w:r>
        <w:rPr>
          <w:rFonts w:ascii="Times New Roman" w:hAnsi="Times New Roman" w:cs="Times New Roman"/>
        </w:rPr>
        <w:t xml:space="preserve"> are included</w:t>
      </w:r>
      <w:r w:rsidR="00B26780">
        <w:rPr>
          <w:rFonts w:ascii="Times New Roman" w:hAnsi="Times New Roman" w:cs="Times New Roman"/>
        </w:rPr>
        <w:t xml:space="preserve">, equal to 1 for female-headed households and households headed by Blacks or </w:t>
      </w:r>
      <w:r w:rsidR="000E441A">
        <w:rPr>
          <w:rFonts w:ascii="Times New Roman" w:hAnsi="Times New Roman" w:cs="Times New Roman"/>
        </w:rPr>
        <w:t>Latinos</w:t>
      </w:r>
      <w:r w:rsidR="00B26780">
        <w:rPr>
          <w:rFonts w:ascii="Times New Roman" w:hAnsi="Times New Roman" w:cs="Times New Roman"/>
        </w:rPr>
        <w:t xml:space="preserve"> respectively. </w:t>
      </w:r>
      <w:r>
        <w:rPr>
          <w:rFonts w:ascii="Times New Roman" w:hAnsi="Times New Roman" w:cs="Times New Roman"/>
        </w:rPr>
        <w:t>It is</w:t>
      </w:r>
      <w:r w:rsidR="00B26780">
        <w:rPr>
          <w:rFonts w:ascii="Times New Roman" w:hAnsi="Times New Roman" w:cs="Times New Roman"/>
        </w:rPr>
        <w:t xml:space="preserve"> expect</w:t>
      </w:r>
      <w:r>
        <w:rPr>
          <w:rFonts w:ascii="Times New Roman" w:hAnsi="Times New Roman" w:cs="Times New Roman"/>
        </w:rPr>
        <w:t>ed</w:t>
      </w:r>
      <w:r w:rsidR="00B26780" w:rsidRPr="00E92972">
        <w:rPr>
          <w:rFonts w:ascii="Times New Roman" w:hAnsi="Times New Roman" w:cs="Times New Roman"/>
        </w:rPr>
        <w:t xml:space="preserve"> </w:t>
      </w:r>
      <w:r w:rsidR="00B26780">
        <w:rPr>
          <w:rFonts w:ascii="Times New Roman" w:hAnsi="Times New Roman" w:cs="Times New Roman"/>
        </w:rPr>
        <w:t>that households headed by</w:t>
      </w:r>
      <w:r w:rsidR="00B26780" w:rsidRPr="00E92972">
        <w:rPr>
          <w:rFonts w:ascii="Times New Roman" w:hAnsi="Times New Roman" w:cs="Times New Roman"/>
        </w:rPr>
        <w:t xml:space="preserve"> females and </w:t>
      </w:r>
      <w:r w:rsidR="00B26780">
        <w:rPr>
          <w:rFonts w:ascii="Times New Roman" w:hAnsi="Times New Roman" w:cs="Times New Roman"/>
        </w:rPr>
        <w:t xml:space="preserve">Blacks or </w:t>
      </w:r>
      <w:r w:rsidR="000E441A">
        <w:rPr>
          <w:rFonts w:ascii="Times New Roman" w:hAnsi="Times New Roman" w:cs="Times New Roman"/>
        </w:rPr>
        <w:t>Latinos</w:t>
      </w:r>
      <w:r w:rsidR="00B26780" w:rsidRPr="00E92972">
        <w:rPr>
          <w:rFonts w:ascii="Times New Roman" w:hAnsi="Times New Roman" w:cs="Times New Roman"/>
        </w:rPr>
        <w:t xml:space="preserve"> have lower incomes</w:t>
      </w:r>
      <w:r w:rsidR="00B26780">
        <w:rPr>
          <w:rFonts w:ascii="Times New Roman" w:hAnsi="Times New Roman" w:cs="Times New Roman"/>
        </w:rPr>
        <w:t xml:space="preserve"> relative to the median</w:t>
      </w:r>
      <w:r w:rsidR="009D6742">
        <w:rPr>
          <w:rFonts w:ascii="Times New Roman" w:hAnsi="Times New Roman" w:cs="Times New Roman"/>
        </w:rPr>
        <w:t xml:space="preserve"> as these households tend to be concentrated at the bottom quintile of the income distribution</w:t>
      </w:r>
      <w:r w:rsidR="00824A3D">
        <w:rPr>
          <w:rFonts w:ascii="Times New Roman" w:hAnsi="Times New Roman" w:cs="Times New Roman"/>
        </w:rPr>
        <w:t xml:space="preserve"> (U.S. Survey of Consumer Finances)</w:t>
      </w:r>
      <w:r w:rsidR="00B26780" w:rsidRPr="00E92972">
        <w:rPr>
          <w:rFonts w:ascii="Times New Roman" w:hAnsi="Times New Roman" w:cs="Times New Roman"/>
        </w:rPr>
        <w:t>.</w:t>
      </w:r>
      <w:r w:rsidR="00B26780">
        <w:rPr>
          <w:rFonts w:ascii="Times New Roman" w:hAnsi="Times New Roman" w:cs="Times New Roman"/>
        </w:rPr>
        <w:t xml:space="preserve"> Furthermore, </w:t>
      </w:r>
      <w:r>
        <w:rPr>
          <w:rFonts w:ascii="Times New Roman" w:hAnsi="Times New Roman" w:cs="Times New Roman"/>
        </w:rPr>
        <w:t xml:space="preserve">regression specification includes </w:t>
      </w:r>
      <w:r w:rsidR="00B26780">
        <w:rPr>
          <w:rFonts w:ascii="Times New Roman" w:hAnsi="Times New Roman" w:cs="Times New Roman"/>
        </w:rPr>
        <w:t>a dummy variable for m</w:t>
      </w:r>
      <w:r w:rsidR="00B26780" w:rsidRPr="00E92972">
        <w:rPr>
          <w:rFonts w:ascii="Times New Roman" w:hAnsi="Times New Roman" w:cs="Times New Roman"/>
        </w:rPr>
        <w:t>arital status</w:t>
      </w:r>
      <w:r w:rsidR="00B26780">
        <w:rPr>
          <w:rFonts w:ascii="Times New Roman" w:hAnsi="Times New Roman" w:cs="Times New Roman"/>
        </w:rPr>
        <w:t>, equal to 1 if household head is single, and 0 otherwise</w:t>
      </w:r>
      <w:r w:rsidR="000E441A">
        <w:rPr>
          <w:rStyle w:val="FootnoteReference"/>
        </w:rPr>
        <w:footnoteReference w:id="15"/>
      </w:r>
      <w:r w:rsidR="00B26780">
        <w:rPr>
          <w:rFonts w:ascii="Times New Roman" w:hAnsi="Times New Roman" w:cs="Times New Roman"/>
        </w:rPr>
        <w:t xml:space="preserve">. </w:t>
      </w:r>
      <w:r>
        <w:rPr>
          <w:rFonts w:ascii="Times New Roman" w:hAnsi="Times New Roman" w:cs="Times New Roman"/>
        </w:rPr>
        <w:t>S</w:t>
      </w:r>
      <w:r w:rsidR="00B26780">
        <w:rPr>
          <w:rFonts w:ascii="Times New Roman" w:hAnsi="Times New Roman" w:cs="Times New Roman"/>
        </w:rPr>
        <w:t xml:space="preserve">ingle households </w:t>
      </w:r>
      <w:r>
        <w:rPr>
          <w:rFonts w:ascii="Times New Roman" w:hAnsi="Times New Roman" w:cs="Times New Roman"/>
        </w:rPr>
        <w:t xml:space="preserve">are expected </w:t>
      </w:r>
      <w:r w:rsidR="00B26780">
        <w:rPr>
          <w:rFonts w:ascii="Times New Roman" w:hAnsi="Times New Roman" w:cs="Times New Roman"/>
        </w:rPr>
        <w:t>to</w:t>
      </w:r>
      <w:r w:rsidR="00B26780" w:rsidRPr="00E92972">
        <w:rPr>
          <w:rFonts w:ascii="Times New Roman" w:hAnsi="Times New Roman" w:cs="Times New Roman"/>
        </w:rPr>
        <w:t xml:space="preserve"> </w:t>
      </w:r>
      <w:r w:rsidR="00B26780">
        <w:rPr>
          <w:rFonts w:ascii="Times New Roman" w:hAnsi="Times New Roman" w:cs="Times New Roman"/>
        </w:rPr>
        <w:t>have</w:t>
      </w:r>
      <w:r w:rsidR="00B26780" w:rsidRPr="00E92972">
        <w:rPr>
          <w:rFonts w:ascii="Times New Roman" w:hAnsi="Times New Roman" w:cs="Times New Roman"/>
        </w:rPr>
        <w:t xml:space="preserve"> </w:t>
      </w:r>
      <w:r w:rsidR="00B26780">
        <w:rPr>
          <w:rFonts w:ascii="Times New Roman" w:hAnsi="Times New Roman" w:cs="Times New Roman"/>
        </w:rPr>
        <w:t xml:space="preserve">a lower position in the income distribution relative to the median compared to </w:t>
      </w:r>
      <w:r w:rsidR="00B26780" w:rsidRPr="00E92972">
        <w:rPr>
          <w:rFonts w:ascii="Times New Roman" w:hAnsi="Times New Roman" w:cs="Times New Roman"/>
        </w:rPr>
        <w:lastRenderedPageBreak/>
        <w:t>household</w:t>
      </w:r>
      <w:r w:rsidR="00B26780">
        <w:rPr>
          <w:rFonts w:ascii="Times New Roman" w:hAnsi="Times New Roman" w:cs="Times New Roman"/>
        </w:rPr>
        <w:t>s who are married or live</w:t>
      </w:r>
      <w:r w:rsidR="00B26780" w:rsidRPr="00E92972">
        <w:rPr>
          <w:rFonts w:ascii="Times New Roman" w:hAnsi="Times New Roman" w:cs="Times New Roman"/>
        </w:rPr>
        <w:t xml:space="preserve"> in a partnership</w:t>
      </w:r>
      <w:r w:rsidR="00B26780">
        <w:rPr>
          <w:rFonts w:ascii="Times New Roman" w:hAnsi="Times New Roman" w:cs="Times New Roman"/>
        </w:rPr>
        <w:t>, who benefit from joint income streams</w:t>
      </w:r>
      <w:r w:rsidR="00B26780" w:rsidRPr="00E92972">
        <w:rPr>
          <w:rFonts w:ascii="Times New Roman" w:hAnsi="Times New Roman" w:cs="Times New Roman"/>
        </w:rPr>
        <w:t xml:space="preserve"> (cf. Cohen/</w:t>
      </w:r>
      <w:proofErr w:type="spellStart"/>
      <w:r w:rsidR="00B26780" w:rsidRPr="00E92972">
        <w:rPr>
          <w:rFonts w:ascii="Times New Roman" w:hAnsi="Times New Roman" w:cs="Times New Roman"/>
        </w:rPr>
        <w:t>Haberfeld</w:t>
      </w:r>
      <w:proofErr w:type="spellEnd"/>
      <w:r w:rsidR="00B26780" w:rsidRPr="00E92972">
        <w:rPr>
          <w:rFonts w:ascii="Times New Roman" w:hAnsi="Times New Roman" w:cs="Times New Roman"/>
        </w:rPr>
        <w:t xml:space="preserve"> 1991).</w:t>
      </w:r>
      <w:r w:rsidR="009D6742">
        <w:rPr>
          <w:rFonts w:ascii="Times New Roman" w:hAnsi="Times New Roman" w:cs="Times New Roman"/>
        </w:rPr>
        <w:t xml:space="preserve"> </w:t>
      </w:r>
    </w:p>
    <w:p w14:paraId="71C2FCDD" w14:textId="0D722111" w:rsidR="009D6742" w:rsidRDefault="009D6742" w:rsidP="009D6742">
      <w:pPr>
        <w:rPr>
          <w:rFonts w:ascii="Times New Roman" w:hAnsi="Times New Roman" w:cs="Times New Roman"/>
        </w:rPr>
      </w:pPr>
      <w:r>
        <w:rPr>
          <w:rFonts w:ascii="Times New Roman" w:hAnsi="Times New Roman" w:cs="Times New Roman"/>
        </w:rPr>
        <w:t>T</w:t>
      </w:r>
      <w:r w:rsidRPr="00E92972">
        <w:rPr>
          <w:rFonts w:ascii="Times New Roman" w:hAnsi="Times New Roman" w:cs="Times New Roman"/>
        </w:rPr>
        <w:t>o control for</w:t>
      </w:r>
      <w:r>
        <w:rPr>
          <w:rFonts w:ascii="Times New Roman" w:hAnsi="Times New Roman" w:cs="Times New Roman"/>
        </w:rPr>
        <w:t xml:space="preserve"> </w:t>
      </w:r>
      <w:r w:rsidRPr="00E92972">
        <w:rPr>
          <w:rFonts w:ascii="Times New Roman" w:hAnsi="Times New Roman" w:cs="Times New Roman"/>
        </w:rPr>
        <w:t xml:space="preserve">household size, </w:t>
      </w:r>
      <w:r w:rsidR="004C4220">
        <w:rPr>
          <w:rFonts w:ascii="Times New Roman" w:hAnsi="Times New Roman" w:cs="Times New Roman"/>
        </w:rPr>
        <w:t>regression specification</w:t>
      </w:r>
      <w:r w:rsidRPr="00E92972">
        <w:rPr>
          <w:rFonts w:ascii="Times New Roman" w:hAnsi="Times New Roman" w:cs="Times New Roman"/>
        </w:rPr>
        <w:t xml:space="preserve"> </w:t>
      </w:r>
      <w:r w:rsidR="005601E5">
        <w:rPr>
          <w:rFonts w:ascii="Times New Roman" w:hAnsi="Times New Roman" w:cs="Times New Roman"/>
        </w:rPr>
        <w:t>includes</w:t>
      </w:r>
      <w:r w:rsidR="004C4220">
        <w:rPr>
          <w:rFonts w:ascii="Times New Roman" w:hAnsi="Times New Roman" w:cs="Times New Roman"/>
        </w:rPr>
        <w:t xml:space="preserve"> for</w:t>
      </w:r>
      <w:r w:rsidRPr="00E92972">
        <w:rPr>
          <w:rFonts w:ascii="Times New Roman" w:hAnsi="Times New Roman" w:cs="Times New Roman"/>
        </w:rPr>
        <w:t xml:space="preserve"> the numb</w:t>
      </w:r>
      <w:r>
        <w:rPr>
          <w:rFonts w:ascii="Times New Roman" w:hAnsi="Times New Roman" w:cs="Times New Roman"/>
        </w:rPr>
        <w:t xml:space="preserve">er of </w:t>
      </w:r>
      <w:r w:rsidR="000E441A">
        <w:rPr>
          <w:rFonts w:ascii="Times New Roman" w:hAnsi="Times New Roman" w:cs="Times New Roman"/>
        </w:rPr>
        <w:t xml:space="preserve">financially dependent members </w:t>
      </w:r>
      <w:r w:rsidR="001C65C5">
        <w:rPr>
          <w:rFonts w:ascii="Times New Roman" w:hAnsi="Times New Roman" w:cs="Times New Roman"/>
        </w:rPr>
        <w:t>of</w:t>
      </w:r>
      <w:r>
        <w:rPr>
          <w:rFonts w:ascii="Times New Roman" w:hAnsi="Times New Roman" w:cs="Times New Roman"/>
        </w:rPr>
        <w:t xml:space="preserve"> </w:t>
      </w:r>
      <w:r w:rsidR="005601E5">
        <w:rPr>
          <w:rFonts w:ascii="Times New Roman" w:hAnsi="Times New Roman" w:cs="Times New Roman"/>
        </w:rPr>
        <w:t>a</w:t>
      </w:r>
      <w:r>
        <w:rPr>
          <w:rFonts w:ascii="Times New Roman" w:hAnsi="Times New Roman" w:cs="Times New Roman"/>
        </w:rPr>
        <w:t xml:space="preserve"> household. </w:t>
      </w:r>
      <w:r w:rsidR="000E441A">
        <w:rPr>
          <w:rFonts w:ascii="Times New Roman" w:hAnsi="Times New Roman" w:cs="Times New Roman"/>
        </w:rPr>
        <w:t xml:space="preserve">In addition, regression </w:t>
      </w:r>
      <w:r w:rsidR="005601E5">
        <w:rPr>
          <w:rFonts w:ascii="Times New Roman" w:hAnsi="Times New Roman" w:cs="Times New Roman"/>
        </w:rPr>
        <w:t xml:space="preserve">accounts for the number of financially </w:t>
      </w:r>
      <w:r w:rsidR="005601E5" w:rsidRPr="005601E5">
        <w:rPr>
          <w:rFonts w:ascii="Times New Roman" w:hAnsi="Times New Roman" w:cs="Times New Roman"/>
          <w:i/>
        </w:rPr>
        <w:t>independent</w:t>
      </w:r>
      <w:r w:rsidR="005601E5">
        <w:rPr>
          <w:rFonts w:ascii="Times New Roman" w:hAnsi="Times New Roman" w:cs="Times New Roman"/>
        </w:rPr>
        <w:t xml:space="preserve"> adults in a household </w:t>
      </w:r>
      <w:r w:rsidR="00F60728">
        <w:rPr>
          <w:rFonts w:ascii="Times New Roman" w:hAnsi="Times New Roman" w:cs="Times New Roman"/>
        </w:rPr>
        <w:t>(</w:t>
      </w:r>
      <w:r w:rsidR="005601E5">
        <w:rPr>
          <w:rFonts w:ascii="Times New Roman" w:hAnsi="Times New Roman" w:cs="Times New Roman"/>
        </w:rPr>
        <w:t xml:space="preserve">which may </w:t>
      </w:r>
      <w:r w:rsidR="007F4402">
        <w:rPr>
          <w:rFonts w:ascii="Times New Roman" w:hAnsi="Times New Roman" w:cs="Times New Roman"/>
        </w:rPr>
        <w:t>include</w:t>
      </w:r>
      <w:r w:rsidR="00F60728">
        <w:rPr>
          <w:rFonts w:ascii="Times New Roman" w:hAnsi="Times New Roman" w:cs="Times New Roman"/>
        </w:rPr>
        <w:t xml:space="preserve"> the spouse</w:t>
      </w:r>
      <w:r w:rsidR="007D3CB4">
        <w:rPr>
          <w:rFonts w:ascii="Times New Roman" w:hAnsi="Times New Roman" w:cs="Times New Roman"/>
        </w:rPr>
        <w:t xml:space="preserve"> in non-single households</w:t>
      </w:r>
      <w:r w:rsidR="00F60728">
        <w:rPr>
          <w:rFonts w:ascii="Times New Roman" w:hAnsi="Times New Roman" w:cs="Times New Roman"/>
        </w:rPr>
        <w:t>)</w:t>
      </w:r>
      <w:r w:rsidR="000E441A">
        <w:rPr>
          <w:rFonts w:ascii="Times New Roman" w:hAnsi="Times New Roman" w:cs="Times New Roman"/>
        </w:rPr>
        <w:t>, in order to control</w:t>
      </w:r>
      <w:r w:rsidR="00572847">
        <w:rPr>
          <w:rFonts w:ascii="Times New Roman" w:hAnsi="Times New Roman" w:cs="Times New Roman"/>
        </w:rPr>
        <w:t xml:space="preserve"> for</w:t>
      </w:r>
      <w:r w:rsidR="000E441A">
        <w:rPr>
          <w:rFonts w:ascii="Times New Roman" w:hAnsi="Times New Roman" w:cs="Times New Roman"/>
        </w:rPr>
        <w:t xml:space="preserve"> </w:t>
      </w:r>
      <w:r w:rsidR="005601E5">
        <w:rPr>
          <w:rFonts w:ascii="Times New Roman" w:hAnsi="Times New Roman" w:cs="Times New Roman"/>
        </w:rPr>
        <w:t xml:space="preserve">the effect of a </w:t>
      </w:r>
      <w:r w:rsidR="000E441A">
        <w:rPr>
          <w:rFonts w:ascii="Times New Roman" w:hAnsi="Times New Roman" w:cs="Times New Roman"/>
        </w:rPr>
        <w:t>potentia</w:t>
      </w:r>
      <w:r w:rsidR="005601E5">
        <w:rPr>
          <w:rFonts w:ascii="Times New Roman" w:hAnsi="Times New Roman" w:cs="Times New Roman"/>
        </w:rPr>
        <w:t>l</w:t>
      </w:r>
      <w:r w:rsidR="000E441A">
        <w:rPr>
          <w:rFonts w:ascii="Times New Roman" w:hAnsi="Times New Roman" w:cs="Times New Roman"/>
        </w:rPr>
        <w:t>l</w:t>
      </w:r>
      <w:r w:rsidR="005601E5">
        <w:rPr>
          <w:rFonts w:ascii="Times New Roman" w:hAnsi="Times New Roman" w:cs="Times New Roman"/>
        </w:rPr>
        <w:t>y larger</w:t>
      </w:r>
      <w:r w:rsidR="000E441A">
        <w:rPr>
          <w:rFonts w:ascii="Times New Roman" w:hAnsi="Times New Roman" w:cs="Times New Roman"/>
        </w:rPr>
        <w:t xml:space="preserve"> </w:t>
      </w:r>
      <w:r w:rsidR="005601E5">
        <w:rPr>
          <w:rFonts w:ascii="Times New Roman" w:hAnsi="Times New Roman" w:cs="Times New Roman"/>
        </w:rPr>
        <w:t xml:space="preserve">pool of earnings on total household income. </w:t>
      </w:r>
    </w:p>
    <w:p w14:paraId="3BB381EB" w14:textId="60E2052A" w:rsidR="009D6742" w:rsidRDefault="009D6742" w:rsidP="00B26780">
      <w:pPr>
        <w:rPr>
          <w:rFonts w:ascii="Times New Roman" w:hAnsi="Times New Roman" w:cs="Times New Roman"/>
        </w:rPr>
      </w:pPr>
      <w:r>
        <w:rPr>
          <w:rFonts w:ascii="Times New Roman" w:hAnsi="Times New Roman" w:cs="Times New Roman"/>
        </w:rPr>
        <w:t>Furthermore,</w:t>
      </w:r>
      <w:r w:rsidR="00B26780" w:rsidRPr="00E92972">
        <w:rPr>
          <w:rFonts w:ascii="Times New Roman" w:hAnsi="Times New Roman" w:cs="Times New Roman"/>
        </w:rPr>
        <w:t xml:space="preserve"> </w:t>
      </w:r>
      <w:r w:rsidR="005601E5">
        <w:rPr>
          <w:rFonts w:ascii="Times New Roman" w:hAnsi="Times New Roman" w:cs="Times New Roman"/>
        </w:rPr>
        <w:t>regression specification controls for</w:t>
      </w:r>
      <w:r w:rsidR="00B26780" w:rsidRPr="00E92972">
        <w:rPr>
          <w:rFonts w:ascii="Times New Roman" w:hAnsi="Times New Roman" w:cs="Times New Roman"/>
        </w:rPr>
        <w:t xml:space="preserve"> labour </w:t>
      </w:r>
      <w:r w:rsidR="00572847">
        <w:rPr>
          <w:rFonts w:ascii="Times New Roman" w:hAnsi="Times New Roman" w:cs="Times New Roman"/>
        </w:rPr>
        <w:t>market</w:t>
      </w:r>
      <w:r w:rsidR="00B26780" w:rsidRPr="00E92972">
        <w:rPr>
          <w:rFonts w:ascii="Times New Roman" w:hAnsi="Times New Roman" w:cs="Times New Roman"/>
        </w:rPr>
        <w:t xml:space="preserve"> </w:t>
      </w:r>
      <w:r w:rsidR="00572847">
        <w:rPr>
          <w:rFonts w:ascii="Times New Roman" w:hAnsi="Times New Roman" w:cs="Times New Roman"/>
        </w:rPr>
        <w:t>situation of the household.</w:t>
      </w:r>
      <w:r w:rsidR="00B26780" w:rsidRPr="00E92972">
        <w:rPr>
          <w:rFonts w:ascii="Times New Roman" w:hAnsi="Times New Roman" w:cs="Times New Roman"/>
        </w:rPr>
        <w:t xml:space="preserve"> </w:t>
      </w:r>
      <w:r w:rsidR="00572847">
        <w:rPr>
          <w:rFonts w:ascii="Times New Roman" w:hAnsi="Times New Roman" w:cs="Times New Roman"/>
        </w:rPr>
        <w:t xml:space="preserve">A </w:t>
      </w:r>
      <w:r w:rsidR="00B26780">
        <w:rPr>
          <w:rFonts w:ascii="Times New Roman" w:hAnsi="Times New Roman" w:cs="Times New Roman"/>
        </w:rPr>
        <w:t xml:space="preserve">dummy variable </w:t>
      </w:r>
      <w:r w:rsidR="00572847">
        <w:rPr>
          <w:rFonts w:ascii="Times New Roman" w:hAnsi="Times New Roman" w:cs="Times New Roman"/>
        </w:rPr>
        <w:t xml:space="preserve">is included </w:t>
      </w:r>
      <w:r w:rsidR="00B26780">
        <w:rPr>
          <w:rFonts w:ascii="Times New Roman" w:hAnsi="Times New Roman" w:cs="Times New Roman"/>
        </w:rPr>
        <w:t>equal to 1 if household head is out of labour force</w:t>
      </w:r>
      <w:r w:rsidR="00572847">
        <w:rPr>
          <w:rFonts w:ascii="Times New Roman" w:hAnsi="Times New Roman" w:cs="Times New Roman"/>
        </w:rPr>
        <w:t>, together with</w:t>
      </w:r>
      <w:r w:rsidR="002A28EC">
        <w:rPr>
          <w:rFonts w:ascii="Times New Roman" w:hAnsi="Times New Roman" w:cs="Times New Roman"/>
        </w:rPr>
        <w:t xml:space="preserve"> a dummy variable equal to 1 if at least one member of the household is unemployed</w:t>
      </w:r>
      <w:r w:rsidR="00B26780">
        <w:rPr>
          <w:rFonts w:ascii="Times New Roman" w:hAnsi="Times New Roman" w:cs="Times New Roman"/>
        </w:rPr>
        <w:t>, expecting these households to be further down the distribution of income relative to the median compared to working households</w:t>
      </w:r>
      <w:r w:rsidR="00572847">
        <w:rPr>
          <w:rStyle w:val="FootnoteReference"/>
        </w:rPr>
        <w:footnoteReference w:id="16"/>
      </w:r>
      <w:r w:rsidR="004C4220">
        <w:rPr>
          <w:rFonts w:ascii="Times New Roman" w:hAnsi="Times New Roman" w:cs="Times New Roman"/>
        </w:rPr>
        <w:t>. A</w:t>
      </w:r>
      <w:r w:rsidR="00B26780">
        <w:rPr>
          <w:rFonts w:ascii="Times New Roman" w:hAnsi="Times New Roman" w:cs="Times New Roman"/>
        </w:rPr>
        <w:t xml:space="preserve"> dummy variable for the type of employment </w:t>
      </w:r>
      <w:r w:rsidR="004C4220">
        <w:rPr>
          <w:rFonts w:ascii="Times New Roman" w:hAnsi="Times New Roman" w:cs="Times New Roman"/>
        </w:rPr>
        <w:t>is also include</w:t>
      </w:r>
      <w:r w:rsidR="005601E5">
        <w:rPr>
          <w:rFonts w:ascii="Times New Roman" w:hAnsi="Times New Roman" w:cs="Times New Roman"/>
        </w:rPr>
        <w:t>d</w:t>
      </w:r>
      <w:r w:rsidR="004C4220">
        <w:rPr>
          <w:rFonts w:ascii="Times New Roman" w:hAnsi="Times New Roman" w:cs="Times New Roman"/>
        </w:rPr>
        <w:t xml:space="preserve">, </w:t>
      </w:r>
      <w:r w:rsidR="00B26780">
        <w:rPr>
          <w:rFonts w:ascii="Times New Roman" w:hAnsi="Times New Roman" w:cs="Times New Roman"/>
        </w:rPr>
        <w:t xml:space="preserve">equal to 1 if the household head is self-employed. The impact of self-employment on </w:t>
      </w:r>
      <w:r w:rsidR="00C07221">
        <w:rPr>
          <w:rFonts w:ascii="Times New Roman" w:hAnsi="Times New Roman" w:cs="Times New Roman"/>
        </w:rPr>
        <w:t>the median income ratio</w:t>
      </w:r>
      <w:r w:rsidR="00B26780">
        <w:rPr>
          <w:rFonts w:ascii="Times New Roman" w:hAnsi="Times New Roman" w:cs="Times New Roman"/>
        </w:rPr>
        <w:t xml:space="preserve"> is ambiguous. On the one hand,</w:t>
      </w:r>
      <w:r w:rsidR="00B26780" w:rsidRPr="00E92972">
        <w:rPr>
          <w:rFonts w:ascii="Times New Roman" w:hAnsi="Times New Roman" w:cs="Times New Roman"/>
        </w:rPr>
        <w:t xml:space="preserve"> </w:t>
      </w:r>
      <w:r w:rsidR="00B26780">
        <w:rPr>
          <w:rFonts w:ascii="Times New Roman" w:hAnsi="Times New Roman" w:cs="Times New Roman"/>
        </w:rPr>
        <w:t>small entrepreneurs have been</w:t>
      </w:r>
      <w:r w:rsidR="00B26780" w:rsidRPr="00E92972">
        <w:rPr>
          <w:rFonts w:ascii="Times New Roman" w:hAnsi="Times New Roman" w:cs="Times New Roman"/>
        </w:rPr>
        <w:t xml:space="preserve"> </w:t>
      </w:r>
      <w:r w:rsidR="00B26780">
        <w:rPr>
          <w:rFonts w:ascii="Times New Roman" w:hAnsi="Times New Roman" w:cs="Times New Roman"/>
        </w:rPr>
        <w:t xml:space="preserve">documented </w:t>
      </w:r>
      <w:r w:rsidR="00B26780" w:rsidRPr="00E92972">
        <w:rPr>
          <w:rFonts w:ascii="Times New Roman" w:hAnsi="Times New Roman" w:cs="Times New Roman"/>
        </w:rPr>
        <w:t xml:space="preserve">to </w:t>
      </w:r>
      <w:r w:rsidR="00B26780">
        <w:rPr>
          <w:rFonts w:ascii="Times New Roman" w:hAnsi="Times New Roman" w:cs="Times New Roman"/>
        </w:rPr>
        <w:t>experience</w:t>
      </w:r>
      <w:r w:rsidR="00B26780" w:rsidRPr="00E92972">
        <w:rPr>
          <w:rFonts w:ascii="Times New Roman" w:hAnsi="Times New Roman" w:cs="Times New Roman"/>
        </w:rPr>
        <w:t xml:space="preserve"> lower income increases than wage-earning households (cf. Hamilton 2000).</w:t>
      </w:r>
      <w:r w:rsidR="00B26780">
        <w:rPr>
          <w:rFonts w:ascii="Times New Roman" w:hAnsi="Times New Roman" w:cs="Times New Roman"/>
        </w:rPr>
        <w:t xml:space="preserve"> On the other hand, if self-employed households exercise control over corporations, seize large operational profits, and accumulate sizeable wealth through business equity, they are expected to be positioned at the top of the income distribution relative to the median (Wolff/Zacharias 2013:1383).</w:t>
      </w:r>
      <w:r w:rsidR="00B26780" w:rsidRPr="00E92972">
        <w:rPr>
          <w:rFonts w:ascii="Times New Roman" w:hAnsi="Times New Roman" w:cs="Times New Roman"/>
        </w:rPr>
        <w:t xml:space="preserve"> </w:t>
      </w:r>
    </w:p>
    <w:p w14:paraId="36DDB0AF" w14:textId="472AFAE7" w:rsidR="00621F29" w:rsidRDefault="00211553" w:rsidP="00576D56">
      <w:pPr>
        <w:rPr>
          <w:rFonts w:ascii="Times New Roman" w:hAnsi="Times New Roman" w:cs="Times New Roman"/>
        </w:rPr>
      </w:pPr>
      <w:r>
        <w:rPr>
          <w:rFonts w:ascii="Times New Roman" w:hAnsi="Times New Roman" w:cs="Times New Roman"/>
        </w:rPr>
        <w:t xml:space="preserve">To evaluate the relevance of wealth composition as an independent determinant of </w:t>
      </w:r>
      <w:r w:rsidR="00A70729">
        <w:rPr>
          <w:rFonts w:ascii="Times New Roman" w:hAnsi="Times New Roman" w:cs="Times New Roman"/>
        </w:rPr>
        <w:t>relative income</w:t>
      </w:r>
      <w:r>
        <w:rPr>
          <w:rFonts w:ascii="Times New Roman" w:hAnsi="Times New Roman" w:cs="Times New Roman"/>
        </w:rPr>
        <w:t xml:space="preserve">, </w:t>
      </w:r>
      <w:r w:rsidR="004C4220">
        <w:rPr>
          <w:rFonts w:ascii="Times New Roman" w:hAnsi="Times New Roman" w:cs="Times New Roman"/>
        </w:rPr>
        <w:t>the analysis</w:t>
      </w:r>
      <w:r>
        <w:rPr>
          <w:rFonts w:ascii="Times New Roman" w:hAnsi="Times New Roman" w:cs="Times New Roman"/>
        </w:rPr>
        <w:t xml:space="preserve"> compare</w:t>
      </w:r>
      <w:r w:rsidR="004C4220">
        <w:rPr>
          <w:rFonts w:ascii="Times New Roman" w:hAnsi="Times New Roman" w:cs="Times New Roman"/>
        </w:rPr>
        <w:t>s</w:t>
      </w:r>
      <w:r>
        <w:rPr>
          <w:rFonts w:ascii="Times New Roman" w:hAnsi="Times New Roman" w:cs="Times New Roman"/>
        </w:rPr>
        <w:t xml:space="preserve"> </w:t>
      </w:r>
      <w:r w:rsidR="00946A5A">
        <w:rPr>
          <w:rFonts w:ascii="Times New Roman" w:hAnsi="Times New Roman" w:cs="Times New Roman"/>
        </w:rPr>
        <w:t>specifications including balance sheet variables</w:t>
      </w:r>
      <w:r>
        <w:rPr>
          <w:rFonts w:ascii="Times New Roman" w:hAnsi="Times New Roman" w:cs="Times New Roman"/>
        </w:rPr>
        <w:t xml:space="preserve"> with a reduced specification including only household characteristics. </w:t>
      </w:r>
      <w:r w:rsidR="00621F29">
        <w:rPr>
          <w:rFonts w:ascii="Times New Roman" w:hAnsi="Times New Roman" w:cs="Times New Roman"/>
        </w:rPr>
        <w:t>All</w:t>
      </w:r>
      <w:r w:rsidR="00B5719C">
        <w:rPr>
          <w:rFonts w:ascii="Times New Roman" w:hAnsi="Times New Roman" w:cs="Times New Roman"/>
        </w:rPr>
        <w:t xml:space="preserve"> specification</w:t>
      </w:r>
      <w:r w:rsidR="00621F29">
        <w:rPr>
          <w:rFonts w:ascii="Times New Roman" w:hAnsi="Times New Roman" w:cs="Times New Roman"/>
        </w:rPr>
        <w:t>s</w:t>
      </w:r>
      <w:r w:rsidR="00B5719C">
        <w:rPr>
          <w:rFonts w:ascii="Times New Roman" w:hAnsi="Times New Roman" w:cs="Times New Roman"/>
        </w:rPr>
        <w:t xml:space="preserve"> </w:t>
      </w:r>
      <w:r w:rsidR="00621F29">
        <w:rPr>
          <w:rFonts w:ascii="Times New Roman" w:hAnsi="Times New Roman" w:cs="Times New Roman"/>
        </w:rPr>
        <w:t>are</w:t>
      </w:r>
      <w:r w:rsidR="00B5719C">
        <w:rPr>
          <w:rFonts w:ascii="Times New Roman" w:hAnsi="Times New Roman" w:cs="Times New Roman"/>
        </w:rPr>
        <w:t xml:space="preserve"> estimated using OLS</w:t>
      </w:r>
      <w:r w:rsidR="000E68E9">
        <w:rPr>
          <w:rFonts w:ascii="Times New Roman" w:hAnsi="Times New Roman" w:cs="Times New Roman"/>
        </w:rPr>
        <w:t xml:space="preserve">, which </w:t>
      </w:r>
      <w:r w:rsidR="00B26780">
        <w:rPr>
          <w:rFonts w:ascii="Times New Roman" w:hAnsi="Times New Roman" w:cs="Times New Roman"/>
        </w:rPr>
        <w:t xml:space="preserve">is preferred to panel data estimation techniques commonly used in survey data analysis because the SCF is not a panel but a repeated cross-section. Consequently, fixed and random effects estimators are not applicable in this case. An additional advantage of </w:t>
      </w:r>
      <w:r>
        <w:rPr>
          <w:rFonts w:ascii="Times New Roman" w:hAnsi="Times New Roman" w:cs="Times New Roman"/>
        </w:rPr>
        <w:t>OLS</w:t>
      </w:r>
      <w:r w:rsidR="00B26780">
        <w:rPr>
          <w:rFonts w:ascii="Times New Roman" w:hAnsi="Times New Roman" w:cs="Times New Roman"/>
        </w:rPr>
        <w:t xml:space="preserve"> estimation over these methods is that it accounts for time-invariant variables such as dummies for gender and race, which are excluded from the fixed effects estimation (Wooldridge 2002:170). </w:t>
      </w:r>
    </w:p>
    <w:p w14:paraId="58662052" w14:textId="3439FF3F" w:rsidR="0081441F" w:rsidRPr="00042AC5" w:rsidRDefault="0081441F" w:rsidP="00FE6340">
      <w:pPr>
        <w:pStyle w:val="MyHeading1C"/>
        <w:numPr>
          <w:ilvl w:val="0"/>
          <w:numId w:val="2"/>
        </w:numPr>
        <w:ind w:left="426"/>
      </w:pPr>
      <w:r>
        <w:t>Results</w:t>
      </w:r>
    </w:p>
    <w:p w14:paraId="75B4699B" w14:textId="48A2899A" w:rsidR="0081441F" w:rsidRPr="006E4364" w:rsidRDefault="0081441F" w:rsidP="00211553">
      <w:pPr>
        <w:pStyle w:val="MyHeading2"/>
        <w:spacing w:before="0"/>
        <w:rPr>
          <w:sz w:val="23"/>
          <w:szCs w:val="23"/>
        </w:rPr>
      </w:pPr>
      <w:r w:rsidRPr="006E4364">
        <w:rPr>
          <w:sz w:val="23"/>
          <w:szCs w:val="23"/>
        </w:rPr>
        <w:t xml:space="preserve">3.1. </w:t>
      </w:r>
      <w:r w:rsidR="00F64681">
        <w:rPr>
          <w:sz w:val="23"/>
          <w:szCs w:val="23"/>
        </w:rPr>
        <w:t>Whole sample</w:t>
      </w:r>
    </w:p>
    <w:p w14:paraId="17C051A2" w14:textId="4F62F2DA" w:rsidR="00F64681" w:rsidRPr="00CD4A54" w:rsidRDefault="0081441F" w:rsidP="00F64681">
      <w:pPr>
        <w:ind w:firstLine="0"/>
        <w:rPr>
          <w:rFonts w:ascii="Times New Roman" w:hAnsi="Times New Roman" w:cs="Times New Roman"/>
        </w:rPr>
      </w:pPr>
      <w:r>
        <w:rPr>
          <w:rFonts w:ascii="Times New Roman" w:hAnsi="Times New Roman" w:cs="Times New Roman"/>
        </w:rPr>
        <w:t>Table 1</w:t>
      </w:r>
      <w:r w:rsidR="00CA0E44" w:rsidRPr="00E92972">
        <w:rPr>
          <w:rFonts w:ascii="Times New Roman" w:hAnsi="Times New Roman" w:cs="Times New Roman"/>
        </w:rPr>
        <w:t xml:space="preserve"> presents results of the</w:t>
      </w:r>
      <w:r w:rsidR="00CA0E44">
        <w:rPr>
          <w:rFonts w:ascii="Times New Roman" w:hAnsi="Times New Roman" w:cs="Times New Roman"/>
        </w:rPr>
        <w:t xml:space="preserve"> </w:t>
      </w:r>
      <w:r w:rsidR="00F64681">
        <w:rPr>
          <w:rFonts w:ascii="Times New Roman" w:hAnsi="Times New Roman" w:cs="Times New Roman"/>
        </w:rPr>
        <w:t>Theil Sen median slope for the whole sample between 1989 and 2013.</w:t>
      </w:r>
      <w:r w:rsidR="00F64681" w:rsidRPr="00F64681">
        <w:rPr>
          <w:rFonts w:ascii="Times New Roman" w:hAnsi="Times New Roman" w:cs="Times New Roman"/>
        </w:rPr>
        <w:t xml:space="preserve"> </w:t>
      </w:r>
      <w:r w:rsidR="00F64681" w:rsidRPr="00CD4A54">
        <w:rPr>
          <w:rFonts w:ascii="Times New Roman" w:hAnsi="Times New Roman" w:cs="Times New Roman"/>
        </w:rPr>
        <w:t xml:space="preserve">To gauge the preciseness of the median slope estimates, </w:t>
      </w:r>
      <w:r w:rsidR="00F64681">
        <w:rPr>
          <w:rFonts w:ascii="Times New Roman" w:hAnsi="Times New Roman" w:cs="Times New Roman"/>
        </w:rPr>
        <w:t xml:space="preserve">the analysis examines </w:t>
      </w:r>
      <w:r w:rsidR="00F64681" w:rsidRPr="00CD4A54">
        <w:rPr>
          <w:rFonts w:ascii="Times New Roman" w:hAnsi="Times New Roman" w:cs="Times New Roman"/>
        </w:rPr>
        <w:t xml:space="preserve">confidence </w:t>
      </w:r>
      <w:r w:rsidR="00F64681" w:rsidRPr="00CD4A54">
        <w:rPr>
          <w:rFonts w:ascii="Times New Roman" w:hAnsi="Times New Roman" w:cs="Times New Roman"/>
        </w:rPr>
        <w:lastRenderedPageBreak/>
        <w:t>intervals</w:t>
      </w:r>
      <w:r w:rsidR="00F64681" w:rsidRPr="00AF0259">
        <w:rPr>
          <w:rStyle w:val="FootnoteReference"/>
        </w:rPr>
        <w:footnoteReference w:id="17"/>
      </w:r>
      <w:r w:rsidR="00F64681" w:rsidRPr="00AF0259">
        <w:rPr>
          <w:rFonts w:ascii="Times New Roman" w:hAnsi="Times New Roman" w:cs="Times New Roman"/>
          <w:vertAlign w:val="superscript"/>
        </w:rPr>
        <w:t xml:space="preserve"> </w:t>
      </w:r>
      <w:r w:rsidR="00F64681" w:rsidRPr="00CD4A54">
        <w:rPr>
          <w:rFonts w:ascii="Times New Roman" w:hAnsi="Times New Roman" w:cs="Times New Roman"/>
        </w:rPr>
        <w:t xml:space="preserve">which are robust to differences in the conditional population distribution of the median income ratio given the different values of </w:t>
      </w:r>
      <w:r w:rsidR="00A960B7">
        <w:rPr>
          <w:rFonts w:ascii="Times New Roman" w:hAnsi="Times New Roman" w:cs="Times New Roman"/>
        </w:rPr>
        <w:t>the</w:t>
      </w:r>
      <w:r w:rsidR="00F64681" w:rsidRPr="00CD4A54">
        <w:rPr>
          <w:rFonts w:ascii="Times New Roman" w:hAnsi="Times New Roman" w:cs="Times New Roman"/>
        </w:rPr>
        <w:t xml:space="preserve"> explanatory variables (Newson 2012).</w:t>
      </w:r>
      <w:r w:rsidR="00F64681">
        <w:rPr>
          <w:rFonts w:ascii="Times New Roman" w:hAnsi="Times New Roman" w:cs="Times New Roman"/>
        </w:rPr>
        <w:t xml:space="preserve"> Estimates in italics indicate confidence intervals which include zero, and as such are treated as not statistically significant. The remaining estimates are all significant at 5% level according to a t-test on the rank correlation co</w:t>
      </w:r>
      <w:r w:rsidR="00AC0E75">
        <w:rPr>
          <w:rFonts w:ascii="Times New Roman" w:hAnsi="Times New Roman" w:cs="Times New Roman"/>
        </w:rPr>
        <w:t>e</w:t>
      </w:r>
      <w:r w:rsidR="00F64681">
        <w:rPr>
          <w:rFonts w:ascii="Times New Roman" w:hAnsi="Times New Roman" w:cs="Times New Roman"/>
        </w:rPr>
        <w:t>fficient Somer</w:t>
      </w:r>
      <w:r w:rsidR="00AC0E75">
        <w:rPr>
          <w:rFonts w:ascii="Times New Roman" w:hAnsi="Times New Roman" w:cs="Times New Roman"/>
        </w:rPr>
        <w:t>s</w:t>
      </w:r>
      <w:r w:rsidR="00F64681">
        <w:rPr>
          <w:rFonts w:ascii="Times New Roman" w:hAnsi="Times New Roman" w:cs="Times New Roman"/>
        </w:rPr>
        <w:t>’ D (see Equation 1).</w:t>
      </w:r>
    </w:p>
    <w:p w14:paraId="0FAABBBC" w14:textId="30CF8B3E" w:rsidR="00F64681" w:rsidRDefault="00F64681" w:rsidP="00F64681">
      <w:r>
        <w:t xml:space="preserve">The results show that apart from the relative holdings of vehicles and other non-financial assets, asset composition is positively associated with the </w:t>
      </w:r>
      <w:r w:rsidR="00AE300C">
        <w:t>median income ratio</w:t>
      </w:r>
      <w:r>
        <w:t xml:space="preserve">. The median slope of relative holdings of vehicles and other non-financial assets is estimated to be negative. The </w:t>
      </w:r>
      <w:r w:rsidR="00A960B7">
        <w:t>estimate</w:t>
      </w:r>
      <w:r>
        <w:t xml:space="preserve"> increased in absolute terms over time, from -0.3</w:t>
      </w:r>
      <w:r w:rsidR="006674A5">
        <w:t>2</w:t>
      </w:r>
      <w:r>
        <w:t xml:space="preserve"> p</w:t>
      </w:r>
      <w:r w:rsidR="006674A5">
        <w:t>ercentage points in 1989 to -0.6</w:t>
      </w:r>
      <w:r>
        <w:t xml:space="preserve"> in 2007, falling </w:t>
      </w:r>
      <w:r w:rsidR="006674A5">
        <w:t>to -0.56</w:t>
      </w:r>
      <w:r>
        <w:t xml:space="preserve"> in 2010 </w:t>
      </w:r>
      <w:r w:rsidR="00C810D2">
        <w:t>and</w:t>
      </w:r>
      <w:r>
        <w:t xml:space="preserve"> reaching </w:t>
      </w:r>
      <w:r w:rsidR="006674A5">
        <w:t>-0.61</w:t>
      </w:r>
      <w:r>
        <w:t xml:space="preserve"> in 2013.</w:t>
      </w:r>
    </w:p>
    <w:p w14:paraId="532330B3" w14:textId="1EA5A695" w:rsidR="00F64681" w:rsidRDefault="00F64681" w:rsidP="00F64681">
      <w:r>
        <w:t xml:space="preserve">The median slope of relative holdings of primary residence </w:t>
      </w:r>
      <w:r w:rsidR="006674A5">
        <w:t>is</w:t>
      </w:r>
      <w:r>
        <w:t xml:space="preserve"> positive </w:t>
      </w:r>
      <w:r w:rsidR="006674A5">
        <w:t>and statistically significant between 1989 and 2013</w:t>
      </w:r>
      <w:r>
        <w:t xml:space="preserve">. A one percentage point rise in the share of primary residence in total </w:t>
      </w:r>
      <w:r w:rsidR="006674A5">
        <w:t>assets was associated with a 0.</w:t>
      </w:r>
      <w:r>
        <w:t>3</w:t>
      </w:r>
      <w:r w:rsidR="006674A5">
        <w:t>2</w:t>
      </w:r>
      <w:r>
        <w:t xml:space="preserve"> percentage point increase in the </w:t>
      </w:r>
      <w:r w:rsidR="00AE300C">
        <w:t>median income ratio</w:t>
      </w:r>
      <w:r>
        <w:t xml:space="preserve"> in 1989, falling to 0.</w:t>
      </w:r>
      <w:r w:rsidR="006674A5">
        <w:t>18 in 20</w:t>
      </w:r>
      <w:r>
        <w:t>0</w:t>
      </w:r>
      <w:r w:rsidR="006674A5">
        <w:t>1</w:t>
      </w:r>
      <w:r>
        <w:t>, and reaching 0.</w:t>
      </w:r>
      <w:r w:rsidR="006674A5">
        <w:t>2</w:t>
      </w:r>
      <w:r>
        <w:t>7 in 2013. A similar magnitude is estimated for the median slope of relative holdings of transaction accounts, which fluctuated over the period.</w:t>
      </w:r>
      <w:r w:rsidR="006674A5">
        <w:t xml:space="preserve"> While in 1989 and 1998 the estimate is not statistically significant, a o</w:t>
      </w:r>
      <w:r>
        <w:t xml:space="preserve">ne percentage point increase in the share of transaction accounts in total </w:t>
      </w:r>
      <w:r w:rsidR="006674A5">
        <w:t>assets was associated with a 0.4</w:t>
      </w:r>
      <w:r>
        <w:t xml:space="preserve">2 rise in the </w:t>
      </w:r>
      <w:r w:rsidR="00AE300C">
        <w:t>median income ratio</w:t>
      </w:r>
      <w:r w:rsidR="006674A5">
        <w:t xml:space="preserve"> in 19</w:t>
      </w:r>
      <w:r>
        <w:t>9</w:t>
      </w:r>
      <w:r w:rsidR="006674A5">
        <w:t>2</w:t>
      </w:r>
      <w:r>
        <w:t xml:space="preserve">, </w:t>
      </w:r>
      <w:r w:rsidR="006674A5">
        <w:t>falling</w:t>
      </w:r>
      <w:r>
        <w:t xml:space="preserve"> to </w:t>
      </w:r>
      <w:r w:rsidR="006674A5">
        <w:t>-0.10</w:t>
      </w:r>
      <w:r>
        <w:t xml:space="preserve"> in 200</w:t>
      </w:r>
      <w:r w:rsidR="006674A5">
        <w:t xml:space="preserve">1 and rising to 0.33 in 2004. </w:t>
      </w:r>
      <w:r>
        <w:t>In the aftermath of the Great Rec</w:t>
      </w:r>
      <w:r w:rsidR="006674A5">
        <w:t>ession the estimate fell to 0.12</w:t>
      </w:r>
      <w:r>
        <w:t xml:space="preserve"> in 2013.</w:t>
      </w:r>
    </w:p>
    <w:p w14:paraId="1938A131" w14:textId="70E44FF6" w:rsidR="00F64681" w:rsidRDefault="00F64681" w:rsidP="00F64681">
      <w:r>
        <w:t xml:space="preserve">The largest increases in the </w:t>
      </w:r>
      <w:r w:rsidR="00AE300C">
        <w:t>median income ratio</w:t>
      </w:r>
      <w:r>
        <w:t xml:space="preserve"> are obtained for estimates of relative holdings of other real estate, business equity, financial investment assets, and retirement and insurance assets. The median slope of relative holdings of other real estate rose from 2.2</w:t>
      </w:r>
      <w:r w:rsidR="006674A5">
        <w:t>2</w:t>
      </w:r>
      <w:r>
        <w:t xml:space="preserve"> p</w:t>
      </w:r>
      <w:r w:rsidR="006674A5">
        <w:t>ercentage points in 1989 to 3.52 in 2001</w:t>
      </w:r>
      <w:r>
        <w:t>. After the Great R</w:t>
      </w:r>
      <w:r w:rsidR="006674A5">
        <w:t>ecession, the estimate fell to 3.03</w:t>
      </w:r>
      <w:r>
        <w:t xml:space="preserve"> in 2010, but rebounded to a peak of</w:t>
      </w:r>
      <w:r w:rsidR="006674A5">
        <w:t xml:space="preserve"> 3.94</w:t>
      </w:r>
      <w:r>
        <w:t xml:space="preserve"> in 2013. The median slope of relative holdings of business equity increased from 2.</w:t>
      </w:r>
      <w:r w:rsidR="006674A5">
        <w:t>30</w:t>
      </w:r>
      <w:r>
        <w:t xml:space="preserve"> percentage points 1989 to </w:t>
      </w:r>
      <w:r w:rsidR="006674A5">
        <w:t>4.11 in 2007, falling to 3.15</w:t>
      </w:r>
      <w:r>
        <w:t xml:space="preserve"> in 2010 and rising thereafter to </w:t>
      </w:r>
      <w:r w:rsidR="006674A5">
        <w:t>a peak of 4.18</w:t>
      </w:r>
      <w:r>
        <w:t xml:space="preserve"> in 2013.</w:t>
      </w:r>
      <w:r w:rsidR="006674A5">
        <w:t xml:space="preserve"> T</w:t>
      </w:r>
      <w:r>
        <w:t xml:space="preserve">he median slope of relative holdings of financial investment assets </w:t>
      </w:r>
      <w:r w:rsidR="006674A5">
        <w:t xml:space="preserve">was fairly stable at approximately 2.1 percentage points in the pre-subprime period between 1989 and 1998, increasing to 3.38 in 2004 and continuing to rise around the time of the Great Recession after a brief decline to 3.16 in 2007, reaching 4.13 in 2013. </w:t>
      </w:r>
      <w:r w:rsidR="000D6B98">
        <w:t>In contrast, t</w:t>
      </w:r>
      <w:r>
        <w:t xml:space="preserve">he </w:t>
      </w:r>
      <w:r>
        <w:lastRenderedPageBreak/>
        <w:t xml:space="preserve">median slope of relative holdings of retirement and insurance assets fluctuated in the period, falling from </w:t>
      </w:r>
      <w:r w:rsidR="000D6B98">
        <w:t xml:space="preserve">a peak of </w:t>
      </w:r>
      <w:r>
        <w:t>4.</w:t>
      </w:r>
      <w:r w:rsidR="000D6B98">
        <w:t>36</w:t>
      </w:r>
      <w:r>
        <w:t xml:space="preserve"> p</w:t>
      </w:r>
      <w:r w:rsidR="000D6B98">
        <w:t>ercentage points in 1989 to 2.81</w:t>
      </w:r>
      <w:r>
        <w:t xml:space="preserve"> in 2013. </w:t>
      </w:r>
    </w:p>
    <w:p w14:paraId="2931DC7D" w14:textId="5800B5A6" w:rsidR="00F64681" w:rsidRDefault="00F64681" w:rsidP="00281848">
      <w:r>
        <w:t xml:space="preserve">The estimates of the median slope of relative holdings of secured debt are positive, while median slopes of relative holdings of unsecured debt tend to be negative. The </w:t>
      </w:r>
      <w:r w:rsidR="00AE300C">
        <w:t>median income ratio</w:t>
      </w:r>
      <w:r w:rsidR="00C24C4F">
        <w:t xml:space="preserve"> was estimated to rise by 0.81</w:t>
      </w:r>
      <w:r>
        <w:t xml:space="preserve"> percentage points in 1989 following a one percentage point increase in the share of mortgages secured by primary residence in total debt. Th</w:t>
      </w:r>
      <w:r w:rsidR="00C24C4F">
        <w:t>e estimate fluctuated around 0.73-0.85</w:t>
      </w:r>
      <w:r>
        <w:t xml:space="preserve"> percentage points </w:t>
      </w:r>
      <w:r w:rsidR="00C24C4F">
        <w:t>between 1992 and 2001</w:t>
      </w:r>
      <w:r>
        <w:t xml:space="preserve">, </w:t>
      </w:r>
      <w:r w:rsidR="00C24C4F">
        <w:t>declining in the subprime period to 0.62 in 2010 before reaching 0.76</w:t>
      </w:r>
      <w:r>
        <w:t xml:space="preserve"> in 2013. The median slope of relative holdings of mortgages secured by other real estate fell from 2.</w:t>
      </w:r>
      <w:r w:rsidR="00C24C4F">
        <w:t>44</w:t>
      </w:r>
      <w:r>
        <w:t xml:space="preserve"> percentage points in 1989 to 1.</w:t>
      </w:r>
      <w:r w:rsidR="00C24C4F">
        <w:t>8</w:t>
      </w:r>
      <w:r>
        <w:t xml:space="preserve"> in 1998, rising to a peak of 2.</w:t>
      </w:r>
      <w:r w:rsidR="00C24C4F">
        <w:t>92</w:t>
      </w:r>
      <w:r>
        <w:t xml:space="preserve"> in 200</w:t>
      </w:r>
      <w:r w:rsidR="00C24C4F">
        <w:t>7</w:t>
      </w:r>
      <w:r>
        <w:t xml:space="preserve"> and falling thereafter to </w:t>
      </w:r>
      <w:r w:rsidR="00C24C4F">
        <w:t>2.36</w:t>
      </w:r>
      <w:r>
        <w:t xml:space="preserve"> in 2013.</w:t>
      </w:r>
    </w:p>
    <w:p w14:paraId="1694AD62" w14:textId="77777777" w:rsidR="00AA27A0" w:rsidRDefault="00F64681" w:rsidP="00AA27A0">
      <w:r>
        <w:t>The median slope of relative holdings of instalment debt was negative in the period, falling in absolute terms of -0.6</w:t>
      </w:r>
      <w:r w:rsidR="00531544">
        <w:t>2</w:t>
      </w:r>
      <w:r>
        <w:t xml:space="preserve"> percentage points in 1989 to -0.</w:t>
      </w:r>
      <w:r w:rsidR="00531544">
        <w:t>31</w:t>
      </w:r>
      <w:r>
        <w:t xml:space="preserve"> in 2004, rising after the Great Recession to -0.</w:t>
      </w:r>
      <w:r w:rsidR="00531544">
        <w:t>48</w:t>
      </w:r>
      <w:r>
        <w:t xml:space="preserve"> in 2013. The estimate of the median slope of relative holdings of credit card debt was positive </w:t>
      </w:r>
      <w:r w:rsidR="00531544">
        <w:t xml:space="preserve">but close to zero </w:t>
      </w:r>
      <w:r>
        <w:t xml:space="preserve">in 1989, turning negative in the following year. It rose in absolute terms </w:t>
      </w:r>
      <w:r w:rsidR="00531544">
        <w:t xml:space="preserve">from -0.5 in 1992 </w:t>
      </w:r>
      <w:r>
        <w:t>to a peak of -0.</w:t>
      </w:r>
      <w:r w:rsidR="00531544">
        <w:t>73</w:t>
      </w:r>
      <w:r>
        <w:t xml:space="preserve"> in 2001, falling to -0.2</w:t>
      </w:r>
      <w:r w:rsidR="00531544">
        <w:t>4</w:t>
      </w:r>
      <w:r>
        <w:t xml:space="preserve"> in 2013. The median slope of relative holdings of other types of debt declined from </w:t>
      </w:r>
      <w:r w:rsidR="00B566D8">
        <w:t>0.68</w:t>
      </w:r>
      <w:r>
        <w:t xml:space="preserve"> percentage points in 1989 to -0.</w:t>
      </w:r>
      <w:r w:rsidR="00AA27A0">
        <w:t>1</w:t>
      </w:r>
      <w:r>
        <w:t xml:space="preserve">4 in 2001, </w:t>
      </w:r>
      <w:r w:rsidR="00AA27A0">
        <w:t>rising to</w:t>
      </w:r>
      <w:r>
        <w:t xml:space="preserve"> </w:t>
      </w:r>
      <w:r w:rsidR="00AA27A0">
        <w:t>0.55</w:t>
      </w:r>
      <w:r>
        <w:t xml:space="preserve"> </w:t>
      </w:r>
      <w:r w:rsidR="00AA27A0">
        <w:t>in the following wave before declining to 0.33 in 2010 and reaching 0.67 in 2013.</w:t>
      </w:r>
    </w:p>
    <w:p w14:paraId="365BECAD" w14:textId="2F524E89" w:rsidR="000E3D1C" w:rsidRPr="000E3D1C" w:rsidRDefault="00F64681" w:rsidP="00AA27A0">
      <w:r>
        <w:t xml:space="preserve">Among leverage measures, the median slopes </w:t>
      </w:r>
      <w:r w:rsidR="00AA27A0">
        <w:t xml:space="preserve">of debt-service-to-income ratio, </w:t>
      </w:r>
      <w:r>
        <w:t>the debt-to-asset ratio</w:t>
      </w:r>
      <w:r w:rsidR="00AA27A0">
        <w:t>, and the debt-to-income ratio</w:t>
      </w:r>
      <w:r>
        <w:t xml:space="preserve"> are found to be positive </w:t>
      </w:r>
      <w:r w:rsidR="00AA27A0">
        <w:t>in the period.</w:t>
      </w:r>
      <w:r>
        <w:t xml:space="preserve"> One percentage points increase in the debt-service-to-income ratio was associated with a </w:t>
      </w:r>
      <w:proofErr w:type="gramStart"/>
      <w:r w:rsidR="00AA27A0">
        <w:t>141</w:t>
      </w:r>
      <w:r>
        <w:t xml:space="preserve"> percentage</w:t>
      </w:r>
      <w:proofErr w:type="gramEnd"/>
      <w:r>
        <w:t xml:space="preserve"> point rise in the </w:t>
      </w:r>
      <w:r w:rsidR="00AE300C">
        <w:t>median income ratio</w:t>
      </w:r>
      <w:r w:rsidR="00AA27A0">
        <w:t xml:space="preserve"> in 1989, falling to a low of 88.01 in 2004, rising thereafter to 118.72</w:t>
      </w:r>
      <w:r>
        <w:t xml:space="preserve"> in 2013. One percentage point rise in the debt-to-asset ratio was associated with a </w:t>
      </w:r>
      <w:r w:rsidR="00AA27A0">
        <w:t>48.03</w:t>
      </w:r>
      <w:r>
        <w:t xml:space="preserve"> percentage point increase in the </w:t>
      </w:r>
      <w:r w:rsidR="00AE300C">
        <w:t>median income ratio</w:t>
      </w:r>
      <w:r w:rsidR="00AA27A0">
        <w:t xml:space="preserve"> in 1989</w:t>
      </w:r>
      <w:r>
        <w:t xml:space="preserve">, </w:t>
      </w:r>
      <w:r w:rsidR="00AA27A0">
        <w:t>falling to a low of 11.99</w:t>
      </w:r>
      <w:r>
        <w:t xml:space="preserve"> in 2013. </w:t>
      </w:r>
      <w:r w:rsidR="00AA27A0">
        <w:t>Similarly</w:t>
      </w:r>
      <w:r>
        <w:t xml:space="preserve">, the median slope of debt-to-income ratio </w:t>
      </w:r>
      <w:r w:rsidR="00AA27A0">
        <w:t>declined</w:t>
      </w:r>
      <w:r>
        <w:t xml:space="preserve"> from </w:t>
      </w:r>
      <w:r w:rsidR="00AA27A0">
        <w:t>46.31</w:t>
      </w:r>
      <w:r>
        <w:t xml:space="preserve"> in 1989 to </w:t>
      </w:r>
      <w:r w:rsidR="00AA27A0">
        <w:t>14.63 in 2010, rising to 17.41 in 2013.</w:t>
      </w:r>
    </w:p>
    <w:p w14:paraId="0323EBBB" w14:textId="77777777" w:rsidR="006F4079" w:rsidRDefault="006F4079" w:rsidP="000E3D1C">
      <w:pPr>
        <w:spacing w:before="240" w:line="240" w:lineRule="auto"/>
        <w:jc w:val="center"/>
        <w:rPr>
          <w:b/>
          <w:iCs/>
        </w:rPr>
      </w:pPr>
    </w:p>
    <w:p w14:paraId="5427704B" w14:textId="77777777" w:rsidR="006F4079" w:rsidRDefault="006F4079" w:rsidP="000E3D1C">
      <w:pPr>
        <w:spacing w:before="240" w:line="240" w:lineRule="auto"/>
        <w:jc w:val="center"/>
        <w:rPr>
          <w:b/>
          <w:iCs/>
        </w:rPr>
      </w:pPr>
    </w:p>
    <w:p w14:paraId="488AD586" w14:textId="77777777" w:rsidR="006F4079" w:rsidRDefault="006F4079" w:rsidP="000E3D1C">
      <w:pPr>
        <w:spacing w:before="240" w:line="240" w:lineRule="auto"/>
        <w:jc w:val="center"/>
        <w:rPr>
          <w:b/>
          <w:iCs/>
        </w:rPr>
      </w:pPr>
    </w:p>
    <w:p w14:paraId="3931AD0A" w14:textId="77777777" w:rsidR="006F4079" w:rsidRDefault="006F4079" w:rsidP="000E3D1C">
      <w:pPr>
        <w:spacing w:before="240" w:line="240" w:lineRule="auto"/>
        <w:jc w:val="center"/>
        <w:rPr>
          <w:b/>
          <w:iCs/>
        </w:rPr>
      </w:pPr>
    </w:p>
    <w:p w14:paraId="388A1A87" w14:textId="77777777" w:rsidR="006F4079" w:rsidRDefault="006F4079" w:rsidP="000E3D1C">
      <w:pPr>
        <w:spacing w:before="240" w:line="240" w:lineRule="auto"/>
        <w:jc w:val="center"/>
        <w:rPr>
          <w:b/>
          <w:iCs/>
        </w:rPr>
      </w:pPr>
    </w:p>
    <w:tbl>
      <w:tblPr>
        <w:tblpPr w:leftFromText="180" w:rightFromText="180" w:vertAnchor="page" w:horzAnchor="margin" w:tblpXSpec="center" w:tblpY="2084"/>
        <w:tblW w:w="5684" w:type="pct"/>
        <w:tblLook w:val="04A0" w:firstRow="1" w:lastRow="0" w:firstColumn="1" w:lastColumn="0" w:noHBand="0" w:noVBand="1"/>
      </w:tblPr>
      <w:tblGrid>
        <w:gridCol w:w="3349"/>
        <w:gridCol w:w="766"/>
        <w:gridCol w:w="766"/>
        <w:gridCol w:w="766"/>
        <w:gridCol w:w="766"/>
        <w:gridCol w:w="766"/>
        <w:gridCol w:w="766"/>
        <w:gridCol w:w="766"/>
        <w:gridCol w:w="766"/>
        <w:gridCol w:w="766"/>
      </w:tblGrid>
      <w:tr w:rsidR="006F4079" w:rsidRPr="00F64681" w14:paraId="77F38A9E" w14:textId="77777777" w:rsidTr="006F4079">
        <w:trPr>
          <w:trHeight w:val="238"/>
        </w:trPr>
        <w:tc>
          <w:tcPr>
            <w:tcW w:w="1635" w:type="pct"/>
            <w:tcBorders>
              <w:top w:val="single" w:sz="4" w:space="0" w:color="auto"/>
              <w:left w:val="single" w:sz="4" w:space="0" w:color="auto"/>
              <w:bottom w:val="nil"/>
              <w:right w:val="single" w:sz="4" w:space="0" w:color="auto"/>
            </w:tcBorders>
            <w:shd w:val="clear" w:color="auto" w:fill="auto"/>
            <w:noWrap/>
            <w:vAlign w:val="bottom"/>
            <w:hideMark/>
          </w:tcPr>
          <w:p w14:paraId="71AA0B5E" w14:textId="77777777" w:rsidR="006F4079" w:rsidRPr="00F64681" w:rsidRDefault="006F4079" w:rsidP="006F4079">
            <w:pPr>
              <w:spacing w:after="0" w:line="240" w:lineRule="auto"/>
              <w:ind w:firstLine="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Median income ratio</w:t>
            </w:r>
          </w:p>
        </w:tc>
        <w:tc>
          <w:tcPr>
            <w:tcW w:w="374" w:type="pct"/>
            <w:tcBorders>
              <w:top w:val="single" w:sz="4" w:space="0" w:color="auto"/>
              <w:left w:val="nil"/>
              <w:bottom w:val="nil"/>
              <w:right w:val="single" w:sz="4" w:space="0" w:color="auto"/>
            </w:tcBorders>
            <w:shd w:val="clear" w:color="auto" w:fill="auto"/>
            <w:noWrap/>
            <w:vAlign w:val="bottom"/>
            <w:hideMark/>
          </w:tcPr>
          <w:p w14:paraId="23831341"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1989</w:t>
            </w:r>
          </w:p>
        </w:tc>
        <w:tc>
          <w:tcPr>
            <w:tcW w:w="374" w:type="pct"/>
            <w:tcBorders>
              <w:top w:val="single" w:sz="4" w:space="0" w:color="auto"/>
              <w:left w:val="nil"/>
              <w:bottom w:val="nil"/>
              <w:right w:val="single" w:sz="4" w:space="0" w:color="auto"/>
            </w:tcBorders>
            <w:shd w:val="clear" w:color="auto" w:fill="auto"/>
            <w:noWrap/>
            <w:vAlign w:val="bottom"/>
            <w:hideMark/>
          </w:tcPr>
          <w:p w14:paraId="7686730F"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1992</w:t>
            </w:r>
          </w:p>
        </w:tc>
        <w:tc>
          <w:tcPr>
            <w:tcW w:w="374" w:type="pct"/>
            <w:tcBorders>
              <w:top w:val="single" w:sz="4" w:space="0" w:color="auto"/>
              <w:left w:val="nil"/>
              <w:bottom w:val="nil"/>
              <w:right w:val="single" w:sz="4" w:space="0" w:color="auto"/>
            </w:tcBorders>
            <w:shd w:val="clear" w:color="auto" w:fill="auto"/>
            <w:noWrap/>
            <w:vAlign w:val="bottom"/>
            <w:hideMark/>
          </w:tcPr>
          <w:p w14:paraId="1EF90D79"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1995</w:t>
            </w:r>
          </w:p>
        </w:tc>
        <w:tc>
          <w:tcPr>
            <w:tcW w:w="374" w:type="pct"/>
            <w:tcBorders>
              <w:top w:val="single" w:sz="4" w:space="0" w:color="auto"/>
              <w:left w:val="nil"/>
              <w:bottom w:val="nil"/>
              <w:right w:val="single" w:sz="4" w:space="0" w:color="auto"/>
            </w:tcBorders>
            <w:shd w:val="clear" w:color="auto" w:fill="auto"/>
            <w:noWrap/>
            <w:vAlign w:val="bottom"/>
            <w:hideMark/>
          </w:tcPr>
          <w:p w14:paraId="53869AB8"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1998</w:t>
            </w:r>
          </w:p>
        </w:tc>
        <w:tc>
          <w:tcPr>
            <w:tcW w:w="374" w:type="pct"/>
            <w:tcBorders>
              <w:top w:val="single" w:sz="4" w:space="0" w:color="auto"/>
              <w:left w:val="nil"/>
              <w:bottom w:val="nil"/>
              <w:right w:val="single" w:sz="4" w:space="0" w:color="auto"/>
            </w:tcBorders>
            <w:shd w:val="clear" w:color="auto" w:fill="auto"/>
            <w:noWrap/>
            <w:vAlign w:val="bottom"/>
            <w:hideMark/>
          </w:tcPr>
          <w:p w14:paraId="6DEA74C9"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2001</w:t>
            </w:r>
          </w:p>
        </w:tc>
        <w:tc>
          <w:tcPr>
            <w:tcW w:w="374" w:type="pct"/>
            <w:tcBorders>
              <w:top w:val="single" w:sz="4" w:space="0" w:color="auto"/>
              <w:left w:val="nil"/>
              <w:bottom w:val="nil"/>
              <w:right w:val="single" w:sz="4" w:space="0" w:color="auto"/>
            </w:tcBorders>
            <w:shd w:val="clear" w:color="auto" w:fill="auto"/>
            <w:noWrap/>
            <w:vAlign w:val="bottom"/>
            <w:hideMark/>
          </w:tcPr>
          <w:p w14:paraId="568F2B18"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2004</w:t>
            </w:r>
          </w:p>
        </w:tc>
        <w:tc>
          <w:tcPr>
            <w:tcW w:w="374" w:type="pct"/>
            <w:tcBorders>
              <w:top w:val="single" w:sz="4" w:space="0" w:color="auto"/>
              <w:left w:val="nil"/>
              <w:bottom w:val="nil"/>
              <w:right w:val="single" w:sz="4" w:space="0" w:color="auto"/>
            </w:tcBorders>
            <w:shd w:val="clear" w:color="auto" w:fill="auto"/>
            <w:noWrap/>
            <w:vAlign w:val="bottom"/>
            <w:hideMark/>
          </w:tcPr>
          <w:p w14:paraId="4D751D19"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2007</w:t>
            </w:r>
          </w:p>
        </w:tc>
        <w:tc>
          <w:tcPr>
            <w:tcW w:w="374" w:type="pct"/>
            <w:tcBorders>
              <w:top w:val="single" w:sz="4" w:space="0" w:color="auto"/>
              <w:left w:val="nil"/>
              <w:bottom w:val="nil"/>
              <w:right w:val="single" w:sz="4" w:space="0" w:color="auto"/>
            </w:tcBorders>
            <w:shd w:val="clear" w:color="auto" w:fill="auto"/>
            <w:noWrap/>
            <w:vAlign w:val="bottom"/>
            <w:hideMark/>
          </w:tcPr>
          <w:p w14:paraId="20EA18B5"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2010</w:t>
            </w:r>
          </w:p>
        </w:tc>
        <w:tc>
          <w:tcPr>
            <w:tcW w:w="374" w:type="pct"/>
            <w:tcBorders>
              <w:top w:val="single" w:sz="4" w:space="0" w:color="auto"/>
              <w:left w:val="nil"/>
              <w:bottom w:val="nil"/>
              <w:right w:val="single" w:sz="4" w:space="0" w:color="auto"/>
            </w:tcBorders>
            <w:shd w:val="clear" w:color="auto" w:fill="auto"/>
            <w:noWrap/>
            <w:vAlign w:val="bottom"/>
            <w:hideMark/>
          </w:tcPr>
          <w:p w14:paraId="4FC29C50" w14:textId="77777777" w:rsidR="006F4079" w:rsidRPr="00F64681" w:rsidRDefault="006F4079" w:rsidP="006F407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2013</w:t>
            </w:r>
          </w:p>
        </w:tc>
      </w:tr>
      <w:tr w:rsidR="006F4079" w:rsidRPr="00F64681" w14:paraId="2F6DA64C" w14:textId="77777777" w:rsidTr="006F4079">
        <w:trPr>
          <w:trHeight w:val="238"/>
        </w:trPr>
        <w:tc>
          <w:tcPr>
            <w:tcW w:w="1635" w:type="pct"/>
            <w:tcBorders>
              <w:top w:val="nil"/>
              <w:left w:val="single" w:sz="4" w:space="0" w:color="auto"/>
              <w:bottom w:val="single" w:sz="4" w:space="0" w:color="auto"/>
              <w:right w:val="single" w:sz="4" w:space="0" w:color="auto"/>
            </w:tcBorders>
            <w:shd w:val="clear" w:color="auto" w:fill="auto"/>
            <w:noWrap/>
            <w:vAlign w:val="bottom"/>
            <w:hideMark/>
          </w:tcPr>
          <w:p w14:paraId="5519BC45"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57587A0F"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784F66DD"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192A2F30"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02610481"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5EF687F4"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32CA733C"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1BB39C3E"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547DA906"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14:paraId="73CA355A"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r>
      <w:tr w:rsidR="006F4079" w:rsidRPr="00F64681" w14:paraId="102778DC"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1C917AF7" w14:textId="77777777" w:rsidR="006F4079" w:rsidRPr="00F64681" w:rsidRDefault="006F4079" w:rsidP="006F4079">
            <w:pPr>
              <w:spacing w:after="0" w:line="240" w:lineRule="auto"/>
              <w:ind w:firstLine="0"/>
              <w:jc w:val="left"/>
              <w:rPr>
                <w:rFonts w:ascii="Times New Roman" w:eastAsia="Times New Roman" w:hAnsi="Times New Roman" w:cs="Times New Roman"/>
                <w:b/>
                <w:bCs/>
                <w:color w:val="000000"/>
                <w:sz w:val="20"/>
                <w:szCs w:val="20"/>
              </w:rPr>
            </w:pPr>
            <w:r w:rsidRPr="00F64681">
              <w:rPr>
                <w:rFonts w:ascii="Times New Roman" w:eastAsia="Times New Roman" w:hAnsi="Times New Roman" w:cs="Times New Roman"/>
                <w:b/>
                <w:bCs/>
                <w:color w:val="000000"/>
                <w:sz w:val="20"/>
                <w:szCs w:val="20"/>
              </w:rPr>
              <w:t>Share of total assets</w:t>
            </w:r>
          </w:p>
        </w:tc>
        <w:tc>
          <w:tcPr>
            <w:tcW w:w="374" w:type="pct"/>
            <w:tcBorders>
              <w:top w:val="nil"/>
              <w:left w:val="nil"/>
              <w:bottom w:val="nil"/>
              <w:right w:val="single" w:sz="4" w:space="0" w:color="auto"/>
            </w:tcBorders>
            <w:shd w:val="clear" w:color="auto" w:fill="auto"/>
            <w:noWrap/>
            <w:vAlign w:val="bottom"/>
            <w:hideMark/>
          </w:tcPr>
          <w:p w14:paraId="142728E7"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nil"/>
              <w:right w:val="single" w:sz="4" w:space="0" w:color="auto"/>
            </w:tcBorders>
            <w:shd w:val="clear" w:color="auto" w:fill="auto"/>
            <w:noWrap/>
            <w:vAlign w:val="bottom"/>
            <w:hideMark/>
          </w:tcPr>
          <w:p w14:paraId="3D58F139"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nil"/>
              <w:right w:val="single" w:sz="4" w:space="0" w:color="auto"/>
            </w:tcBorders>
            <w:shd w:val="clear" w:color="auto" w:fill="auto"/>
            <w:noWrap/>
            <w:vAlign w:val="bottom"/>
            <w:hideMark/>
          </w:tcPr>
          <w:p w14:paraId="182AE03E"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nil"/>
              <w:right w:val="single" w:sz="4" w:space="0" w:color="auto"/>
            </w:tcBorders>
            <w:shd w:val="clear" w:color="auto" w:fill="auto"/>
            <w:noWrap/>
            <w:vAlign w:val="bottom"/>
            <w:hideMark/>
          </w:tcPr>
          <w:p w14:paraId="3FE95768"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nil"/>
              <w:right w:val="single" w:sz="4" w:space="0" w:color="auto"/>
            </w:tcBorders>
            <w:shd w:val="clear" w:color="auto" w:fill="auto"/>
            <w:noWrap/>
            <w:vAlign w:val="bottom"/>
            <w:hideMark/>
          </w:tcPr>
          <w:p w14:paraId="75CB030D"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nil"/>
              <w:right w:val="single" w:sz="4" w:space="0" w:color="auto"/>
            </w:tcBorders>
            <w:shd w:val="clear" w:color="auto" w:fill="auto"/>
            <w:noWrap/>
            <w:vAlign w:val="bottom"/>
            <w:hideMark/>
          </w:tcPr>
          <w:p w14:paraId="0840F480"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nil"/>
              <w:right w:val="single" w:sz="4" w:space="0" w:color="auto"/>
            </w:tcBorders>
            <w:shd w:val="clear" w:color="auto" w:fill="auto"/>
            <w:noWrap/>
            <w:vAlign w:val="bottom"/>
            <w:hideMark/>
          </w:tcPr>
          <w:p w14:paraId="3EF07FD5"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nil"/>
              <w:right w:val="single" w:sz="4" w:space="0" w:color="auto"/>
            </w:tcBorders>
            <w:shd w:val="clear" w:color="auto" w:fill="auto"/>
            <w:noWrap/>
            <w:vAlign w:val="bottom"/>
            <w:hideMark/>
          </w:tcPr>
          <w:p w14:paraId="2B64E419"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74" w:type="pct"/>
            <w:tcBorders>
              <w:top w:val="nil"/>
              <w:left w:val="nil"/>
              <w:bottom w:val="nil"/>
              <w:right w:val="single" w:sz="4" w:space="0" w:color="auto"/>
            </w:tcBorders>
            <w:shd w:val="clear" w:color="auto" w:fill="auto"/>
            <w:noWrap/>
            <w:vAlign w:val="bottom"/>
            <w:hideMark/>
          </w:tcPr>
          <w:p w14:paraId="588F6521"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r>
      <w:tr w:rsidR="006F4079" w:rsidRPr="00F64681" w14:paraId="0F75AB1C"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5554498A"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Primary residence</w:t>
            </w:r>
          </w:p>
        </w:tc>
        <w:tc>
          <w:tcPr>
            <w:tcW w:w="374" w:type="pct"/>
            <w:tcBorders>
              <w:top w:val="nil"/>
              <w:left w:val="nil"/>
              <w:bottom w:val="nil"/>
              <w:right w:val="single" w:sz="4" w:space="0" w:color="auto"/>
            </w:tcBorders>
            <w:shd w:val="clear" w:color="auto" w:fill="auto"/>
            <w:noWrap/>
            <w:hideMark/>
          </w:tcPr>
          <w:p w14:paraId="1D962720"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0.32</w:t>
            </w:r>
          </w:p>
        </w:tc>
        <w:tc>
          <w:tcPr>
            <w:tcW w:w="374" w:type="pct"/>
            <w:tcBorders>
              <w:top w:val="nil"/>
              <w:left w:val="nil"/>
              <w:bottom w:val="nil"/>
              <w:right w:val="single" w:sz="4" w:space="0" w:color="auto"/>
            </w:tcBorders>
            <w:shd w:val="clear" w:color="auto" w:fill="auto"/>
            <w:noWrap/>
            <w:hideMark/>
          </w:tcPr>
          <w:p w14:paraId="2467B0FF"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0.13</w:t>
            </w:r>
          </w:p>
        </w:tc>
        <w:tc>
          <w:tcPr>
            <w:tcW w:w="374" w:type="pct"/>
            <w:tcBorders>
              <w:top w:val="nil"/>
              <w:left w:val="nil"/>
              <w:bottom w:val="nil"/>
              <w:right w:val="single" w:sz="4" w:space="0" w:color="auto"/>
            </w:tcBorders>
            <w:shd w:val="clear" w:color="auto" w:fill="auto"/>
            <w:noWrap/>
            <w:hideMark/>
          </w:tcPr>
          <w:p w14:paraId="38FDED38"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0.22</w:t>
            </w:r>
          </w:p>
        </w:tc>
        <w:tc>
          <w:tcPr>
            <w:tcW w:w="374" w:type="pct"/>
            <w:tcBorders>
              <w:top w:val="nil"/>
              <w:left w:val="nil"/>
              <w:bottom w:val="nil"/>
              <w:right w:val="single" w:sz="4" w:space="0" w:color="auto"/>
            </w:tcBorders>
            <w:shd w:val="clear" w:color="auto" w:fill="auto"/>
            <w:noWrap/>
            <w:hideMark/>
          </w:tcPr>
          <w:p w14:paraId="00825B3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0.24</w:t>
            </w:r>
          </w:p>
        </w:tc>
        <w:tc>
          <w:tcPr>
            <w:tcW w:w="374" w:type="pct"/>
            <w:tcBorders>
              <w:top w:val="nil"/>
              <w:left w:val="nil"/>
              <w:bottom w:val="nil"/>
              <w:right w:val="single" w:sz="4" w:space="0" w:color="auto"/>
            </w:tcBorders>
            <w:shd w:val="clear" w:color="auto" w:fill="auto"/>
            <w:noWrap/>
            <w:hideMark/>
          </w:tcPr>
          <w:p w14:paraId="23F2B0C4" w14:textId="77777777" w:rsidR="006F4079" w:rsidRPr="00191828" w:rsidRDefault="006F4079" w:rsidP="006F4079">
            <w:pPr>
              <w:spacing w:after="0" w:line="240" w:lineRule="auto"/>
              <w:ind w:firstLine="0"/>
              <w:jc w:val="right"/>
              <w:rPr>
                <w:rFonts w:eastAsia="Times New Roman" w:cs="Times New Roman"/>
                <w:i/>
                <w:iCs/>
                <w:color w:val="000000"/>
                <w:sz w:val="20"/>
                <w:szCs w:val="20"/>
              </w:rPr>
            </w:pPr>
            <w:r w:rsidRPr="00191828">
              <w:rPr>
                <w:color w:val="000000"/>
                <w:sz w:val="20"/>
                <w:szCs w:val="20"/>
              </w:rPr>
              <w:t>0.18</w:t>
            </w:r>
          </w:p>
        </w:tc>
        <w:tc>
          <w:tcPr>
            <w:tcW w:w="374" w:type="pct"/>
            <w:tcBorders>
              <w:top w:val="nil"/>
              <w:left w:val="nil"/>
              <w:bottom w:val="nil"/>
              <w:right w:val="single" w:sz="4" w:space="0" w:color="auto"/>
            </w:tcBorders>
            <w:shd w:val="clear" w:color="auto" w:fill="auto"/>
            <w:noWrap/>
            <w:hideMark/>
          </w:tcPr>
          <w:p w14:paraId="307409E0" w14:textId="77777777" w:rsidR="006F4079" w:rsidRPr="00191828" w:rsidRDefault="006F4079" w:rsidP="006F4079">
            <w:pPr>
              <w:spacing w:after="0" w:line="240" w:lineRule="auto"/>
              <w:ind w:firstLine="0"/>
              <w:jc w:val="right"/>
              <w:rPr>
                <w:rFonts w:eastAsia="Times New Roman" w:cs="Times New Roman"/>
                <w:i/>
                <w:iCs/>
                <w:color w:val="000000"/>
                <w:sz w:val="20"/>
                <w:szCs w:val="20"/>
              </w:rPr>
            </w:pPr>
            <w:r w:rsidRPr="00191828">
              <w:rPr>
                <w:color w:val="000000"/>
                <w:sz w:val="20"/>
                <w:szCs w:val="20"/>
              </w:rPr>
              <w:t>0.20</w:t>
            </w:r>
          </w:p>
        </w:tc>
        <w:tc>
          <w:tcPr>
            <w:tcW w:w="374" w:type="pct"/>
            <w:tcBorders>
              <w:top w:val="nil"/>
              <w:left w:val="nil"/>
              <w:bottom w:val="nil"/>
              <w:right w:val="single" w:sz="4" w:space="0" w:color="auto"/>
            </w:tcBorders>
            <w:shd w:val="clear" w:color="auto" w:fill="auto"/>
            <w:noWrap/>
            <w:hideMark/>
          </w:tcPr>
          <w:p w14:paraId="6EAB9DF7"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0.25</w:t>
            </w:r>
          </w:p>
        </w:tc>
        <w:tc>
          <w:tcPr>
            <w:tcW w:w="374" w:type="pct"/>
            <w:tcBorders>
              <w:top w:val="nil"/>
              <w:left w:val="nil"/>
              <w:bottom w:val="nil"/>
              <w:right w:val="single" w:sz="4" w:space="0" w:color="auto"/>
            </w:tcBorders>
            <w:shd w:val="clear" w:color="auto" w:fill="auto"/>
            <w:noWrap/>
            <w:hideMark/>
          </w:tcPr>
          <w:p w14:paraId="48D80F2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0.25</w:t>
            </w:r>
          </w:p>
        </w:tc>
        <w:tc>
          <w:tcPr>
            <w:tcW w:w="374" w:type="pct"/>
            <w:tcBorders>
              <w:top w:val="nil"/>
              <w:left w:val="nil"/>
              <w:bottom w:val="nil"/>
              <w:right w:val="single" w:sz="4" w:space="0" w:color="auto"/>
            </w:tcBorders>
            <w:shd w:val="clear" w:color="auto" w:fill="auto"/>
            <w:noWrap/>
            <w:hideMark/>
          </w:tcPr>
          <w:p w14:paraId="23C9CAC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0.27</w:t>
            </w:r>
          </w:p>
        </w:tc>
      </w:tr>
      <w:tr w:rsidR="006F4079" w:rsidRPr="00F64681" w14:paraId="76B8CC37"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30321116"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Other property</w:t>
            </w:r>
          </w:p>
        </w:tc>
        <w:tc>
          <w:tcPr>
            <w:tcW w:w="374" w:type="pct"/>
            <w:tcBorders>
              <w:top w:val="nil"/>
              <w:left w:val="nil"/>
              <w:bottom w:val="nil"/>
              <w:right w:val="single" w:sz="4" w:space="0" w:color="auto"/>
            </w:tcBorders>
            <w:shd w:val="clear" w:color="auto" w:fill="auto"/>
            <w:noWrap/>
            <w:hideMark/>
          </w:tcPr>
          <w:p w14:paraId="0BC65083"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2.22</w:t>
            </w:r>
          </w:p>
        </w:tc>
        <w:tc>
          <w:tcPr>
            <w:tcW w:w="374" w:type="pct"/>
            <w:tcBorders>
              <w:top w:val="nil"/>
              <w:left w:val="nil"/>
              <w:bottom w:val="nil"/>
              <w:right w:val="single" w:sz="4" w:space="0" w:color="auto"/>
            </w:tcBorders>
            <w:shd w:val="clear" w:color="auto" w:fill="auto"/>
            <w:noWrap/>
            <w:hideMark/>
          </w:tcPr>
          <w:p w14:paraId="520B6B0F"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2.60</w:t>
            </w:r>
          </w:p>
        </w:tc>
        <w:tc>
          <w:tcPr>
            <w:tcW w:w="374" w:type="pct"/>
            <w:tcBorders>
              <w:top w:val="nil"/>
              <w:left w:val="nil"/>
              <w:bottom w:val="nil"/>
              <w:right w:val="single" w:sz="4" w:space="0" w:color="auto"/>
            </w:tcBorders>
            <w:shd w:val="clear" w:color="auto" w:fill="auto"/>
            <w:noWrap/>
            <w:hideMark/>
          </w:tcPr>
          <w:p w14:paraId="1B17048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2.23</w:t>
            </w:r>
          </w:p>
        </w:tc>
        <w:tc>
          <w:tcPr>
            <w:tcW w:w="374" w:type="pct"/>
            <w:tcBorders>
              <w:top w:val="nil"/>
              <w:left w:val="nil"/>
              <w:bottom w:val="nil"/>
              <w:right w:val="single" w:sz="4" w:space="0" w:color="auto"/>
            </w:tcBorders>
            <w:shd w:val="clear" w:color="auto" w:fill="auto"/>
            <w:noWrap/>
            <w:hideMark/>
          </w:tcPr>
          <w:p w14:paraId="5D148B7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2.84</w:t>
            </w:r>
          </w:p>
        </w:tc>
        <w:tc>
          <w:tcPr>
            <w:tcW w:w="374" w:type="pct"/>
            <w:tcBorders>
              <w:top w:val="nil"/>
              <w:left w:val="nil"/>
              <w:bottom w:val="nil"/>
              <w:right w:val="single" w:sz="4" w:space="0" w:color="auto"/>
            </w:tcBorders>
            <w:shd w:val="clear" w:color="auto" w:fill="auto"/>
            <w:noWrap/>
            <w:hideMark/>
          </w:tcPr>
          <w:p w14:paraId="78378D26"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3.52</w:t>
            </w:r>
          </w:p>
        </w:tc>
        <w:tc>
          <w:tcPr>
            <w:tcW w:w="374" w:type="pct"/>
            <w:tcBorders>
              <w:top w:val="nil"/>
              <w:left w:val="nil"/>
              <w:bottom w:val="nil"/>
              <w:right w:val="single" w:sz="4" w:space="0" w:color="auto"/>
            </w:tcBorders>
            <w:shd w:val="clear" w:color="auto" w:fill="auto"/>
            <w:noWrap/>
            <w:hideMark/>
          </w:tcPr>
          <w:p w14:paraId="062EF61A"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3.34</w:t>
            </w:r>
          </w:p>
        </w:tc>
        <w:tc>
          <w:tcPr>
            <w:tcW w:w="374" w:type="pct"/>
            <w:tcBorders>
              <w:top w:val="nil"/>
              <w:left w:val="nil"/>
              <w:bottom w:val="nil"/>
              <w:right w:val="single" w:sz="4" w:space="0" w:color="auto"/>
            </w:tcBorders>
            <w:shd w:val="clear" w:color="auto" w:fill="auto"/>
            <w:noWrap/>
            <w:hideMark/>
          </w:tcPr>
          <w:p w14:paraId="52A3EA5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3.20</w:t>
            </w:r>
          </w:p>
        </w:tc>
        <w:tc>
          <w:tcPr>
            <w:tcW w:w="374" w:type="pct"/>
            <w:tcBorders>
              <w:top w:val="nil"/>
              <w:left w:val="nil"/>
              <w:bottom w:val="nil"/>
              <w:right w:val="single" w:sz="4" w:space="0" w:color="auto"/>
            </w:tcBorders>
            <w:shd w:val="clear" w:color="auto" w:fill="auto"/>
            <w:noWrap/>
            <w:hideMark/>
          </w:tcPr>
          <w:p w14:paraId="7561A32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3.03</w:t>
            </w:r>
          </w:p>
        </w:tc>
        <w:tc>
          <w:tcPr>
            <w:tcW w:w="374" w:type="pct"/>
            <w:tcBorders>
              <w:top w:val="nil"/>
              <w:left w:val="nil"/>
              <w:bottom w:val="nil"/>
              <w:right w:val="single" w:sz="4" w:space="0" w:color="auto"/>
            </w:tcBorders>
            <w:shd w:val="clear" w:color="auto" w:fill="auto"/>
            <w:noWrap/>
            <w:hideMark/>
          </w:tcPr>
          <w:p w14:paraId="3DBC2A8A"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3.94</w:t>
            </w:r>
          </w:p>
        </w:tc>
      </w:tr>
      <w:tr w:rsidR="006F4079" w:rsidRPr="00F64681" w14:paraId="76672812"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2A7F6340"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Vehicles and other non-financial assets</w:t>
            </w:r>
          </w:p>
        </w:tc>
        <w:tc>
          <w:tcPr>
            <w:tcW w:w="374" w:type="pct"/>
            <w:tcBorders>
              <w:top w:val="nil"/>
              <w:left w:val="nil"/>
              <w:bottom w:val="nil"/>
              <w:right w:val="single" w:sz="4" w:space="0" w:color="auto"/>
            </w:tcBorders>
            <w:shd w:val="clear" w:color="auto" w:fill="auto"/>
            <w:noWrap/>
            <w:hideMark/>
          </w:tcPr>
          <w:p w14:paraId="740F5F18"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-0.32</w:t>
            </w:r>
          </w:p>
        </w:tc>
        <w:tc>
          <w:tcPr>
            <w:tcW w:w="374" w:type="pct"/>
            <w:tcBorders>
              <w:top w:val="nil"/>
              <w:left w:val="nil"/>
              <w:bottom w:val="nil"/>
              <w:right w:val="single" w:sz="4" w:space="0" w:color="auto"/>
            </w:tcBorders>
            <w:shd w:val="clear" w:color="auto" w:fill="auto"/>
            <w:noWrap/>
            <w:hideMark/>
          </w:tcPr>
          <w:p w14:paraId="0CC01B8D"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-0.30</w:t>
            </w:r>
          </w:p>
        </w:tc>
        <w:tc>
          <w:tcPr>
            <w:tcW w:w="374" w:type="pct"/>
            <w:tcBorders>
              <w:top w:val="nil"/>
              <w:left w:val="nil"/>
              <w:bottom w:val="nil"/>
              <w:right w:val="single" w:sz="4" w:space="0" w:color="auto"/>
            </w:tcBorders>
            <w:shd w:val="clear" w:color="auto" w:fill="auto"/>
            <w:noWrap/>
            <w:hideMark/>
          </w:tcPr>
          <w:p w14:paraId="40ED9F34"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-0.25</w:t>
            </w:r>
          </w:p>
        </w:tc>
        <w:tc>
          <w:tcPr>
            <w:tcW w:w="374" w:type="pct"/>
            <w:tcBorders>
              <w:top w:val="nil"/>
              <w:left w:val="nil"/>
              <w:bottom w:val="nil"/>
              <w:right w:val="single" w:sz="4" w:space="0" w:color="auto"/>
            </w:tcBorders>
            <w:shd w:val="clear" w:color="auto" w:fill="auto"/>
            <w:noWrap/>
            <w:hideMark/>
          </w:tcPr>
          <w:p w14:paraId="7701637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-0.41</w:t>
            </w:r>
          </w:p>
        </w:tc>
        <w:tc>
          <w:tcPr>
            <w:tcW w:w="374" w:type="pct"/>
            <w:tcBorders>
              <w:top w:val="nil"/>
              <w:left w:val="nil"/>
              <w:bottom w:val="nil"/>
              <w:right w:val="single" w:sz="4" w:space="0" w:color="auto"/>
            </w:tcBorders>
            <w:shd w:val="clear" w:color="auto" w:fill="auto"/>
            <w:noWrap/>
            <w:hideMark/>
          </w:tcPr>
          <w:p w14:paraId="0B5169F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-0.54</w:t>
            </w:r>
          </w:p>
        </w:tc>
        <w:tc>
          <w:tcPr>
            <w:tcW w:w="374" w:type="pct"/>
            <w:tcBorders>
              <w:top w:val="nil"/>
              <w:left w:val="nil"/>
              <w:bottom w:val="nil"/>
              <w:right w:val="single" w:sz="4" w:space="0" w:color="auto"/>
            </w:tcBorders>
            <w:shd w:val="clear" w:color="auto" w:fill="auto"/>
            <w:noWrap/>
            <w:hideMark/>
          </w:tcPr>
          <w:p w14:paraId="4D5B7A0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-0.54</w:t>
            </w:r>
          </w:p>
        </w:tc>
        <w:tc>
          <w:tcPr>
            <w:tcW w:w="374" w:type="pct"/>
            <w:tcBorders>
              <w:top w:val="nil"/>
              <w:left w:val="nil"/>
              <w:bottom w:val="nil"/>
              <w:right w:val="single" w:sz="4" w:space="0" w:color="auto"/>
            </w:tcBorders>
            <w:shd w:val="clear" w:color="auto" w:fill="auto"/>
            <w:noWrap/>
            <w:hideMark/>
          </w:tcPr>
          <w:p w14:paraId="49645E9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-0.60</w:t>
            </w:r>
          </w:p>
        </w:tc>
        <w:tc>
          <w:tcPr>
            <w:tcW w:w="374" w:type="pct"/>
            <w:tcBorders>
              <w:top w:val="nil"/>
              <w:left w:val="nil"/>
              <w:bottom w:val="nil"/>
              <w:right w:val="single" w:sz="4" w:space="0" w:color="auto"/>
            </w:tcBorders>
            <w:shd w:val="clear" w:color="auto" w:fill="auto"/>
            <w:noWrap/>
            <w:hideMark/>
          </w:tcPr>
          <w:p w14:paraId="2A8CB13A"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-0.56</w:t>
            </w:r>
          </w:p>
        </w:tc>
        <w:tc>
          <w:tcPr>
            <w:tcW w:w="374" w:type="pct"/>
            <w:tcBorders>
              <w:top w:val="nil"/>
              <w:left w:val="nil"/>
              <w:bottom w:val="nil"/>
              <w:right w:val="single" w:sz="4" w:space="0" w:color="auto"/>
            </w:tcBorders>
            <w:shd w:val="clear" w:color="auto" w:fill="auto"/>
            <w:noWrap/>
            <w:hideMark/>
          </w:tcPr>
          <w:p w14:paraId="7277BBA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-0.61</w:t>
            </w:r>
          </w:p>
        </w:tc>
      </w:tr>
      <w:tr w:rsidR="006F4079" w:rsidRPr="00F64681" w14:paraId="0F9A5795"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6E79271C"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Business equity</w:t>
            </w:r>
          </w:p>
        </w:tc>
        <w:tc>
          <w:tcPr>
            <w:tcW w:w="374" w:type="pct"/>
            <w:tcBorders>
              <w:top w:val="nil"/>
              <w:left w:val="nil"/>
              <w:bottom w:val="nil"/>
              <w:right w:val="single" w:sz="4" w:space="0" w:color="auto"/>
            </w:tcBorders>
            <w:shd w:val="clear" w:color="auto" w:fill="auto"/>
            <w:noWrap/>
            <w:hideMark/>
          </w:tcPr>
          <w:p w14:paraId="38DE3EA8"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2.30</w:t>
            </w:r>
          </w:p>
        </w:tc>
        <w:tc>
          <w:tcPr>
            <w:tcW w:w="374" w:type="pct"/>
            <w:tcBorders>
              <w:top w:val="nil"/>
              <w:left w:val="nil"/>
              <w:bottom w:val="nil"/>
              <w:right w:val="single" w:sz="4" w:space="0" w:color="auto"/>
            </w:tcBorders>
            <w:shd w:val="clear" w:color="auto" w:fill="auto"/>
            <w:noWrap/>
            <w:hideMark/>
          </w:tcPr>
          <w:p w14:paraId="411672A5"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2.41</w:t>
            </w:r>
          </w:p>
        </w:tc>
        <w:tc>
          <w:tcPr>
            <w:tcW w:w="374" w:type="pct"/>
            <w:tcBorders>
              <w:top w:val="nil"/>
              <w:left w:val="nil"/>
              <w:bottom w:val="nil"/>
              <w:right w:val="single" w:sz="4" w:space="0" w:color="auto"/>
            </w:tcBorders>
            <w:shd w:val="clear" w:color="auto" w:fill="auto"/>
            <w:noWrap/>
            <w:hideMark/>
          </w:tcPr>
          <w:p w14:paraId="153905F3"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2.35</w:t>
            </w:r>
          </w:p>
        </w:tc>
        <w:tc>
          <w:tcPr>
            <w:tcW w:w="374" w:type="pct"/>
            <w:tcBorders>
              <w:top w:val="nil"/>
              <w:left w:val="nil"/>
              <w:bottom w:val="nil"/>
              <w:right w:val="single" w:sz="4" w:space="0" w:color="auto"/>
            </w:tcBorders>
            <w:shd w:val="clear" w:color="auto" w:fill="auto"/>
            <w:noWrap/>
            <w:hideMark/>
          </w:tcPr>
          <w:p w14:paraId="47A6053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2.71</w:t>
            </w:r>
          </w:p>
        </w:tc>
        <w:tc>
          <w:tcPr>
            <w:tcW w:w="374" w:type="pct"/>
            <w:tcBorders>
              <w:top w:val="nil"/>
              <w:left w:val="nil"/>
              <w:bottom w:val="nil"/>
              <w:right w:val="single" w:sz="4" w:space="0" w:color="auto"/>
            </w:tcBorders>
            <w:shd w:val="clear" w:color="auto" w:fill="auto"/>
            <w:noWrap/>
            <w:hideMark/>
          </w:tcPr>
          <w:p w14:paraId="47238CFD"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3.45</w:t>
            </w:r>
          </w:p>
        </w:tc>
        <w:tc>
          <w:tcPr>
            <w:tcW w:w="374" w:type="pct"/>
            <w:tcBorders>
              <w:top w:val="nil"/>
              <w:left w:val="nil"/>
              <w:bottom w:val="nil"/>
              <w:right w:val="single" w:sz="4" w:space="0" w:color="auto"/>
            </w:tcBorders>
            <w:shd w:val="clear" w:color="auto" w:fill="auto"/>
            <w:noWrap/>
            <w:hideMark/>
          </w:tcPr>
          <w:p w14:paraId="39E4969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3.05</w:t>
            </w:r>
          </w:p>
        </w:tc>
        <w:tc>
          <w:tcPr>
            <w:tcW w:w="374" w:type="pct"/>
            <w:tcBorders>
              <w:top w:val="nil"/>
              <w:left w:val="nil"/>
              <w:bottom w:val="nil"/>
              <w:right w:val="single" w:sz="4" w:space="0" w:color="auto"/>
            </w:tcBorders>
            <w:shd w:val="clear" w:color="auto" w:fill="auto"/>
            <w:noWrap/>
            <w:hideMark/>
          </w:tcPr>
          <w:p w14:paraId="1172AA34"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4.11</w:t>
            </w:r>
          </w:p>
        </w:tc>
        <w:tc>
          <w:tcPr>
            <w:tcW w:w="374" w:type="pct"/>
            <w:tcBorders>
              <w:top w:val="nil"/>
              <w:left w:val="nil"/>
              <w:bottom w:val="nil"/>
              <w:right w:val="single" w:sz="4" w:space="0" w:color="auto"/>
            </w:tcBorders>
            <w:shd w:val="clear" w:color="auto" w:fill="auto"/>
            <w:noWrap/>
            <w:hideMark/>
          </w:tcPr>
          <w:p w14:paraId="76F843F6"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3.15</w:t>
            </w:r>
          </w:p>
        </w:tc>
        <w:tc>
          <w:tcPr>
            <w:tcW w:w="374" w:type="pct"/>
            <w:tcBorders>
              <w:top w:val="nil"/>
              <w:left w:val="nil"/>
              <w:bottom w:val="nil"/>
              <w:right w:val="single" w:sz="4" w:space="0" w:color="auto"/>
            </w:tcBorders>
            <w:shd w:val="clear" w:color="auto" w:fill="auto"/>
            <w:noWrap/>
            <w:hideMark/>
          </w:tcPr>
          <w:p w14:paraId="2D54219D"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4.18</w:t>
            </w:r>
          </w:p>
        </w:tc>
      </w:tr>
      <w:tr w:rsidR="006F4079" w:rsidRPr="00F64681" w14:paraId="725EF8F0"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2F1EB6E9"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Financial investment assets</w:t>
            </w:r>
          </w:p>
        </w:tc>
        <w:tc>
          <w:tcPr>
            <w:tcW w:w="374" w:type="pct"/>
            <w:tcBorders>
              <w:top w:val="nil"/>
              <w:left w:val="nil"/>
              <w:bottom w:val="nil"/>
              <w:right w:val="single" w:sz="4" w:space="0" w:color="auto"/>
            </w:tcBorders>
            <w:shd w:val="clear" w:color="auto" w:fill="auto"/>
            <w:noWrap/>
            <w:hideMark/>
          </w:tcPr>
          <w:p w14:paraId="485BE2EF"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2.06</w:t>
            </w:r>
          </w:p>
        </w:tc>
        <w:tc>
          <w:tcPr>
            <w:tcW w:w="374" w:type="pct"/>
            <w:tcBorders>
              <w:top w:val="nil"/>
              <w:left w:val="nil"/>
              <w:bottom w:val="nil"/>
              <w:right w:val="single" w:sz="4" w:space="0" w:color="auto"/>
            </w:tcBorders>
            <w:shd w:val="clear" w:color="auto" w:fill="auto"/>
            <w:noWrap/>
            <w:hideMark/>
          </w:tcPr>
          <w:p w14:paraId="081DBFF2"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2.05</w:t>
            </w:r>
          </w:p>
        </w:tc>
        <w:tc>
          <w:tcPr>
            <w:tcW w:w="374" w:type="pct"/>
            <w:tcBorders>
              <w:top w:val="nil"/>
              <w:left w:val="nil"/>
              <w:bottom w:val="nil"/>
              <w:right w:val="single" w:sz="4" w:space="0" w:color="auto"/>
            </w:tcBorders>
            <w:shd w:val="clear" w:color="auto" w:fill="auto"/>
            <w:noWrap/>
            <w:hideMark/>
          </w:tcPr>
          <w:p w14:paraId="78596793"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2.09</w:t>
            </w:r>
          </w:p>
        </w:tc>
        <w:tc>
          <w:tcPr>
            <w:tcW w:w="374" w:type="pct"/>
            <w:tcBorders>
              <w:top w:val="nil"/>
              <w:left w:val="nil"/>
              <w:bottom w:val="nil"/>
              <w:right w:val="single" w:sz="4" w:space="0" w:color="auto"/>
            </w:tcBorders>
            <w:shd w:val="clear" w:color="auto" w:fill="auto"/>
            <w:noWrap/>
            <w:hideMark/>
          </w:tcPr>
          <w:p w14:paraId="18E7693E"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2.09</w:t>
            </w:r>
          </w:p>
        </w:tc>
        <w:tc>
          <w:tcPr>
            <w:tcW w:w="374" w:type="pct"/>
            <w:tcBorders>
              <w:top w:val="nil"/>
              <w:left w:val="nil"/>
              <w:bottom w:val="nil"/>
              <w:right w:val="single" w:sz="4" w:space="0" w:color="auto"/>
            </w:tcBorders>
            <w:shd w:val="clear" w:color="auto" w:fill="auto"/>
            <w:noWrap/>
            <w:hideMark/>
          </w:tcPr>
          <w:p w14:paraId="00BD264D"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2.60</w:t>
            </w:r>
          </w:p>
        </w:tc>
        <w:tc>
          <w:tcPr>
            <w:tcW w:w="374" w:type="pct"/>
            <w:tcBorders>
              <w:top w:val="nil"/>
              <w:left w:val="nil"/>
              <w:bottom w:val="nil"/>
              <w:right w:val="single" w:sz="4" w:space="0" w:color="auto"/>
            </w:tcBorders>
            <w:shd w:val="clear" w:color="auto" w:fill="auto"/>
            <w:noWrap/>
            <w:hideMark/>
          </w:tcPr>
          <w:p w14:paraId="737302F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3.38</w:t>
            </w:r>
          </w:p>
        </w:tc>
        <w:tc>
          <w:tcPr>
            <w:tcW w:w="374" w:type="pct"/>
            <w:tcBorders>
              <w:top w:val="nil"/>
              <w:left w:val="nil"/>
              <w:bottom w:val="nil"/>
              <w:right w:val="single" w:sz="4" w:space="0" w:color="auto"/>
            </w:tcBorders>
            <w:shd w:val="clear" w:color="auto" w:fill="auto"/>
            <w:noWrap/>
            <w:hideMark/>
          </w:tcPr>
          <w:p w14:paraId="1E463B1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3.16</w:t>
            </w:r>
          </w:p>
        </w:tc>
        <w:tc>
          <w:tcPr>
            <w:tcW w:w="374" w:type="pct"/>
            <w:tcBorders>
              <w:top w:val="nil"/>
              <w:left w:val="nil"/>
              <w:bottom w:val="nil"/>
              <w:right w:val="single" w:sz="4" w:space="0" w:color="auto"/>
            </w:tcBorders>
            <w:shd w:val="clear" w:color="auto" w:fill="auto"/>
            <w:noWrap/>
            <w:hideMark/>
          </w:tcPr>
          <w:p w14:paraId="0754BF24"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3.56</w:t>
            </w:r>
          </w:p>
        </w:tc>
        <w:tc>
          <w:tcPr>
            <w:tcW w:w="374" w:type="pct"/>
            <w:tcBorders>
              <w:top w:val="nil"/>
              <w:left w:val="nil"/>
              <w:bottom w:val="nil"/>
              <w:right w:val="single" w:sz="4" w:space="0" w:color="auto"/>
            </w:tcBorders>
            <w:shd w:val="clear" w:color="auto" w:fill="auto"/>
            <w:noWrap/>
            <w:hideMark/>
          </w:tcPr>
          <w:p w14:paraId="593571E3"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4.13</w:t>
            </w:r>
          </w:p>
        </w:tc>
      </w:tr>
      <w:tr w:rsidR="006F4079" w:rsidRPr="00F64681" w14:paraId="59B60F5E"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40810979"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Transaction accounts</w:t>
            </w:r>
          </w:p>
        </w:tc>
        <w:tc>
          <w:tcPr>
            <w:tcW w:w="374" w:type="pct"/>
            <w:tcBorders>
              <w:top w:val="nil"/>
              <w:left w:val="nil"/>
              <w:bottom w:val="nil"/>
              <w:right w:val="single" w:sz="4" w:space="0" w:color="auto"/>
            </w:tcBorders>
            <w:shd w:val="clear" w:color="auto" w:fill="auto"/>
            <w:noWrap/>
            <w:hideMark/>
          </w:tcPr>
          <w:p w14:paraId="31552B38"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i/>
                <w:iCs/>
                <w:color w:val="000000"/>
                <w:sz w:val="20"/>
                <w:szCs w:val="20"/>
              </w:rPr>
              <w:t>0.04</w:t>
            </w:r>
          </w:p>
        </w:tc>
        <w:tc>
          <w:tcPr>
            <w:tcW w:w="374" w:type="pct"/>
            <w:tcBorders>
              <w:top w:val="nil"/>
              <w:left w:val="nil"/>
              <w:bottom w:val="nil"/>
              <w:right w:val="single" w:sz="4" w:space="0" w:color="auto"/>
            </w:tcBorders>
            <w:shd w:val="clear" w:color="auto" w:fill="auto"/>
            <w:noWrap/>
            <w:hideMark/>
          </w:tcPr>
          <w:p w14:paraId="2B67C907"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0.42</w:t>
            </w:r>
          </w:p>
        </w:tc>
        <w:tc>
          <w:tcPr>
            <w:tcW w:w="374" w:type="pct"/>
            <w:tcBorders>
              <w:top w:val="nil"/>
              <w:left w:val="nil"/>
              <w:bottom w:val="nil"/>
              <w:right w:val="single" w:sz="4" w:space="0" w:color="auto"/>
            </w:tcBorders>
            <w:shd w:val="clear" w:color="auto" w:fill="auto"/>
            <w:noWrap/>
            <w:hideMark/>
          </w:tcPr>
          <w:p w14:paraId="4797E88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0.41</w:t>
            </w:r>
          </w:p>
        </w:tc>
        <w:tc>
          <w:tcPr>
            <w:tcW w:w="374" w:type="pct"/>
            <w:tcBorders>
              <w:top w:val="nil"/>
              <w:left w:val="nil"/>
              <w:bottom w:val="nil"/>
              <w:right w:val="single" w:sz="4" w:space="0" w:color="auto"/>
            </w:tcBorders>
            <w:shd w:val="clear" w:color="auto" w:fill="auto"/>
            <w:noWrap/>
            <w:hideMark/>
          </w:tcPr>
          <w:p w14:paraId="29C0A53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i/>
                <w:iCs/>
                <w:color w:val="000000"/>
                <w:sz w:val="20"/>
                <w:szCs w:val="20"/>
              </w:rPr>
              <w:t>0.00</w:t>
            </w:r>
          </w:p>
        </w:tc>
        <w:tc>
          <w:tcPr>
            <w:tcW w:w="374" w:type="pct"/>
            <w:tcBorders>
              <w:top w:val="nil"/>
              <w:left w:val="nil"/>
              <w:bottom w:val="nil"/>
              <w:right w:val="single" w:sz="4" w:space="0" w:color="auto"/>
            </w:tcBorders>
            <w:shd w:val="clear" w:color="auto" w:fill="auto"/>
            <w:noWrap/>
            <w:hideMark/>
          </w:tcPr>
          <w:p w14:paraId="5E8DFEF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-0.10</w:t>
            </w:r>
          </w:p>
        </w:tc>
        <w:tc>
          <w:tcPr>
            <w:tcW w:w="374" w:type="pct"/>
            <w:tcBorders>
              <w:top w:val="nil"/>
              <w:left w:val="nil"/>
              <w:bottom w:val="nil"/>
              <w:right w:val="single" w:sz="4" w:space="0" w:color="auto"/>
            </w:tcBorders>
            <w:shd w:val="clear" w:color="auto" w:fill="auto"/>
            <w:noWrap/>
            <w:hideMark/>
          </w:tcPr>
          <w:p w14:paraId="087B7CD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0.33</w:t>
            </w:r>
          </w:p>
        </w:tc>
        <w:tc>
          <w:tcPr>
            <w:tcW w:w="374" w:type="pct"/>
            <w:tcBorders>
              <w:top w:val="nil"/>
              <w:left w:val="nil"/>
              <w:bottom w:val="nil"/>
              <w:right w:val="single" w:sz="4" w:space="0" w:color="auto"/>
            </w:tcBorders>
            <w:shd w:val="clear" w:color="auto" w:fill="auto"/>
            <w:noWrap/>
            <w:hideMark/>
          </w:tcPr>
          <w:p w14:paraId="046FEFB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0.24</w:t>
            </w:r>
          </w:p>
        </w:tc>
        <w:tc>
          <w:tcPr>
            <w:tcW w:w="374" w:type="pct"/>
            <w:tcBorders>
              <w:top w:val="nil"/>
              <w:left w:val="nil"/>
              <w:bottom w:val="nil"/>
              <w:right w:val="single" w:sz="4" w:space="0" w:color="auto"/>
            </w:tcBorders>
            <w:shd w:val="clear" w:color="auto" w:fill="auto"/>
            <w:noWrap/>
            <w:hideMark/>
          </w:tcPr>
          <w:p w14:paraId="554AE84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0.21</w:t>
            </w:r>
          </w:p>
        </w:tc>
        <w:tc>
          <w:tcPr>
            <w:tcW w:w="374" w:type="pct"/>
            <w:tcBorders>
              <w:top w:val="nil"/>
              <w:left w:val="nil"/>
              <w:bottom w:val="nil"/>
              <w:right w:val="single" w:sz="4" w:space="0" w:color="auto"/>
            </w:tcBorders>
            <w:shd w:val="clear" w:color="auto" w:fill="auto"/>
            <w:noWrap/>
            <w:hideMark/>
          </w:tcPr>
          <w:p w14:paraId="35BE1EF3"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0.12</w:t>
            </w:r>
          </w:p>
        </w:tc>
      </w:tr>
      <w:tr w:rsidR="006F4079" w:rsidRPr="00F64681" w14:paraId="2893B93D"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387860BE"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Retirement and insurance assets</w:t>
            </w:r>
          </w:p>
        </w:tc>
        <w:tc>
          <w:tcPr>
            <w:tcW w:w="374" w:type="pct"/>
            <w:tcBorders>
              <w:top w:val="nil"/>
              <w:left w:val="nil"/>
              <w:bottom w:val="nil"/>
              <w:right w:val="single" w:sz="4" w:space="0" w:color="auto"/>
            </w:tcBorders>
            <w:shd w:val="clear" w:color="auto" w:fill="auto"/>
            <w:noWrap/>
            <w:hideMark/>
          </w:tcPr>
          <w:p w14:paraId="7D241975"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4.36</w:t>
            </w:r>
          </w:p>
        </w:tc>
        <w:tc>
          <w:tcPr>
            <w:tcW w:w="374" w:type="pct"/>
            <w:tcBorders>
              <w:top w:val="nil"/>
              <w:left w:val="nil"/>
              <w:bottom w:val="nil"/>
              <w:right w:val="single" w:sz="4" w:space="0" w:color="auto"/>
            </w:tcBorders>
            <w:shd w:val="clear" w:color="auto" w:fill="auto"/>
            <w:noWrap/>
            <w:hideMark/>
          </w:tcPr>
          <w:p w14:paraId="6CF1A5CC"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3.35</w:t>
            </w:r>
          </w:p>
        </w:tc>
        <w:tc>
          <w:tcPr>
            <w:tcW w:w="374" w:type="pct"/>
            <w:tcBorders>
              <w:top w:val="nil"/>
              <w:left w:val="nil"/>
              <w:bottom w:val="nil"/>
              <w:right w:val="single" w:sz="4" w:space="0" w:color="auto"/>
            </w:tcBorders>
            <w:shd w:val="clear" w:color="auto" w:fill="auto"/>
            <w:noWrap/>
            <w:hideMark/>
          </w:tcPr>
          <w:p w14:paraId="0D726C8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2.32</w:t>
            </w:r>
          </w:p>
        </w:tc>
        <w:tc>
          <w:tcPr>
            <w:tcW w:w="374" w:type="pct"/>
            <w:tcBorders>
              <w:top w:val="nil"/>
              <w:left w:val="nil"/>
              <w:bottom w:val="nil"/>
              <w:right w:val="single" w:sz="4" w:space="0" w:color="auto"/>
            </w:tcBorders>
            <w:shd w:val="clear" w:color="auto" w:fill="auto"/>
            <w:noWrap/>
            <w:hideMark/>
          </w:tcPr>
          <w:p w14:paraId="79BA8D1F"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2.39</w:t>
            </w:r>
          </w:p>
        </w:tc>
        <w:tc>
          <w:tcPr>
            <w:tcW w:w="374" w:type="pct"/>
            <w:tcBorders>
              <w:top w:val="nil"/>
              <w:left w:val="nil"/>
              <w:bottom w:val="nil"/>
              <w:right w:val="single" w:sz="4" w:space="0" w:color="auto"/>
            </w:tcBorders>
            <w:shd w:val="clear" w:color="auto" w:fill="auto"/>
            <w:noWrap/>
            <w:hideMark/>
          </w:tcPr>
          <w:p w14:paraId="04C4D7CD"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2.44</w:t>
            </w:r>
          </w:p>
        </w:tc>
        <w:tc>
          <w:tcPr>
            <w:tcW w:w="374" w:type="pct"/>
            <w:tcBorders>
              <w:top w:val="nil"/>
              <w:left w:val="nil"/>
              <w:bottom w:val="nil"/>
              <w:right w:val="single" w:sz="4" w:space="0" w:color="auto"/>
            </w:tcBorders>
            <w:shd w:val="clear" w:color="auto" w:fill="auto"/>
            <w:noWrap/>
            <w:hideMark/>
          </w:tcPr>
          <w:p w14:paraId="0E97789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3.37</w:t>
            </w:r>
          </w:p>
        </w:tc>
        <w:tc>
          <w:tcPr>
            <w:tcW w:w="374" w:type="pct"/>
            <w:tcBorders>
              <w:top w:val="nil"/>
              <w:left w:val="nil"/>
              <w:bottom w:val="nil"/>
              <w:right w:val="single" w:sz="4" w:space="0" w:color="auto"/>
            </w:tcBorders>
            <w:shd w:val="clear" w:color="auto" w:fill="auto"/>
            <w:noWrap/>
            <w:hideMark/>
          </w:tcPr>
          <w:p w14:paraId="63F902C7"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2.92</w:t>
            </w:r>
          </w:p>
        </w:tc>
        <w:tc>
          <w:tcPr>
            <w:tcW w:w="374" w:type="pct"/>
            <w:tcBorders>
              <w:top w:val="nil"/>
              <w:left w:val="nil"/>
              <w:bottom w:val="nil"/>
              <w:right w:val="single" w:sz="4" w:space="0" w:color="auto"/>
            </w:tcBorders>
            <w:shd w:val="clear" w:color="auto" w:fill="auto"/>
            <w:noWrap/>
            <w:hideMark/>
          </w:tcPr>
          <w:p w14:paraId="62EC7DA8"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2.95</w:t>
            </w:r>
          </w:p>
        </w:tc>
        <w:tc>
          <w:tcPr>
            <w:tcW w:w="374" w:type="pct"/>
            <w:tcBorders>
              <w:top w:val="nil"/>
              <w:left w:val="nil"/>
              <w:bottom w:val="nil"/>
              <w:right w:val="single" w:sz="4" w:space="0" w:color="auto"/>
            </w:tcBorders>
            <w:shd w:val="clear" w:color="auto" w:fill="auto"/>
            <w:noWrap/>
            <w:hideMark/>
          </w:tcPr>
          <w:p w14:paraId="259D8F6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2.81</w:t>
            </w:r>
          </w:p>
        </w:tc>
      </w:tr>
      <w:tr w:rsidR="006F4079" w:rsidRPr="00F64681" w14:paraId="62A2FB9C"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463629EF" w14:textId="77777777" w:rsidR="006F4079" w:rsidRPr="00F64681" w:rsidRDefault="006F4079" w:rsidP="006F4079">
            <w:pPr>
              <w:spacing w:after="0" w:line="240" w:lineRule="auto"/>
              <w:ind w:firstLine="0"/>
              <w:jc w:val="righ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N</w:t>
            </w:r>
          </w:p>
        </w:tc>
        <w:tc>
          <w:tcPr>
            <w:tcW w:w="374" w:type="pct"/>
            <w:tcBorders>
              <w:top w:val="nil"/>
              <w:left w:val="nil"/>
              <w:bottom w:val="nil"/>
              <w:right w:val="single" w:sz="4" w:space="0" w:color="auto"/>
            </w:tcBorders>
            <w:shd w:val="clear" w:color="auto" w:fill="auto"/>
            <w:noWrap/>
            <w:hideMark/>
          </w:tcPr>
          <w:p w14:paraId="26F38852"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15,207</w:t>
            </w:r>
          </w:p>
        </w:tc>
        <w:tc>
          <w:tcPr>
            <w:tcW w:w="374" w:type="pct"/>
            <w:tcBorders>
              <w:top w:val="nil"/>
              <w:left w:val="nil"/>
              <w:bottom w:val="nil"/>
              <w:right w:val="single" w:sz="4" w:space="0" w:color="auto"/>
            </w:tcBorders>
            <w:shd w:val="clear" w:color="auto" w:fill="auto"/>
            <w:noWrap/>
            <w:hideMark/>
          </w:tcPr>
          <w:p w14:paraId="67C18B1A"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18,956</w:t>
            </w:r>
          </w:p>
        </w:tc>
        <w:tc>
          <w:tcPr>
            <w:tcW w:w="374" w:type="pct"/>
            <w:tcBorders>
              <w:top w:val="nil"/>
              <w:left w:val="nil"/>
              <w:bottom w:val="nil"/>
              <w:right w:val="single" w:sz="4" w:space="0" w:color="auto"/>
            </w:tcBorders>
            <w:shd w:val="clear" w:color="auto" w:fill="auto"/>
            <w:noWrap/>
            <w:hideMark/>
          </w:tcPr>
          <w:p w14:paraId="0702521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20,965</w:t>
            </w:r>
          </w:p>
        </w:tc>
        <w:tc>
          <w:tcPr>
            <w:tcW w:w="374" w:type="pct"/>
            <w:tcBorders>
              <w:top w:val="nil"/>
              <w:left w:val="nil"/>
              <w:bottom w:val="nil"/>
              <w:right w:val="single" w:sz="4" w:space="0" w:color="auto"/>
            </w:tcBorders>
            <w:shd w:val="clear" w:color="auto" w:fill="auto"/>
            <w:noWrap/>
            <w:hideMark/>
          </w:tcPr>
          <w:p w14:paraId="7F13260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20,940</w:t>
            </w:r>
          </w:p>
        </w:tc>
        <w:tc>
          <w:tcPr>
            <w:tcW w:w="374" w:type="pct"/>
            <w:tcBorders>
              <w:top w:val="nil"/>
              <w:left w:val="nil"/>
              <w:bottom w:val="nil"/>
              <w:right w:val="single" w:sz="4" w:space="0" w:color="auto"/>
            </w:tcBorders>
            <w:shd w:val="clear" w:color="auto" w:fill="auto"/>
            <w:noWrap/>
            <w:hideMark/>
          </w:tcPr>
          <w:p w14:paraId="1CA78C54"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21,612</w:t>
            </w:r>
          </w:p>
        </w:tc>
        <w:tc>
          <w:tcPr>
            <w:tcW w:w="374" w:type="pct"/>
            <w:tcBorders>
              <w:top w:val="nil"/>
              <w:left w:val="nil"/>
              <w:bottom w:val="nil"/>
              <w:right w:val="single" w:sz="4" w:space="0" w:color="auto"/>
            </w:tcBorders>
            <w:shd w:val="clear" w:color="auto" w:fill="auto"/>
            <w:noWrap/>
            <w:hideMark/>
          </w:tcPr>
          <w:p w14:paraId="62BF30A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22,191</w:t>
            </w:r>
          </w:p>
        </w:tc>
        <w:tc>
          <w:tcPr>
            <w:tcW w:w="374" w:type="pct"/>
            <w:tcBorders>
              <w:top w:val="nil"/>
              <w:left w:val="nil"/>
              <w:bottom w:val="nil"/>
              <w:right w:val="single" w:sz="4" w:space="0" w:color="auto"/>
            </w:tcBorders>
            <w:shd w:val="clear" w:color="auto" w:fill="auto"/>
            <w:noWrap/>
            <w:hideMark/>
          </w:tcPr>
          <w:p w14:paraId="5BB98094"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21,694</w:t>
            </w:r>
          </w:p>
        </w:tc>
        <w:tc>
          <w:tcPr>
            <w:tcW w:w="374" w:type="pct"/>
            <w:tcBorders>
              <w:top w:val="nil"/>
              <w:left w:val="nil"/>
              <w:bottom w:val="nil"/>
              <w:right w:val="single" w:sz="4" w:space="0" w:color="auto"/>
            </w:tcBorders>
            <w:shd w:val="clear" w:color="auto" w:fill="auto"/>
            <w:noWrap/>
            <w:hideMark/>
          </w:tcPr>
          <w:p w14:paraId="7686A3C6"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31,616</w:t>
            </w:r>
          </w:p>
        </w:tc>
        <w:tc>
          <w:tcPr>
            <w:tcW w:w="374" w:type="pct"/>
            <w:tcBorders>
              <w:top w:val="nil"/>
              <w:left w:val="nil"/>
              <w:bottom w:val="nil"/>
              <w:right w:val="single" w:sz="4" w:space="0" w:color="auto"/>
            </w:tcBorders>
            <w:shd w:val="clear" w:color="auto" w:fill="auto"/>
            <w:noWrap/>
            <w:hideMark/>
          </w:tcPr>
          <w:p w14:paraId="2645E65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29,500</w:t>
            </w:r>
          </w:p>
        </w:tc>
      </w:tr>
      <w:tr w:rsidR="006F4079" w:rsidRPr="00F64681" w14:paraId="61884BF1"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219B859C" w14:textId="77777777" w:rsidR="006F4079" w:rsidRPr="00F64681" w:rsidRDefault="006F4079" w:rsidP="006F4079">
            <w:pPr>
              <w:spacing w:after="0" w:line="240" w:lineRule="auto"/>
              <w:ind w:firstLine="0"/>
              <w:jc w:val="left"/>
              <w:rPr>
                <w:rFonts w:ascii="Times New Roman" w:eastAsia="Times New Roman" w:hAnsi="Times New Roman" w:cs="Times New Roman"/>
                <w:b/>
                <w:bCs/>
                <w:color w:val="000000"/>
                <w:sz w:val="20"/>
                <w:szCs w:val="20"/>
              </w:rPr>
            </w:pPr>
            <w:r w:rsidRPr="00F64681">
              <w:rPr>
                <w:rFonts w:ascii="Times New Roman" w:eastAsia="Times New Roman" w:hAnsi="Times New Roman" w:cs="Times New Roman"/>
                <w:b/>
                <w:bCs/>
                <w:color w:val="000000"/>
                <w:sz w:val="20"/>
                <w:szCs w:val="20"/>
              </w:rPr>
              <w:t>Share of total debt</w:t>
            </w:r>
          </w:p>
        </w:tc>
        <w:tc>
          <w:tcPr>
            <w:tcW w:w="374" w:type="pct"/>
            <w:tcBorders>
              <w:top w:val="nil"/>
              <w:left w:val="nil"/>
              <w:bottom w:val="nil"/>
              <w:right w:val="single" w:sz="4" w:space="0" w:color="auto"/>
            </w:tcBorders>
            <w:shd w:val="clear" w:color="auto" w:fill="auto"/>
            <w:noWrap/>
            <w:hideMark/>
          </w:tcPr>
          <w:p w14:paraId="666187C3"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46A238BA"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58671F3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0724A306"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238ED933"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3A2F3FF6"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41B5905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6D6E45FF"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3A8027E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r>
      <w:tr w:rsidR="006F4079" w:rsidRPr="00F64681" w14:paraId="564CB7B4"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44D65A21"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 secured by primary residence</w:t>
            </w:r>
          </w:p>
        </w:tc>
        <w:tc>
          <w:tcPr>
            <w:tcW w:w="374" w:type="pct"/>
            <w:tcBorders>
              <w:top w:val="nil"/>
              <w:left w:val="nil"/>
              <w:bottom w:val="nil"/>
              <w:right w:val="single" w:sz="4" w:space="0" w:color="auto"/>
            </w:tcBorders>
            <w:shd w:val="clear" w:color="auto" w:fill="auto"/>
            <w:noWrap/>
            <w:hideMark/>
          </w:tcPr>
          <w:p w14:paraId="6E4C8E4F"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0.81</w:t>
            </w:r>
          </w:p>
        </w:tc>
        <w:tc>
          <w:tcPr>
            <w:tcW w:w="374" w:type="pct"/>
            <w:tcBorders>
              <w:top w:val="nil"/>
              <w:left w:val="nil"/>
              <w:bottom w:val="nil"/>
              <w:right w:val="single" w:sz="4" w:space="0" w:color="auto"/>
            </w:tcBorders>
            <w:shd w:val="clear" w:color="auto" w:fill="auto"/>
            <w:noWrap/>
            <w:hideMark/>
          </w:tcPr>
          <w:p w14:paraId="09FC633D"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0.85</w:t>
            </w:r>
          </w:p>
        </w:tc>
        <w:tc>
          <w:tcPr>
            <w:tcW w:w="374" w:type="pct"/>
            <w:tcBorders>
              <w:top w:val="nil"/>
              <w:left w:val="nil"/>
              <w:bottom w:val="nil"/>
              <w:right w:val="single" w:sz="4" w:space="0" w:color="auto"/>
            </w:tcBorders>
            <w:shd w:val="clear" w:color="auto" w:fill="auto"/>
            <w:noWrap/>
            <w:hideMark/>
          </w:tcPr>
          <w:p w14:paraId="3277DC6D"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0.73</w:t>
            </w:r>
          </w:p>
        </w:tc>
        <w:tc>
          <w:tcPr>
            <w:tcW w:w="374" w:type="pct"/>
            <w:tcBorders>
              <w:top w:val="nil"/>
              <w:left w:val="nil"/>
              <w:bottom w:val="nil"/>
              <w:right w:val="single" w:sz="4" w:space="0" w:color="auto"/>
            </w:tcBorders>
            <w:shd w:val="clear" w:color="auto" w:fill="auto"/>
            <w:noWrap/>
            <w:hideMark/>
          </w:tcPr>
          <w:p w14:paraId="3B4FFD17"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0.79</w:t>
            </w:r>
          </w:p>
        </w:tc>
        <w:tc>
          <w:tcPr>
            <w:tcW w:w="374" w:type="pct"/>
            <w:tcBorders>
              <w:top w:val="nil"/>
              <w:left w:val="nil"/>
              <w:bottom w:val="nil"/>
              <w:right w:val="single" w:sz="4" w:space="0" w:color="auto"/>
            </w:tcBorders>
            <w:shd w:val="clear" w:color="auto" w:fill="auto"/>
            <w:noWrap/>
            <w:hideMark/>
          </w:tcPr>
          <w:p w14:paraId="06AD3DBD"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0.81</w:t>
            </w:r>
          </w:p>
        </w:tc>
        <w:tc>
          <w:tcPr>
            <w:tcW w:w="374" w:type="pct"/>
            <w:tcBorders>
              <w:top w:val="nil"/>
              <w:left w:val="nil"/>
              <w:bottom w:val="nil"/>
              <w:right w:val="single" w:sz="4" w:space="0" w:color="auto"/>
            </w:tcBorders>
            <w:shd w:val="clear" w:color="auto" w:fill="auto"/>
            <w:noWrap/>
            <w:hideMark/>
          </w:tcPr>
          <w:p w14:paraId="3F264218"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0.64</w:t>
            </w:r>
          </w:p>
        </w:tc>
        <w:tc>
          <w:tcPr>
            <w:tcW w:w="374" w:type="pct"/>
            <w:tcBorders>
              <w:top w:val="nil"/>
              <w:left w:val="nil"/>
              <w:bottom w:val="nil"/>
              <w:right w:val="single" w:sz="4" w:space="0" w:color="auto"/>
            </w:tcBorders>
            <w:shd w:val="clear" w:color="auto" w:fill="auto"/>
            <w:noWrap/>
            <w:hideMark/>
          </w:tcPr>
          <w:p w14:paraId="39C262A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0.71</w:t>
            </w:r>
          </w:p>
        </w:tc>
        <w:tc>
          <w:tcPr>
            <w:tcW w:w="374" w:type="pct"/>
            <w:tcBorders>
              <w:top w:val="nil"/>
              <w:left w:val="nil"/>
              <w:bottom w:val="nil"/>
              <w:right w:val="single" w:sz="4" w:space="0" w:color="auto"/>
            </w:tcBorders>
            <w:shd w:val="clear" w:color="auto" w:fill="auto"/>
            <w:noWrap/>
            <w:hideMark/>
          </w:tcPr>
          <w:p w14:paraId="71500CB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0.62</w:t>
            </w:r>
          </w:p>
        </w:tc>
        <w:tc>
          <w:tcPr>
            <w:tcW w:w="374" w:type="pct"/>
            <w:tcBorders>
              <w:top w:val="nil"/>
              <w:left w:val="nil"/>
              <w:bottom w:val="nil"/>
              <w:right w:val="single" w:sz="4" w:space="0" w:color="auto"/>
            </w:tcBorders>
            <w:shd w:val="clear" w:color="auto" w:fill="auto"/>
            <w:noWrap/>
            <w:hideMark/>
          </w:tcPr>
          <w:p w14:paraId="2703C296"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0.76</w:t>
            </w:r>
          </w:p>
        </w:tc>
      </w:tr>
      <w:tr w:rsidR="006F4079" w:rsidRPr="00F64681" w14:paraId="26B836D3"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58304B9B"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 secured by other property</w:t>
            </w:r>
          </w:p>
        </w:tc>
        <w:tc>
          <w:tcPr>
            <w:tcW w:w="374" w:type="pct"/>
            <w:tcBorders>
              <w:top w:val="nil"/>
              <w:left w:val="nil"/>
              <w:bottom w:val="nil"/>
              <w:right w:val="single" w:sz="4" w:space="0" w:color="auto"/>
            </w:tcBorders>
            <w:shd w:val="clear" w:color="auto" w:fill="auto"/>
            <w:noWrap/>
            <w:hideMark/>
          </w:tcPr>
          <w:p w14:paraId="4FD163A2"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2.44</w:t>
            </w:r>
          </w:p>
        </w:tc>
        <w:tc>
          <w:tcPr>
            <w:tcW w:w="374" w:type="pct"/>
            <w:tcBorders>
              <w:top w:val="nil"/>
              <w:left w:val="nil"/>
              <w:bottom w:val="nil"/>
              <w:right w:val="single" w:sz="4" w:space="0" w:color="auto"/>
            </w:tcBorders>
            <w:shd w:val="clear" w:color="auto" w:fill="auto"/>
            <w:noWrap/>
            <w:hideMark/>
          </w:tcPr>
          <w:p w14:paraId="2EE80E07"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2.31</w:t>
            </w:r>
          </w:p>
        </w:tc>
        <w:tc>
          <w:tcPr>
            <w:tcW w:w="374" w:type="pct"/>
            <w:tcBorders>
              <w:top w:val="nil"/>
              <w:left w:val="nil"/>
              <w:bottom w:val="nil"/>
              <w:right w:val="single" w:sz="4" w:space="0" w:color="auto"/>
            </w:tcBorders>
            <w:shd w:val="clear" w:color="auto" w:fill="auto"/>
            <w:noWrap/>
            <w:hideMark/>
          </w:tcPr>
          <w:p w14:paraId="176EE3A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1.97</w:t>
            </w:r>
          </w:p>
        </w:tc>
        <w:tc>
          <w:tcPr>
            <w:tcW w:w="374" w:type="pct"/>
            <w:tcBorders>
              <w:top w:val="nil"/>
              <w:left w:val="nil"/>
              <w:bottom w:val="nil"/>
              <w:right w:val="single" w:sz="4" w:space="0" w:color="auto"/>
            </w:tcBorders>
            <w:shd w:val="clear" w:color="auto" w:fill="auto"/>
            <w:noWrap/>
            <w:hideMark/>
          </w:tcPr>
          <w:p w14:paraId="142077F4"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1.80</w:t>
            </w:r>
          </w:p>
        </w:tc>
        <w:tc>
          <w:tcPr>
            <w:tcW w:w="374" w:type="pct"/>
            <w:tcBorders>
              <w:top w:val="nil"/>
              <w:left w:val="nil"/>
              <w:bottom w:val="nil"/>
              <w:right w:val="single" w:sz="4" w:space="0" w:color="auto"/>
            </w:tcBorders>
            <w:shd w:val="clear" w:color="auto" w:fill="auto"/>
            <w:noWrap/>
            <w:hideMark/>
          </w:tcPr>
          <w:p w14:paraId="3CA68FE7"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2.12</w:t>
            </w:r>
          </w:p>
        </w:tc>
        <w:tc>
          <w:tcPr>
            <w:tcW w:w="374" w:type="pct"/>
            <w:tcBorders>
              <w:top w:val="nil"/>
              <w:left w:val="nil"/>
              <w:bottom w:val="nil"/>
              <w:right w:val="single" w:sz="4" w:space="0" w:color="auto"/>
            </w:tcBorders>
            <w:shd w:val="clear" w:color="auto" w:fill="auto"/>
            <w:noWrap/>
            <w:hideMark/>
          </w:tcPr>
          <w:p w14:paraId="5CEB569A"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2.58</w:t>
            </w:r>
          </w:p>
        </w:tc>
        <w:tc>
          <w:tcPr>
            <w:tcW w:w="374" w:type="pct"/>
            <w:tcBorders>
              <w:top w:val="nil"/>
              <w:left w:val="nil"/>
              <w:bottom w:val="nil"/>
              <w:right w:val="single" w:sz="4" w:space="0" w:color="auto"/>
            </w:tcBorders>
            <w:shd w:val="clear" w:color="auto" w:fill="auto"/>
            <w:noWrap/>
            <w:hideMark/>
          </w:tcPr>
          <w:p w14:paraId="4B6628F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2.92</w:t>
            </w:r>
          </w:p>
        </w:tc>
        <w:tc>
          <w:tcPr>
            <w:tcW w:w="374" w:type="pct"/>
            <w:tcBorders>
              <w:top w:val="nil"/>
              <w:left w:val="nil"/>
              <w:bottom w:val="nil"/>
              <w:right w:val="single" w:sz="4" w:space="0" w:color="auto"/>
            </w:tcBorders>
            <w:shd w:val="clear" w:color="auto" w:fill="auto"/>
            <w:noWrap/>
            <w:hideMark/>
          </w:tcPr>
          <w:p w14:paraId="293D549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2.78</w:t>
            </w:r>
          </w:p>
        </w:tc>
        <w:tc>
          <w:tcPr>
            <w:tcW w:w="374" w:type="pct"/>
            <w:tcBorders>
              <w:top w:val="nil"/>
              <w:left w:val="nil"/>
              <w:bottom w:val="nil"/>
              <w:right w:val="single" w:sz="4" w:space="0" w:color="auto"/>
            </w:tcBorders>
            <w:shd w:val="clear" w:color="auto" w:fill="auto"/>
            <w:noWrap/>
            <w:hideMark/>
          </w:tcPr>
          <w:p w14:paraId="30E39AD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2.36</w:t>
            </w:r>
          </w:p>
        </w:tc>
      </w:tr>
      <w:tr w:rsidR="006F4079" w:rsidRPr="00F64681" w14:paraId="48A18C38"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041BF4C7"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Instalment debt</w:t>
            </w:r>
          </w:p>
        </w:tc>
        <w:tc>
          <w:tcPr>
            <w:tcW w:w="374" w:type="pct"/>
            <w:tcBorders>
              <w:top w:val="nil"/>
              <w:left w:val="nil"/>
              <w:bottom w:val="nil"/>
              <w:right w:val="single" w:sz="4" w:space="0" w:color="auto"/>
            </w:tcBorders>
            <w:shd w:val="clear" w:color="auto" w:fill="auto"/>
            <w:noWrap/>
            <w:hideMark/>
          </w:tcPr>
          <w:p w14:paraId="3F8A2BA4"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-0.62</w:t>
            </w:r>
          </w:p>
        </w:tc>
        <w:tc>
          <w:tcPr>
            <w:tcW w:w="374" w:type="pct"/>
            <w:tcBorders>
              <w:top w:val="nil"/>
              <w:left w:val="nil"/>
              <w:bottom w:val="nil"/>
              <w:right w:val="single" w:sz="4" w:space="0" w:color="auto"/>
            </w:tcBorders>
            <w:shd w:val="clear" w:color="auto" w:fill="auto"/>
            <w:noWrap/>
            <w:hideMark/>
          </w:tcPr>
          <w:p w14:paraId="32B91902"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-0.55</w:t>
            </w:r>
          </w:p>
        </w:tc>
        <w:tc>
          <w:tcPr>
            <w:tcW w:w="374" w:type="pct"/>
            <w:tcBorders>
              <w:top w:val="nil"/>
              <w:left w:val="nil"/>
              <w:bottom w:val="nil"/>
              <w:right w:val="single" w:sz="4" w:space="0" w:color="auto"/>
            </w:tcBorders>
            <w:shd w:val="clear" w:color="auto" w:fill="auto"/>
            <w:noWrap/>
            <w:hideMark/>
          </w:tcPr>
          <w:p w14:paraId="020120D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-0.33</w:t>
            </w:r>
          </w:p>
        </w:tc>
        <w:tc>
          <w:tcPr>
            <w:tcW w:w="374" w:type="pct"/>
            <w:tcBorders>
              <w:top w:val="nil"/>
              <w:left w:val="nil"/>
              <w:bottom w:val="nil"/>
              <w:right w:val="single" w:sz="4" w:space="0" w:color="auto"/>
            </w:tcBorders>
            <w:shd w:val="clear" w:color="auto" w:fill="auto"/>
            <w:noWrap/>
            <w:hideMark/>
          </w:tcPr>
          <w:p w14:paraId="0054C98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-0.37</w:t>
            </w:r>
          </w:p>
        </w:tc>
        <w:tc>
          <w:tcPr>
            <w:tcW w:w="374" w:type="pct"/>
            <w:tcBorders>
              <w:top w:val="nil"/>
              <w:left w:val="nil"/>
              <w:bottom w:val="nil"/>
              <w:right w:val="single" w:sz="4" w:space="0" w:color="auto"/>
            </w:tcBorders>
            <w:shd w:val="clear" w:color="auto" w:fill="auto"/>
            <w:noWrap/>
            <w:hideMark/>
          </w:tcPr>
          <w:p w14:paraId="4FC3B3C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-0.36</w:t>
            </w:r>
          </w:p>
        </w:tc>
        <w:tc>
          <w:tcPr>
            <w:tcW w:w="374" w:type="pct"/>
            <w:tcBorders>
              <w:top w:val="nil"/>
              <w:left w:val="nil"/>
              <w:bottom w:val="nil"/>
              <w:right w:val="single" w:sz="4" w:space="0" w:color="auto"/>
            </w:tcBorders>
            <w:shd w:val="clear" w:color="auto" w:fill="auto"/>
            <w:noWrap/>
            <w:hideMark/>
          </w:tcPr>
          <w:p w14:paraId="21D3EC0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-0.31</w:t>
            </w:r>
          </w:p>
        </w:tc>
        <w:tc>
          <w:tcPr>
            <w:tcW w:w="374" w:type="pct"/>
            <w:tcBorders>
              <w:top w:val="nil"/>
              <w:left w:val="nil"/>
              <w:bottom w:val="nil"/>
              <w:right w:val="single" w:sz="4" w:space="0" w:color="auto"/>
            </w:tcBorders>
            <w:shd w:val="clear" w:color="auto" w:fill="auto"/>
            <w:noWrap/>
            <w:hideMark/>
          </w:tcPr>
          <w:p w14:paraId="5A13320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-0.43</w:t>
            </w:r>
          </w:p>
        </w:tc>
        <w:tc>
          <w:tcPr>
            <w:tcW w:w="374" w:type="pct"/>
            <w:tcBorders>
              <w:top w:val="nil"/>
              <w:left w:val="nil"/>
              <w:bottom w:val="nil"/>
              <w:right w:val="single" w:sz="4" w:space="0" w:color="auto"/>
            </w:tcBorders>
            <w:shd w:val="clear" w:color="auto" w:fill="auto"/>
            <w:noWrap/>
            <w:hideMark/>
          </w:tcPr>
          <w:p w14:paraId="2D72C35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-0.47</w:t>
            </w:r>
          </w:p>
        </w:tc>
        <w:tc>
          <w:tcPr>
            <w:tcW w:w="374" w:type="pct"/>
            <w:tcBorders>
              <w:top w:val="nil"/>
              <w:left w:val="nil"/>
              <w:bottom w:val="nil"/>
              <w:right w:val="single" w:sz="4" w:space="0" w:color="auto"/>
            </w:tcBorders>
            <w:shd w:val="clear" w:color="auto" w:fill="auto"/>
            <w:noWrap/>
            <w:hideMark/>
          </w:tcPr>
          <w:p w14:paraId="26BD563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-0.48</w:t>
            </w:r>
          </w:p>
        </w:tc>
      </w:tr>
      <w:tr w:rsidR="006F4079" w:rsidRPr="00F64681" w14:paraId="7E8FCD1C"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788D0D11"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Credit card balances</w:t>
            </w:r>
          </w:p>
        </w:tc>
        <w:tc>
          <w:tcPr>
            <w:tcW w:w="374" w:type="pct"/>
            <w:tcBorders>
              <w:top w:val="nil"/>
              <w:left w:val="nil"/>
              <w:bottom w:val="nil"/>
              <w:right w:val="single" w:sz="4" w:space="0" w:color="auto"/>
            </w:tcBorders>
            <w:shd w:val="clear" w:color="auto" w:fill="auto"/>
            <w:noWrap/>
            <w:hideMark/>
          </w:tcPr>
          <w:p w14:paraId="563B4561"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0.00</w:t>
            </w:r>
          </w:p>
        </w:tc>
        <w:tc>
          <w:tcPr>
            <w:tcW w:w="374" w:type="pct"/>
            <w:tcBorders>
              <w:top w:val="nil"/>
              <w:left w:val="nil"/>
              <w:bottom w:val="nil"/>
              <w:right w:val="single" w:sz="4" w:space="0" w:color="auto"/>
            </w:tcBorders>
            <w:shd w:val="clear" w:color="auto" w:fill="auto"/>
            <w:noWrap/>
            <w:hideMark/>
          </w:tcPr>
          <w:p w14:paraId="3AE16BFC"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-0.50</w:t>
            </w:r>
          </w:p>
        </w:tc>
        <w:tc>
          <w:tcPr>
            <w:tcW w:w="374" w:type="pct"/>
            <w:tcBorders>
              <w:top w:val="nil"/>
              <w:left w:val="nil"/>
              <w:bottom w:val="nil"/>
              <w:right w:val="single" w:sz="4" w:space="0" w:color="auto"/>
            </w:tcBorders>
            <w:shd w:val="clear" w:color="auto" w:fill="auto"/>
            <w:noWrap/>
            <w:hideMark/>
          </w:tcPr>
          <w:p w14:paraId="74F882E7"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-0.39</w:t>
            </w:r>
          </w:p>
        </w:tc>
        <w:tc>
          <w:tcPr>
            <w:tcW w:w="374" w:type="pct"/>
            <w:tcBorders>
              <w:top w:val="nil"/>
              <w:left w:val="nil"/>
              <w:bottom w:val="nil"/>
              <w:right w:val="single" w:sz="4" w:space="0" w:color="auto"/>
            </w:tcBorders>
            <w:shd w:val="clear" w:color="auto" w:fill="auto"/>
            <w:noWrap/>
            <w:hideMark/>
          </w:tcPr>
          <w:p w14:paraId="7CC2C86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-0.47</w:t>
            </w:r>
          </w:p>
        </w:tc>
        <w:tc>
          <w:tcPr>
            <w:tcW w:w="374" w:type="pct"/>
            <w:tcBorders>
              <w:top w:val="nil"/>
              <w:left w:val="nil"/>
              <w:bottom w:val="nil"/>
              <w:right w:val="single" w:sz="4" w:space="0" w:color="auto"/>
            </w:tcBorders>
            <w:shd w:val="clear" w:color="auto" w:fill="auto"/>
            <w:noWrap/>
            <w:hideMark/>
          </w:tcPr>
          <w:p w14:paraId="578E4A2A"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-0.73</w:t>
            </w:r>
          </w:p>
        </w:tc>
        <w:tc>
          <w:tcPr>
            <w:tcW w:w="374" w:type="pct"/>
            <w:tcBorders>
              <w:top w:val="nil"/>
              <w:left w:val="nil"/>
              <w:bottom w:val="nil"/>
              <w:right w:val="single" w:sz="4" w:space="0" w:color="auto"/>
            </w:tcBorders>
            <w:shd w:val="clear" w:color="auto" w:fill="auto"/>
            <w:noWrap/>
            <w:hideMark/>
          </w:tcPr>
          <w:p w14:paraId="08C0232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-0.53</w:t>
            </w:r>
          </w:p>
        </w:tc>
        <w:tc>
          <w:tcPr>
            <w:tcW w:w="374" w:type="pct"/>
            <w:tcBorders>
              <w:top w:val="nil"/>
              <w:left w:val="nil"/>
              <w:bottom w:val="nil"/>
              <w:right w:val="single" w:sz="4" w:space="0" w:color="auto"/>
            </w:tcBorders>
            <w:shd w:val="clear" w:color="auto" w:fill="auto"/>
            <w:noWrap/>
            <w:hideMark/>
          </w:tcPr>
          <w:p w14:paraId="4E102B63"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-0.33</w:t>
            </w:r>
          </w:p>
        </w:tc>
        <w:tc>
          <w:tcPr>
            <w:tcW w:w="374" w:type="pct"/>
            <w:tcBorders>
              <w:top w:val="nil"/>
              <w:left w:val="nil"/>
              <w:bottom w:val="nil"/>
              <w:right w:val="single" w:sz="4" w:space="0" w:color="auto"/>
            </w:tcBorders>
            <w:shd w:val="clear" w:color="auto" w:fill="auto"/>
            <w:noWrap/>
            <w:hideMark/>
          </w:tcPr>
          <w:p w14:paraId="5D5D479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-0.16</w:t>
            </w:r>
          </w:p>
        </w:tc>
        <w:tc>
          <w:tcPr>
            <w:tcW w:w="374" w:type="pct"/>
            <w:tcBorders>
              <w:top w:val="nil"/>
              <w:left w:val="nil"/>
              <w:bottom w:val="nil"/>
              <w:right w:val="single" w:sz="4" w:space="0" w:color="auto"/>
            </w:tcBorders>
            <w:shd w:val="clear" w:color="auto" w:fill="auto"/>
            <w:noWrap/>
            <w:hideMark/>
          </w:tcPr>
          <w:p w14:paraId="5E9112E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-0.24</w:t>
            </w:r>
          </w:p>
        </w:tc>
      </w:tr>
      <w:tr w:rsidR="006F4079" w:rsidRPr="00F64681" w14:paraId="6B135B8B"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6DBCA228"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Other types of debt</w:t>
            </w:r>
          </w:p>
        </w:tc>
        <w:tc>
          <w:tcPr>
            <w:tcW w:w="374" w:type="pct"/>
            <w:tcBorders>
              <w:top w:val="nil"/>
              <w:left w:val="nil"/>
              <w:bottom w:val="nil"/>
              <w:right w:val="single" w:sz="4" w:space="0" w:color="auto"/>
            </w:tcBorders>
            <w:shd w:val="clear" w:color="auto" w:fill="auto"/>
            <w:noWrap/>
            <w:hideMark/>
          </w:tcPr>
          <w:p w14:paraId="78A5C373"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0.68</w:t>
            </w:r>
          </w:p>
        </w:tc>
        <w:tc>
          <w:tcPr>
            <w:tcW w:w="374" w:type="pct"/>
            <w:tcBorders>
              <w:top w:val="nil"/>
              <w:left w:val="nil"/>
              <w:bottom w:val="nil"/>
              <w:right w:val="single" w:sz="4" w:space="0" w:color="auto"/>
            </w:tcBorders>
            <w:shd w:val="clear" w:color="auto" w:fill="auto"/>
            <w:noWrap/>
            <w:hideMark/>
          </w:tcPr>
          <w:p w14:paraId="0A481AC7"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0.61</w:t>
            </w:r>
          </w:p>
        </w:tc>
        <w:tc>
          <w:tcPr>
            <w:tcW w:w="374" w:type="pct"/>
            <w:tcBorders>
              <w:top w:val="nil"/>
              <w:left w:val="nil"/>
              <w:bottom w:val="nil"/>
              <w:right w:val="single" w:sz="4" w:space="0" w:color="auto"/>
            </w:tcBorders>
            <w:shd w:val="clear" w:color="auto" w:fill="auto"/>
            <w:noWrap/>
            <w:hideMark/>
          </w:tcPr>
          <w:p w14:paraId="0B37EB7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i/>
                <w:iCs/>
                <w:color w:val="000000"/>
                <w:sz w:val="20"/>
                <w:szCs w:val="20"/>
              </w:rPr>
              <w:t>0.08</w:t>
            </w:r>
          </w:p>
        </w:tc>
        <w:tc>
          <w:tcPr>
            <w:tcW w:w="374" w:type="pct"/>
            <w:tcBorders>
              <w:top w:val="nil"/>
              <w:left w:val="nil"/>
              <w:bottom w:val="nil"/>
              <w:right w:val="single" w:sz="4" w:space="0" w:color="auto"/>
            </w:tcBorders>
            <w:shd w:val="clear" w:color="auto" w:fill="auto"/>
            <w:noWrap/>
            <w:hideMark/>
          </w:tcPr>
          <w:p w14:paraId="7B51A77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0.48</w:t>
            </w:r>
          </w:p>
        </w:tc>
        <w:tc>
          <w:tcPr>
            <w:tcW w:w="374" w:type="pct"/>
            <w:tcBorders>
              <w:top w:val="nil"/>
              <w:left w:val="nil"/>
              <w:bottom w:val="nil"/>
              <w:right w:val="single" w:sz="4" w:space="0" w:color="auto"/>
            </w:tcBorders>
            <w:shd w:val="clear" w:color="auto" w:fill="auto"/>
            <w:noWrap/>
            <w:hideMark/>
          </w:tcPr>
          <w:p w14:paraId="0691B17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-0.14</w:t>
            </w:r>
          </w:p>
        </w:tc>
        <w:tc>
          <w:tcPr>
            <w:tcW w:w="374" w:type="pct"/>
            <w:tcBorders>
              <w:top w:val="nil"/>
              <w:left w:val="nil"/>
              <w:bottom w:val="nil"/>
              <w:right w:val="single" w:sz="4" w:space="0" w:color="auto"/>
            </w:tcBorders>
            <w:shd w:val="clear" w:color="auto" w:fill="auto"/>
            <w:noWrap/>
            <w:hideMark/>
          </w:tcPr>
          <w:p w14:paraId="1E52994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0.55</w:t>
            </w:r>
          </w:p>
        </w:tc>
        <w:tc>
          <w:tcPr>
            <w:tcW w:w="374" w:type="pct"/>
            <w:tcBorders>
              <w:top w:val="nil"/>
              <w:left w:val="nil"/>
              <w:bottom w:val="nil"/>
              <w:right w:val="single" w:sz="4" w:space="0" w:color="auto"/>
            </w:tcBorders>
            <w:shd w:val="clear" w:color="auto" w:fill="auto"/>
            <w:noWrap/>
            <w:hideMark/>
          </w:tcPr>
          <w:p w14:paraId="61CEC0E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i/>
                <w:iCs/>
                <w:color w:val="000000"/>
                <w:sz w:val="20"/>
                <w:szCs w:val="20"/>
              </w:rPr>
              <w:t>0.00</w:t>
            </w:r>
          </w:p>
        </w:tc>
        <w:tc>
          <w:tcPr>
            <w:tcW w:w="374" w:type="pct"/>
            <w:tcBorders>
              <w:top w:val="nil"/>
              <w:left w:val="nil"/>
              <w:bottom w:val="nil"/>
              <w:right w:val="single" w:sz="4" w:space="0" w:color="auto"/>
            </w:tcBorders>
            <w:shd w:val="clear" w:color="auto" w:fill="auto"/>
            <w:noWrap/>
            <w:hideMark/>
          </w:tcPr>
          <w:p w14:paraId="53CA8F9E"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0.33</w:t>
            </w:r>
          </w:p>
        </w:tc>
        <w:tc>
          <w:tcPr>
            <w:tcW w:w="374" w:type="pct"/>
            <w:tcBorders>
              <w:top w:val="nil"/>
              <w:left w:val="nil"/>
              <w:bottom w:val="nil"/>
              <w:right w:val="single" w:sz="4" w:space="0" w:color="auto"/>
            </w:tcBorders>
            <w:shd w:val="clear" w:color="auto" w:fill="auto"/>
            <w:noWrap/>
            <w:hideMark/>
          </w:tcPr>
          <w:p w14:paraId="1CF4815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0.67</w:t>
            </w:r>
          </w:p>
        </w:tc>
      </w:tr>
      <w:tr w:rsidR="006F4079" w:rsidRPr="00F64681" w14:paraId="5AEBD7F1"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60ABDB61" w14:textId="77777777" w:rsidR="006F4079" w:rsidRPr="00F64681" w:rsidRDefault="006F4079" w:rsidP="006F4079">
            <w:pPr>
              <w:spacing w:after="0" w:line="240" w:lineRule="auto"/>
              <w:ind w:firstLine="0"/>
              <w:jc w:val="righ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N</w:t>
            </w:r>
          </w:p>
        </w:tc>
        <w:tc>
          <w:tcPr>
            <w:tcW w:w="374" w:type="pct"/>
            <w:tcBorders>
              <w:top w:val="nil"/>
              <w:left w:val="nil"/>
              <w:bottom w:val="nil"/>
              <w:right w:val="single" w:sz="4" w:space="0" w:color="auto"/>
            </w:tcBorders>
            <w:shd w:val="clear" w:color="auto" w:fill="auto"/>
            <w:noWrap/>
            <w:hideMark/>
          </w:tcPr>
          <w:p w14:paraId="3C0C0A0E"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11,478</w:t>
            </w:r>
          </w:p>
        </w:tc>
        <w:tc>
          <w:tcPr>
            <w:tcW w:w="374" w:type="pct"/>
            <w:tcBorders>
              <w:top w:val="nil"/>
              <w:left w:val="nil"/>
              <w:bottom w:val="nil"/>
              <w:right w:val="single" w:sz="4" w:space="0" w:color="auto"/>
            </w:tcBorders>
            <w:shd w:val="clear" w:color="auto" w:fill="auto"/>
            <w:noWrap/>
            <w:hideMark/>
          </w:tcPr>
          <w:p w14:paraId="34EA918E"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14,185</w:t>
            </w:r>
          </w:p>
        </w:tc>
        <w:tc>
          <w:tcPr>
            <w:tcW w:w="374" w:type="pct"/>
            <w:tcBorders>
              <w:top w:val="nil"/>
              <w:left w:val="nil"/>
              <w:bottom w:val="nil"/>
              <w:right w:val="single" w:sz="4" w:space="0" w:color="auto"/>
            </w:tcBorders>
            <w:shd w:val="clear" w:color="auto" w:fill="auto"/>
            <w:noWrap/>
            <w:hideMark/>
          </w:tcPr>
          <w:p w14:paraId="25DEBF97"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15,791</w:t>
            </w:r>
          </w:p>
        </w:tc>
        <w:tc>
          <w:tcPr>
            <w:tcW w:w="374" w:type="pct"/>
            <w:tcBorders>
              <w:top w:val="nil"/>
              <w:left w:val="nil"/>
              <w:bottom w:val="nil"/>
              <w:right w:val="single" w:sz="4" w:space="0" w:color="auto"/>
            </w:tcBorders>
            <w:shd w:val="clear" w:color="auto" w:fill="auto"/>
            <w:noWrap/>
            <w:hideMark/>
          </w:tcPr>
          <w:p w14:paraId="6D68D6E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15,755</w:t>
            </w:r>
          </w:p>
        </w:tc>
        <w:tc>
          <w:tcPr>
            <w:tcW w:w="374" w:type="pct"/>
            <w:tcBorders>
              <w:top w:val="nil"/>
              <w:left w:val="nil"/>
              <w:bottom w:val="nil"/>
              <w:right w:val="single" w:sz="4" w:space="0" w:color="auto"/>
            </w:tcBorders>
            <w:shd w:val="clear" w:color="auto" w:fill="auto"/>
            <w:noWrap/>
            <w:hideMark/>
          </w:tcPr>
          <w:p w14:paraId="6A08331A"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16,206</w:t>
            </w:r>
          </w:p>
        </w:tc>
        <w:tc>
          <w:tcPr>
            <w:tcW w:w="374" w:type="pct"/>
            <w:tcBorders>
              <w:top w:val="nil"/>
              <w:left w:val="nil"/>
              <w:bottom w:val="nil"/>
              <w:right w:val="single" w:sz="4" w:space="0" w:color="auto"/>
            </w:tcBorders>
            <w:shd w:val="clear" w:color="auto" w:fill="auto"/>
            <w:noWrap/>
            <w:hideMark/>
          </w:tcPr>
          <w:p w14:paraId="579D63A8"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16,706</w:t>
            </w:r>
          </w:p>
        </w:tc>
        <w:tc>
          <w:tcPr>
            <w:tcW w:w="374" w:type="pct"/>
            <w:tcBorders>
              <w:top w:val="nil"/>
              <w:left w:val="nil"/>
              <w:bottom w:val="nil"/>
              <w:right w:val="single" w:sz="4" w:space="0" w:color="auto"/>
            </w:tcBorders>
            <w:shd w:val="clear" w:color="auto" w:fill="auto"/>
            <w:noWrap/>
            <w:hideMark/>
          </w:tcPr>
          <w:p w14:paraId="4C04FD7F"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16,623</w:t>
            </w:r>
          </w:p>
        </w:tc>
        <w:tc>
          <w:tcPr>
            <w:tcW w:w="374" w:type="pct"/>
            <w:tcBorders>
              <w:top w:val="nil"/>
              <w:left w:val="nil"/>
              <w:bottom w:val="nil"/>
              <w:right w:val="single" w:sz="4" w:space="0" w:color="auto"/>
            </w:tcBorders>
            <w:shd w:val="clear" w:color="auto" w:fill="auto"/>
            <w:noWrap/>
            <w:hideMark/>
          </w:tcPr>
          <w:p w14:paraId="767DC654"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23,764</w:t>
            </w:r>
          </w:p>
        </w:tc>
        <w:tc>
          <w:tcPr>
            <w:tcW w:w="374" w:type="pct"/>
            <w:tcBorders>
              <w:top w:val="nil"/>
              <w:left w:val="nil"/>
              <w:bottom w:val="nil"/>
              <w:right w:val="single" w:sz="4" w:space="0" w:color="auto"/>
            </w:tcBorders>
            <w:shd w:val="clear" w:color="auto" w:fill="auto"/>
            <w:noWrap/>
            <w:hideMark/>
          </w:tcPr>
          <w:p w14:paraId="522E728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21,833</w:t>
            </w:r>
          </w:p>
        </w:tc>
      </w:tr>
      <w:tr w:rsidR="006F4079" w:rsidRPr="00F64681" w14:paraId="75F51923"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24C815EA" w14:textId="77777777" w:rsidR="006F4079" w:rsidRPr="00F64681" w:rsidRDefault="006F4079" w:rsidP="006F4079">
            <w:pPr>
              <w:spacing w:after="0" w:line="240" w:lineRule="auto"/>
              <w:ind w:firstLine="0"/>
              <w:jc w:val="left"/>
              <w:rPr>
                <w:rFonts w:ascii="Times New Roman" w:eastAsia="Times New Roman" w:hAnsi="Times New Roman" w:cs="Times New Roman"/>
                <w:b/>
                <w:bCs/>
                <w:color w:val="000000"/>
                <w:sz w:val="20"/>
                <w:szCs w:val="20"/>
              </w:rPr>
            </w:pPr>
            <w:r w:rsidRPr="00F64681">
              <w:rPr>
                <w:rFonts w:ascii="Times New Roman" w:eastAsia="Times New Roman" w:hAnsi="Times New Roman" w:cs="Times New Roman"/>
                <w:b/>
                <w:bCs/>
                <w:color w:val="000000"/>
                <w:sz w:val="20"/>
                <w:szCs w:val="20"/>
              </w:rPr>
              <w:t>Leverage measures</w:t>
            </w:r>
          </w:p>
        </w:tc>
        <w:tc>
          <w:tcPr>
            <w:tcW w:w="374" w:type="pct"/>
            <w:tcBorders>
              <w:top w:val="nil"/>
              <w:left w:val="nil"/>
              <w:bottom w:val="nil"/>
              <w:right w:val="single" w:sz="4" w:space="0" w:color="auto"/>
            </w:tcBorders>
            <w:shd w:val="clear" w:color="auto" w:fill="auto"/>
            <w:noWrap/>
            <w:hideMark/>
          </w:tcPr>
          <w:p w14:paraId="2AFD71E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5808424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4FE2711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3D1918AF"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06D4B43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29115B46"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19E74AFF"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5934E5D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c>
          <w:tcPr>
            <w:tcW w:w="374" w:type="pct"/>
            <w:tcBorders>
              <w:top w:val="nil"/>
              <w:left w:val="nil"/>
              <w:bottom w:val="nil"/>
              <w:right w:val="single" w:sz="4" w:space="0" w:color="auto"/>
            </w:tcBorders>
            <w:shd w:val="clear" w:color="auto" w:fill="auto"/>
            <w:noWrap/>
            <w:hideMark/>
          </w:tcPr>
          <w:p w14:paraId="5D6139D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 </w:t>
            </w:r>
          </w:p>
        </w:tc>
      </w:tr>
      <w:tr w:rsidR="006F4079" w:rsidRPr="00F64681" w14:paraId="3FC3EBD9"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56D255B7"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Debt-service-to-income ratio (DSY)</w:t>
            </w:r>
          </w:p>
        </w:tc>
        <w:tc>
          <w:tcPr>
            <w:tcW w:w="374" w:type="pct"/>
            <w:tcBorders>
              <w:top w:val="nil"/>
              <w:left w:val="nil"/>
              <w:bottom w:val="nil"/>
              <w:right w:val="single" w:sz="4" w:space="0" w:color="auto"/>
            </w:tcBorders>
            <w:shd w:val="clear" w:color="auto" w:fill="auto"/>
            <w:noWrap/>
            <w:hideMark/>
          </w:tcPr>
          <w:p w14:paraId="5E2F2D03"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141.00</w:t>
            </w:r>
          </w:p>
        </w:tc>
        <w:tc>
          <w:tcPr>
            <w:tcW w:w="374" w:type="pct"/>
            <w:tcBorders>
              <w:top w:val="nil"/>
              <w:left w:val="nil"/>
              <w:bottom w:val="nil"/>
              <w:right w:val="single" w:sz="4" w:space="0" w:color="auto"/>
            </w:tcBorders>
            <w:shd w:val="clear" w:color="auto" w:fill="auto"/>
            <w:noWrap/>
            <w:hideMark/>
          </w:tcPr>
          <w:p w14:paraId="52DEBCA2"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127.29</w:t>
            </w:r>
          </w:p>
        </w:tc>
        <w:tc>
          <w:tcPr>
            <w:tcW w:w="374" w:type="pct"/>
            <w:tcBorders>
              <w:top w:val="nil"/>
              <w:left w:val="nil"/>
              <w:bottom w:val="nil"/>
              <w:right w:val="single" w:sz="4" w:space="0" w:color="auto"/>
            </w:tcBorders>
            <w:shd w:val="clear" w:color="auto" w:fill="auto"/>
            <w:noWrap/>
            <w:hideMark/>
          </w:tcPr>
          <w:p w14:paraId="45F765F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117.99</w:t>
            </w:r>
          </w:p>
        </w:tc>
        <w:tc>
          <w:tcPr>
            <w:tcW w:w="374" w:type="pct"/>
            <w:tcBorders>
              <w:top w:val="nil"/>
              <w:left w:val="nil"/>
              <w:bottom w:val="nil"/>
              <w:right w:val="single" w:sz="4" w:space="0" w:color="auto"/>
            </w:tcBorders>
            <w:shd w:val="clear" w:color="auto" w:fill="auto"/>
            <w:noWrap/>
            <w:hideMark/>
          </w:tcPr>
          <w:p w14:paraId="3F0EDF9D" w14:textId="77777777" w:rsidR="006F4079" w:rsidRPr="00191828" w:rsidRDefault="006F4079" w:rsidP="006F4079">
            <w:pPr>
              <w:spacing w:after="0" w:line="240" w:lineRule="auto"/>
              <w:ind w:firstLine="0"/>
              <w:jc w:val="right"/>
              <w:rPr>
                <w:rFonts w:eastAsia="Times New Roman" w:cs="Times New Roman"/>
                <w:i/>
                <w:iCs/>
                <w:color w:val="000000"/>
                <w:sz w:val="20"/>
                <w:szCs w:val="20"/>
              </w:rPr>
            </w:pPr>
            <w:r w:rsidRPr="00191828">
              <w:rPr>
                <w:color w:val="000000"/>
                <w:sz w:val="20"/>
                <w:szCs w:val="20"/>
              </w:rPr>
              <w:t>113.22</w:t>
            </w:r>
          </w:p>
        </w:tc>
        <w:tc>
          <w:tcPr>
            <w:tcW w:w="374" w:type="pct"/>
            <w:tcBorders>
              <w:top w:val="nil"/>
              <w:left w:val="nil"/>
              <w:bottom w:val="nil"/>
              <w:right w:val="single" w:sz="4" w:space="0" w:color="auto"/>
            </w:tcBorders>
            <w:shd w:val="clear" w:color="auto" w:fill="auto"/>
            <w:noWrap/>
            <w:hideMark/>
          </w:tcPr>
          <w:p w14:paraId="38A556B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98.72</w:t>
            </w:r>
          </w:p>
        </w:tc>
        <w:tc>
          <w:tcPr>
            <w:tcW w:w="374" w:type="pct"/>
            <w:tcBorders>
              <w:top w:val="nil"/>
              <w:left w:val="nil"/>
              <w:bottom w:val="nil"/>
              <w:right w:val="single" w:sz="4" w:space="0" w:color="auto"/>
            </w:tcBorders>
            <w:shd w:val="clear" w:color="auto" w:fill="auto"/>
            <w:noWrap/>
            <w:hideMark/>
          </w:tcPr>
          <w:p w14:paraId="39FB70CF"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88.01</w:t>
            </w:r>
          </w:p>
        </w:tc>
        <w:tc>
          <w:tcPr>
            <w:tcW w:w="374" w:type="pct"/>
            <w:tcBorders>
              <w:top w:val="nil"/>
              <w:left w:val="nil"/>
              <w:bottom w:val="nil"/>
              <w:right w:val="single" w:sz="4" w:space="0" w:color="auto"/>
            </w:tcBorders>
            <w:shd w:val="clear" w:color="auto" w:fill="auto"/>
            <w:noWrap/>
            <w:hideMark/>
          </w:tcPr>
          <w:p w14:paraId="7E238AFD"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101.04</w:t>
            </w:r>
          </w:p>
        </w:tc>
        <w:tc>
          <w:tcPr>
            <w:tcW w:w="374" w:type="pct"/>
            <w:tcBorders>
              <w:top w:val="nil"/>
              <w:left w:val="nil"/>
              <w:bottom w:val="nil"/>
              <w:right w:val="single" w:sz="4" w:space="0" w:color="auto"/>
            </w:tcBorders>
            <w:shd w:val="clear" w:color="auto" w:fill="auto"/>
            <w:noWrap/>
            <w:hideMark/>
          </w:tcPr>
          <w:p w14:paraId="34980B4A"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100.64</w:t>
            </w:r>
          </w:p>
        </w:tc>
        <w:tc>
          <w:tcPr>
            <w:tcW w:w="374" w:type="pct"/>
            <w:tcBorders>
              <w:top w:val="nil"/>
              <w:left w:val="nil"/>
              <w:bottom w:val="nil"/>
              <w:right w:val="single" w:sz="4" w:space="0" w:color="auto"/>
            </w:tcBorders>
            <w:shd w:val="clear" w:color="auto" w:fill="auto"/>
            <w:noWrap/>
            <w:hideMark/>
          </w:tcPr>
          <w:p w14:paraId="47F5E7A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118.72</w:t>
            </w:r>
          </w:p>
        </w:tc>
      </w:tr>
      <w:tr w:rsidR="006F4079" w:rsidRPr="00F64681" w14:paraId="469B59BE"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5A3BADEF"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Debt-to-asset ratio</w:t>
            </w:r>
          </w:p>
        </w:tc>
        <w:tc>
          <w:tcPr>
            <w:tcW w:w="374" w:type="pct"/>
            <w:tcBorders>
              <w:top w:val="nil"/>
              <w:left w:val="nil"/>
              <w:bottom w:val="nil"/>
              <w:right w:val="single" w:sz="4" w:space="0" w:color="auto"/>
            </w:tcBorders>
            <w:shd w:val="clear" w:color="auto" w:fill="auto"/>
            <w:noWrap/>
            <w:hideMark/>
          </w:tcPr>
          <w:p w14:paraId="3E8C9C51"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48.03</w:t>
            </w:r>
          </w:p>
        </w:tc>
        <w:tc>
          <w:tcPr>
            <w:tcW w:w="374" w:type="pct"/>
            <w:tcBorders>
              <w:top w:val="nil"/>
              <w:left w:val="nil"/>
              <w:bottom w:val="nil"/>
              <w:right w:val="single" w:sz="4" w:space="0" w:color="auto"/>
            </w:tcBorders>
            <w:shd w:val="clear" w:color="auto" w:fill="auto"/>
            <w:noWrap/>
            <w:hideMark/>
          </w:tcPr>
          <w:p w14:paraId="335597E2"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41.63</w:t>
            </w:r>
          </w:p>
        </w:tc>
        <w:tc>
          <w:tcPr>
            <w:tcW w:w="374" w:type="pct"/>
            <w:tcBorders>
              <w:top w:val="nil"/>
              <w:left w:val="nil"/>
              <w:bottom w:val="nil"/>
              <w:right w:val="single" w:sz="4" w:space="0" w:color="auto"/>
            </w:tcBorders>
            <w:shd w:val="clear" w:color="auto" w:fill="auto"/>
            <w:noWrap/>
            <w:hideMark/>
          </w:tcPr>
          <w:p w14:paraId="75B08560"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42.16</w:t>
            </w:r>
          </w:p>
        </w:tc>
        <w:tc>
          <w:tcPr>
            <w:tcW w:w="374" w:type="pct"/>
            <w:tcBorders>
              <w:top w:val="nil"/>
              <w:left w:val="nil"/>
              <w:bottom w:val="nil"/>
              <w:right w:val="single" w:sz="4" w:space="0" w:color="auto"/>
            </w:tcBorders>
            <w:shd w:val="clear" w:color="auto" w:fill="auto"/>
            <w:noWrap/>
            <w:hideMark/>
          </w:tcPr>
          <w:p w14:paraId="0FF9B0A2"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35.08</w:t>
            </w:r>
          </w:p>
        </w:tc>
        <w:tc>
          <w:tcPr>
            <w:tcW w:w="374" w:type="pct"/>
            <w:tcBorders>
              <w:top w:val="nil"/>
              <w:left w:val="nil"/>
              <w:bottom w:val="nil"/>
              <w:right w:val="single" w:sz="4" w:space="0" w:color="auto"/>
            </w:tcBorders>
            <w:shd w:val="clear" w:color="auto" w:fill="auto"/>
            <w:noWrap/>
            <w:hideMark/>
          </w:tcPr>
          <w:p w14:paraId="78F9FAF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26.80</w:t>
            </w:r>
          </w:p>
        </w:tc>
        <w:tc>
          <w:tcPr>
            <w:tcW w:w="374" w:type="pct"/>
            <w:tcBorders>
              <w:top w:val="nil"/>
              <w:left w:val="nil"/>
              <w:bottom w:val="nil"/>
              <w:right w:val="single" w:sz="4" w:space="0" w:color="auto"/>
            </w:tcBorders>
            <w:shd w:val="clear" w:color="auto" w:fill="auto"/>
            <w:noWrap/>
            <w:hideMark/>
          </w:tcPr>
          <w:p w14:paraId="291D8D7B" w14:textId="77777777" w:rsidR="006F4079" w:rsidRPr="00191828" w:rsidRDefault="006F4079" w:rsidP="006F4079">
            <w:pPr>
              <w:spacing w:after="0" w:line="240" w:lineRule="auto"/>
              <w:ind w:firstLine="0"/>
              <w:jc w:val="right"/>
              <w:rPr>
                <w:rFonts w:eastAsia="Times New Roman" w:cs="Times New Roman"/>
                <w:i/>
                <w:iCs/>
                <w:color w:val="000000"/>
                <w:sz w:val="20"/>
                <w:szCs w:val="20"/>
              </w:rPr>
            </w:pPr>
            <w:r w:rsidRPr="00191828">
              <w:rPr>
                <w:color w:val="000000"/>
                <w:sz w:val="20"/>
                <w:szCs w:val="20"/>
              </w:rPr>
              <w:t>21.88</w:t>
            </w:r>
          </w:p>
        </w:tc>
        <w:tc>
          <w:tcPr>
            <w:tcW w:w="374" w:type="pct"/>
            <w:tcBorders>
              <w:top w:val="nil"/>
              <w:left w:val="nil"/>
              <w:bottom w:val="nil"/>
              <w:right w:val="single" w:sz="4" w:space="0" w:color="auto"/>
            </w:tcBorders>
            <w:shd w:val="clear" w:color="auto" w:fill="auto"/>
            <w:noWrap/>
            <w:hideMark/>
          </w:tcPr>
          <w:p w14:paraId="6DC9608D" w14:textId="77777777" w:rsidR="006F4079" w:rsidRPr="00191828" w:rsidRDefault="006F4079" w:rsidP="006F4079">
            <w:pPr>
              <w:spacing w:after="0" w:line="240" w:lineRule="auto"/>
              <w:ind w:firstLine="0"/>
              <w:jc w:val="right"/>
              <w:rPr>
                <w:rFonts w:eastAsia="Times New Roman" w:cs="Times New Roman"/>
                <w:i/>
                <w:iCs/>
                <w:color w:val="000000"/>
                <w:sz w:val="20"/>
                <w:szCs w:val="20"/>
              </w:rPr>
            </w:pPr>
            <w:r w:rsidRPr="00191828">
              <w:rPr>
                <w:color w:val="000000"/>
                <w:sz w:val="20"/>
                <w:szCs w:val="20"/>
              </w:rPr>
              <w:t>23.85</w:t>
            </w:r>
          </w:p>
        </w:tc>
        <w:tc>
          <w:tcPr>
            <w:tcW w:w="374" w:type="pct"/>
            <w:tcBorders>
              <w:top w:val="nil"/>
              <w:left w:val="nil"/>
              <w:bottom w:val="nil"/>
              <w:right w:val="single" w:sz="4" w:space="0" w:color="auto"/>
            </w:tcBorders>
            <w:shd w:val="clear" w:color="auto" w:fill="auto"/>
            <w:noWrap/>
            <w:hideMark/>
          </w:tcPr>
          <w:p w14:paraId="6189FC4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16.60</w:t>
            </w:r>
          </w:p>
        </w:tc>
        <w:tc>
          <w:tcPr>
            <w:tcW w:w="374" w:type="pct"/>
            <w:tcBorders>
              <w:top w:val="nil"/>
              <w:left w:val="nil"/>
              <w:bottom w:val="nil"/>
              <w:right w:val="single" w:sz="4" w:space="0" w:color="auto"/>
            </w:tcBorders>
            <w:shd w:val="clear" w:color="auto" w:fill="auto"/>
            <w:noWrap/>
            <w:hideMark/>
          </w:tcPr>
          <w:p w14:paraId="059F2D5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11.99</w:t>
            </w:r>
          </w:p>
        </w:tc>
      </w:tr>
      <w:tr w:rsidR="006F4079" w:rsidRPr="00F64681" w14:paraId="52992915" w14:textId="77777777" w:rsidTr="006F4079">
        <w:trPr>
          <w:trHeight w:val="238"/>
        </w:trPr>
        <w:tc>
          <w:tcPr>
            <w:tcW w:w="1635" w:type="pct"/>
            <w:tcBorders>
              <w:top w:val="nil"/>
              <w:left w:val="single" w:sz="4" w:space="0" w:color="auto"/>
              <w:bottom w:val="nil"/>
              <w:right w:val="single" w:sz="4" w:space="0" w:color="auto"/>
            </w:tcBorders>
            <w:shd w:val="clear" w:color="auto" w:fill="auto"/>
            <w:noWrap/>
            <w:vAlign w:val="bottom"/>
            <w:hideMark/>
          </w:tcPr>
          <w:p w14:paraId="50CEA085" w14:textId="77777777" w:rsidR="006F4079" w:rsidRPr="00F64681" w:rsidRDefault="006F4079" w:rsidP="006F407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Debt-to-income ratio</w:t>
            </w:r>
          </w:p>
        </w:tc>
        <w:tc>
          <w:tcPr>
            <w:tcW w:w="374" w:type="pct"/>
            <w:tcBorders>
              <w:top w:val="nil"/>
              <w:left w:val="nil"/>
              <w:bottom w:val="nil"/>
              <w:right w:val="single" w:sz="4" w:space="0" w:color="auto"/>
            </w:tcBorders>
            <w:shd w:val="clear" w:color="auto" w:fill="auto"/>
            <w:noWrap/>
            <w:hideMark/>
          </w:tcPr>
          <w:p w14:paraId="21F0E7A2"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46.31</w:t>
            </w:r>
          </w:p>
        </w:tc>
        <w:tc>
          <w:tcPr>
            <w:tcW w:w="374" w:type="pct"/>
            <w:tcBorders>
              <w:top w:val="nil"/>
              <w:left w:val="nil"/>
              <w:bottom w:val="nil"/>
              <w:right w:val="single" w:sz="4" w:space="0" w:color="auto"/>
            </w:tcBorders>
            <w:shd w:val="clear" w:color="auto" w:fill="auto"/>
            <w:noWrap/>
            <w:hideMark/>
          </w:tcPr>
          <w:p w14:paraId="31F2F91C" w14:textId="77777777" w:rsidR="006F4079" w:rsidRPr="00191828" w:rsidRDefault="006F4079" w:rsidP="006F4079">
            <w:pPr>
              <w:spacing w:after="0" w:line="240" w:lineRule="auto"/>
              <w:ind w:firstLine="0"/>
              <w:jc w:val="right"/>
              <w:rPr>
                <w:rFonts w:eastAsia="Calibri" w:cs="Times New Roman"/>
                <w:color w:val="000000"/>
                <w:sz w:val="20"/>
                <w:szCs w:val="20"/>
              </w:rPr>
            </w:pPr>
            <w:r w:rsidRPr="00191828">
              <w:rPr>
                <w:color w:val="000000"/>
                <w:sz w:val="20"/>
                <w:szCs w:val="20"/>
              </w:rPr>
              <w:t>35.96</w:t>
            </w:r>
          </w:p>
        </w:tc>
        <w:tc>
          <w:tcPr>
            <w:tcW w:w="374" w:type="pct"/>
            <w:tcBorders>
              <w:top w:val="nil"/>
              <w:left w:val="nil"/>
              <w:bottom w:val="nil"/>
              <w:right w:val="single" w:sz="4" w:space="0" w:color="auto"/>
            </w:tcBorders>
            <w:shd w:val="clear" w:color="auto" w:fill="auto"/>
            <w:noWrap/>
            <w:hideMark/>
          </w:tcPr>
          <w:p w14:paraId="514B770B"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27.94</w:t>
            </w:r>
          </w:p>
        </w:tc>
        <w:tc>
          <w:tcPr>
            <w:tcW w:w="374" w:type="pct"/>
            <w:tcBorders>
              <w:top w:val="nil"/>
              <w:left w:val="nil"/>
              <w:bottom w:val="nil"/>
              <w:right w:val="single" w:sz="4" w:space="0" w:color="auto"/>
            </w:tcBorders>
            <w:shd w:val="clear" w:color="auto" w:fill="auto"/>
            <w:noWrap/>
            <w:hideMark/>
          </w:tcPr>
          <w:p w14:paraId="5722D2F6"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27.11</w:t>
            </w:r>
          </w:p>
        </w:tc>
        <w:tc>
          <w:tcPr>
            <w:tcW w:w="374" w:type="pct"/>
            <w:tcBorders>
              <w:top w:val="nil"/>
              <w:left w:val="nil"/>
              <w:bottom w:val="nil"/>
              <w:right w:val="single" w:sz="4" w:space="0" w:color="auto"/>
            </w:tcBorders>
            <w:shd w:val="clear" w:color="auto" w:fill="auto"/>
            <w:noWrap/>
            <w:hideMark/>
          </w:tcPr>
          <w:p w14:paraId="6E040BC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26.65</w:t>
            </w:r>
          </w:p>
        </w:tc>
        <w:tc>
          <w:tcPr>
            <w:tcW w:w="374" w:type="pct"/>
            <w:tcBorders>
              <w:top w:val="nil"/>
              <w:left w:val="nil"/>
              <w:bottom w:val="nil"/>
              <w:right w:val="single" w:sz="4" w:space="0" w:color="auto"/>
            </w:tcBorders>
            <w:shd w:val="clear" w:color="auto" w:fill="auto"/>
            <w:noWrap/>
            <w:hideMark/>
          </w:tcPr>
          <w:p w14:paraId="2C446DB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17.47</w:t>
            </w:r>
          </w:p>
        </w:tc>
        <w:tc>
          <w:tcPr>
            <w:tcW w:w="374" w:type="pct"/>
            <w:tcBorders>
              <w:top w:val="nil"/>
              <w:left w:val="nil"/>
              <w:bottom w:val="nil"/>
              <w:right w:val="single" w:sz="4" w:space="0" w:color="auto"/>
            </w:tcBorders>
            <w:shd w:val="clear" w:color="auto" w:fill="auto"/>
            <w:noWrap/>
            <w:hideMark/>
          </w:tcPr>
          <w:p w14:paraId="5830F325"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18.94</w:t>
            </w:r>
          </w:p>
        </w:tc>
        <w:tc>
          <w:tcPr>
            <w:tcW w:w="374" w:type="pct"/>
            <w:tcBorders>
              <w:top w:val="nil"/>
              <w:left w:val="nil"/>
              <w:bottom w:val="nil"/>
              <w:right w:val="single" w:sz="4" w:space="0" w:color="auto"/>
            </w:tcBorders>
            <w:shd w:val="clear" w:color="auto" w:fill="auto"/>
            <w:noWrap/>
            <w:hideMark/>
          </w:tcPr>
          <w:p w14:paraId="68ECB618"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14.63</w:t>
            </w:r>
          </w:p>
        </w:tc>
        <w:tc>
          <w:tcPr>
            <w:tcW w:w="374" w:type="pct"/>
            <w:tcBorders>
              <w:top w:val="nil"/>
              <w:left w:val="nil"/>
              <w:bottom w:val="nil"/>
              <w:right w:val="single" w:sz="4" w:space="0" w:color="auto"/>
            </w:tcBorders>
            <w:shd w:val="clear" w:color="auto" w:fill="auto"/>
            <w:noWrap/>
            <w:hideMark/>
          </w:tcPr>
          <w:p w14:paraId="5C12A6E3"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17.41</w:t>
            </w:r>
          </w:p>
        </w:tc>
      </w:tr>
      <w:tr w:rsidR="006F4079" w:rsidRPr="00F64681" w14:paraId="0427BC23" w14:textId="77777777" w:rsidTr="006F4079">
        <w:trPr>
          <w:trHeight w:val="283"/>
        </w:trPr>
        <w:tc>
          <w:tcPr>
            <w:tcW w:w="1635" w:type="pct"/>
            <w:tcBorders>
              <w:top w:val="nil"/>
              <w:left w:val="single" w:sz="4" w:space="0" w:color="auto"/>
              <w:bottom w:val="single" w:sz="4" w:space="0" w:color="auto"/>
              <w:right w:val="single" w:sz="4" w:space="0" w:color="auto"/>
            </w:tcBorders>
            <w:shd w:val="clear" w:color="auto" w:fill="auto"/>
            <w:noWrap/>
            <w:hideMark/>
          </w:tcPr>
          <w:p w14:paraId="58C9E391" w14:textId="77777777" w:rsidR="006F4079" w:rsidRPr="00F64681" w:rsidRDefault="006F4079" w:rsidP="006F4079">
            <w:pPr>
              <w:spacing w:after="0" w:line="240" w:lineRule="auto"/>
              <w:ind w:firstLine="0"/>
              <w:jc w:val="righ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N</w:t>
            </w:r>
          </w:p>
        </w:tc>
        <w:tc>
          <w:tcPr>
            <w:tcW w:w="374" w:type="pct"/>
            <w:tcBorders>
              <w:top w:val="nil"/>
              <w:left w:val="nil"/>
              <w:bottom w:val="single" w:sz="4" w:space="0" w:color="auto"/>
              <w:right w:val="single" w:sz="4" w:space="0" w:color="auto"/>
            </w:tcBorders>
            <w:shd w:val="clear" w:color="auto" w:fill="auto"/>
            <w:noWrap/>
            <w:hideMark/>
          </w:tcPr>
          <w:p w14:paraId="542C22D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15,710</w:t>
            </w:r>
          </w:p>
        </w:tc>
        <w:tc>
          <w:tcPr>
            <w:tcW w:w="374" w:type="pct"/>
            <w:tcBorders>
              <w:top w:val="nil"/>
              <w:left w:val="nil"/>
              <w:bottom w:val="single" w:sz="4" w:space="0" w:color="auto"/>
              <w:right w:val="single" w:sz="4" w:space="0" w:color="auto"/>
            </w:tcBorders>
            <w:shd w:val="clear" w:color="auto" w:fill="auto"/>
            <w:noWrap/>
            <w:hideMark/>
          </w:tcPr>
          <w:p w14:paraId="3C409068"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19,530</w:t>
            </w:r>
          </w:p>
        </w:tc>
        <w:tc>
          <w:tcPr>
            <w:tcW w:w="374" w:type="pct"/>
            <w:tcBorders>
              <w:top w:val="nil"/>
              <w:left w:val="nil"/>
              <w:bottom w:val="single" w:sz="4" w:space="0" w:color="auto"/>
              <w:right w:val="single" w:sz="4" w:space="0" w:color="auto"/>
            </w:tcBorders>
            <w:shd w:val="clear" w:color="auto" w:fill="auto"/>
            <w:noWrap/>
            <w:hideMark/>
          </w:tcPr>
          <w:p w14:paraId="13F0AF84"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21,495</w:t>
            </w:r>
          </w:p>
        </w:tc>
        <w:tc>
          <w:tcPr>
            <w:tcW w:w="374" w:type="pct"/>
            <w:tcBorders>
              <w:top w:val="nil"/>
              <w:left w:val="nil"/>
              <w:bottom w:val="single" w:sz="4" w:space="0" w:color="auto"/>
              <w:right w:val="single" w:sz="4" w:space="0" w:color="auto"/>
            </w:tcBorders>
            <w:shd w:val="clear" w:color="auto" w:fill="auto"/>
            <w:noWrap/>
            <w:hideMark/>
          </w:tcPr>
          <w:p w14:paraId="138A043E"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21,525</w:t>
            </w:r>
          </w:p>
        </w:tc>
        <w:tc>
          <w:tcPr>
            <w:tcW w:w="374" w:type="pct"/>
            <w:tcBorders>
              <w:top w:val="nil"/>
              <w:left w:val="nil"/>
              <w:bottom w:val="single" w:sz="4" w:space="0" w:color="auto"/>
              <w:right w:val="single" w:sz="4" w:space="0" w:color="auto"/>
            </w:tcBorders>
            <w:shd w:val="clear" w:color="auto" w:fill="auto"/>
            <w:noWrap/>
            <w:hideMark/>
          </w:tcPr>
          <w:p w14:paraId="30D17539"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22,210</w:t>
            </w:r>
          </w:p>
        </w:tc>
        <w:tc>
          <w:tcPr>
            <w:tcW w:w="374" w:type="pct"/>
            <w:tcBorders>
              <w:top w:val="nil"/>
              <w:left w:val="nil"/>
              <w:bottom w:val="single" w:sz="4" w:space="0" w:color="auto"/>
              <w:right w:val="single" w:sz="4" w:space="0" w:color="auto"/>
            </w:tcBorders>
            <w:shd w:val="clear" w:color="auto" w:fill="auto"/>
            <w:noWrap/>
            <w:hideMark/>
          </w:tcPr>
          <w:p w14:paraId="6E8AD61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22,595</w:t>
            </w:r>
          </w:p>
        </w:tc>
        <w:tc>
          <w:tcPr>
            <w:tcW w:w="374" w:type="pct"/>
            <w:tcBorders>
              <w:top w:val="nil"/>
              <w:left w:val="nil"/>
              <w:bottom w:val="single" w:sz="4" w:space="0" w:color="auto"/>
              <w:right w:val="single" w:sz="4" w:space="0" w:color="auto"/>
            </w:tcBorders>
            <w:shd w:val="clear" w:color="auto" w:fill="auto"/>
            <w:noWrap/>
            <w:hideMark/>
          </w:tcPr>
          <w:p w14:paraId="5F44D82C"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22,080</w:t>
            </w:r>
          </w:p>
        </w:tc>
        <w:tc>
          <w:tcPr>
            <w:tcW w:w="374" w:type="pct"/>
            <w:tcBorders>
              <w:top w:val="nil"/>
              <w:left w:val="nil"/>
              <w:bottom w:val="single" w:sz="4" w:space="0" w:color="auto"/>
              <w:right w:val="single" w:sz="4" w:space="0" w:color="auto"/>
            </w:tcBorders>
            <w:shd w:val="clear" w:color="auto" w:fill="auto"/>
            <w:noWrap/>
            <w:hideMark/>
          </w:tcPr>
          <w:p w14:paraId="6F25EE5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32,410</w:t>
            </w:r>
          </w:p>
        </w:tc>
        <w:tc>
          <w:tcPr>
            <w:tcW w:w="374" w:type="pct"/>
            <w:tcBorders>
              <w:top w:val="nil"/>
              <w:left w:val="nil"/>
              <w:bottom w:val="single" w:sz="4" w:space="0" w:color="auto"/>
              <w:right w:val="single" w:sz="4" w:space="0" w:color="auto"/>
            </w:tcBorders>
            <w:shd w:val="clear" w:color="auto" w:fill="auto"/>
            <w:noWrap/>
            <w:hideMark/>
          </w:tcPr>
          <w:p w14:paraId="1D348D91" w14:textId="77777777" w:rsidR="006F4079" w:rsidRPr="00191828" w:rsidRDefault="006F4079" w:rsidP="006F4079">
            <w:pPr>
              <w:spacing w:after="0" w:line="240" w:lineRule="auto"/>
              <w:ind w:firstLine="0"/>
              <w:jc w:val="right"/>
              <w:rPr>
                <w:rFonts w:eastAsia="Times New Roman" w:cs="Times New Roman"/>
                <w:color w:val="000000"/>
                <w:sz w:val="20"/>
                <w:szCs w:val="20"/>
              </w:rPr>
            </w:pPr>
            <w:r w:rsidRPr="00191828">
              <w:rPr>
                <w:color w:val="000000"/>
                <w:sz w:val="20"/>
                <w:szCs w:val="20"/>
              </w:rPr>
              <w:t>30,075</w:t>
            </w:r>
          </w:p>
        </w:tc>
      </w:tr>
    </w:tbl>
    <w:p w14:paraId="748BCF59" w14:textId="7B2E2357" w:rsidR="006F4079" w:rsidRPr="006F4079" w:rsidRDefault="006F4079" w:rsidP="006F4079">
      <w:pPr>
        <w:spacing w:before="240" w:line="240" w:lineRule="auto"/>
        <w:jc w:val="center"/>
      </w:pPr>
      <w:r w:rsidRPr="00F64681">
        <w:rPr>
          <w:b/>
          <w:iCs/>
        </w:rPr>
        <w:t xml:space="preserve"> </w:t>
      </w:r>
      <w:r w:rsidR="00F64681" w:rsidRPr="00F64681">
        <w:rPr>
          <w:b/>
          <w:iCs/>
        </w:rPr>
        <w:t xml:space="preserve">Table </w:t>
      </w:r>
      <w:r w:rsidR="00F64681" w:rsidRPr="00F64681">
        <w:rPr>
          <w:b/>
          <w:iCs/>
        </w:rPr>
        <w:fldChar w:fldCharType="begin"/>
      </w:r>
      <w:r w:rsidR="00F64681" w:rsidRPr="00F64681">
        <w:rPr>
          <w:b/>
          <w:iCs/>
        </w:rPr>
        <w:instrText xml:space="preserve"> SEQ Table \* ARABIC </w:instrText>
      </w:r>
      <w:r w:rsidR="00F64681" w:rsidRPr="00F64681">
        <w:rPr>
          <w:b/>
          <w:iCs/>
        </w:rPr>
        <w:fldChar w:fldCharType="separate"/>
      </w:r>
      <w:r w:rsidR="00F64681" w:rsidRPr="00F64681">
        <w:rPr>
          <w:b/>
          <w:iCs/>
        </w:rPr>
        <w:t>1</w:t>
      </w:r>
      <w:r w:rsidR="00F64681" w:rsidRPr="00F64681">
        <w:fldChar w:fldCharType="end"/>
      </w:r>
      <w:r w:rsidR="00F64681" w:rsidRPr="00F64681">
        <w:rPr>
          <w:b/>
          <w:iCs/>
        </w:rPr>
        <w:t xml:space="preserve">. </w:t>
      </w:r>
      <w:r w:rsidR="00F64681" w:rsidRPr="00F64681">
        <w:rPr>
          <w:iCs/>
        </w:rPr>
        <w:t xml:space="preserve">Theil-Sen median slope for the </w:t>
      </w:r>
      <w:r w:rsidR="00AE300C">
        <w:rPr>
          <w:iCs/>
        </w:rPr>
        <w:t>median income ratio</w:t>
      </w:r>
      <w:r w:rsidR="00F64681" w:rsidRPr="00F64681">
        <w:rPr>
          <w:iCs/>
        </w:rPr>
        <w:t>, full sample, 1989-2013 (source: own calculations based on the U.S. Survey of Consumer Finances)</w:t>
      </w:r>
    </w:p>
    <w:p w14:paraId="0B732BD3" w14:textId="0A442D55" w:rsidR="00F64681" w:rsidRDefault="00F64681" w:rsidP="00F64681">
      <w:pPr>
        <w:ind w:firstLine="0"/>
        <w:jc w:val="center"/>
        <w:rPr>
          <w:rFonts w:ascii="Times New Roman" w:hAnsi="Times New Roman" w:cs="Times New Roman"/>
        </w:rPr>
      </w:pPr>
      <w:r w:rsidRPr="00051E1D">
        <w:rPr>
          <w:rFonts w:ascii="Times New Roman" w:hAnsi="Times New Roman" w:cs="Times New Roman"/>
          <w:b/>
          <w:sz w:val="20"/>
          <w:szCs w:val="20"/>
        </w:rPr>
        <w:t>Notes</w:t>
      </w:r>
      <w:r w:rsidRPr="00051E1D">
        <w:rPr>
          <w:rFonts w:ascii="Times New Roman" w:hAnsi="Times New Roman" w:cs="Times New Roman"/>
          <w:sz w:val="20"/>
          <w:szCs w:val="20"/>
        </w:rPr>
        <w:t xml:space="preserve">: Italics indicate </w:t>
      </w:r>
      <w:r>
        <w:rPr>
          <w:rFonts w:ascii="Times New Roman" w:hAnsi="Times New Roman" w:cs="Times New Roman"/>
          <w:sz w:val="20"/>
          <w:szCs w:val="20"/>
        </w:rPr>
        <w:t>confidence intervals of</w:t>
      </w:r>
      <w:r w:rsidRPr="00051E1D">
        <w:rPr>
          <w:rFonts w:ascii="Times New Roman" w:hAnsi="Times New Roman" w:cs="Times New Roman"/>
          <w:sz w:val="20"/>
          <w:szCs w:val="20"/>
        </w:rPr>
        <w:t xml:space="preserve"> the Theil-Sen median slope</w:t>
      </w:r>
      <w:r>
        <w:rPr>
          <w:rFonts w:ascii="Times New Roman" w:hAnsi="Times New Roman" w:cs="Times New Roman"/>
          <w:sz w:val="20"/>
          <w:szCs w:val="20"/>
        </w:rPr>
        <w:t xml:space="preserve"> which include zero.</w:t>
      </w:r>
    </w:p>
    <w:p w14:paraId="48252CA8" w14:textId="255D3A02" w:rsidR="005E105E" w:rsidRDefault="006F4079" w:rsidP="005E105E">
      <w:pPr>
        <w:rPr>
          <w:rFonts w:ascii="Times New Roman" w:hAnsi="Times New Roman" w:cs="Times New Roman"/>
        </w:rPr>
      </w:pPr>
      <w:r>
        <w:rPr>
          <w:rFonts w:ascii="Times New Roman" w:hAnsi="Times New Roman" w:cs="Times New Roman"/>
        </w:rPr>
        <w:t xml:space="preserve"> </w:t>
      </w:r>
      <w:r w:rsidR="005E105E">
        <w:rPr>
          <w:rFonts w:ascii="Times New Roman" w:hAnsi="Times New Roman" w:cs="Times New Roman"/>
        </w:rPr>
        <w:t>In sum</w:t>
      </w:r>
      <w:r w:rsidR="005E105E" w:rsidRPr="00E92972">
        <w:rPr>
          <w:rFonts w:ascii="Times New Roman" w:hAnsi="Times New Roman" w:cs="Times New Roman"/>
        </w:rPr>
        <w:t xml:space="preserve">, </w:t>
      </w:r>
      <w:r w:rsidR="005E105E">
        <w:rPr>
          <w:rFonts w:ascii="Times New Roman" w:hAnsi="Times New Roman" w:cs="Times New Roman"/>
        </w:rPr>
        <w:t>h</w:t>
      </w:r>
      <w:r w:rsidR="005E105E" w:rsidRPr="00E92972">
        <w:rPr>
          <w:rFonts w:ascii="Times New Roman" w:hAnsi="Times New Roman" w:cs="Times New Roman"/>
        </w:rPr>
        <w:t xml:space="preserve">ouseholds with higher </w:t>
      </w:r>
      <w:r>
        <w:rPr>
          <w:rFonts w:ascii="Times New Roman" w:hAnsi="Times New Roman" w:cs="Times New Roman"/>
        </w:rPr>
        <w:t>relative holdings</w:t>
      </w:r>
      <w:r w:rsidR="005E105E" w:rsidRPr="00E92972">
        <w:rPr>
          <w:rFonts w:ascii="Times New Roman" w:hAnsi="Times New Roman" w:cs="Times New Roman"/>
        </w:rPr>
        <w:t xml:space="preserve"> of </w:t>
      </w:r>
      <w:r w:rsidR="005E105E">
        <w:rPr>
          <w:rFonts w:ascii="Times New Roman" w:hAnsi="Times New Roman" w:cs="Times New Roman"/>
        </w:rPr>
        <w:t xml:space="preserve">other property, </w:t>
      </w:r>
      <w:r w:rsidR="005E105E" w:rsidRPr="00E92972">
        <w:rPr>
          <w:rFonts w:ascii="Times New Roman" w:hAnsi="Times New Roman" w:cs="Times New Roman"/>
        </w:rPr>
        <w:t xml:space="preserve">high-yielding financial investment assets, business equity, </w:t>
      </w:r>
      <w:r w:rsidR="005E105E">
        <w:rPr>
          <w:rFonts w:ascii="Times New Roman" w:hAnsi="Times New Roman" w:cs="Times New Roman"/>
        </w:rPr>
        <w:t xml:space="preserve">retirement and insurance assets, </w:t>
      </w:r>
      <w:r w:rsidR="005E105E" w:rsidRPr="00E92972">
        <w:rPr>
          <w:rFonts w:ascii="Times New Roman" w:hAnsi="Times New Roman" w:cs="Times New Roman"/>
        </w:rPr>
        <w:t xml:space="preserve">and debt secured by other real estate </w:t>
      </w:r>
      <w:r w:rsidR="004C4220">
        <w:rPr>
          <w:rFonts w:ascii="Times New Roman" w:hAnsi="Times New Roman" w:cs="Times New Roman"/>
        </w:rPr>
        <w:t xml:space="preserve">are found to </w:t>
      </w:r>
      <w:r w:rsidR="005E105E" w:rsidRPr="00E92972">
        <w:rPr>
          <w:rFonts w:ascii="Times New Roman" w:hAnsi="Times New Roman" w:cs="Times New Roman"/>
        </w:rPr>
        <w:t xml:space="preserve">have higher relative income levels in the period studied. </w:t>
      </w:r>
      <w:r w:rsidR="005E105E">
        <w:rPr>
          <w:rFonts w:ascii="Times New Roman" w:hAnsi="Times New Roman" w:cs="Times New Roman"/>
        </w:rPr>
        <w:t xml:space="preserve">The effects were particularly strong in the run up to the Great Recession, and after a brief decline, continued to expand in the years after the crisis. </w:t>
      </w:r>
      <w:r w:rsidR="005E105E" w:rsidRPr="00E92972">
        <w:rPr>
          <w:rFonts w:ascii="Times New Roman" w:hAnsi="Times New Roman" w:cs="Times New Roman"/>
        </w:rPr>
        <w:t>In contrast, income</w:t>
      </w:r>
      <w:r w:rsidR="005E105E">
        <w:rPr>
          <w:rFonts w:ascii="Times New Roman" w:hAnsi="Times New Roman" w:cs="Times New Roman"/>
        </w:rPr>
        <w:t>s</w:t>
      </w:r>
      <w:r w:rsidR="005E105E" w:rsidRPr="00E92972">
        <w:rPr>
          <w:rFonts w:ascii="Times New Roman" w:hAnsi="Times New Roman" w:cs="Times New Roman"/>
        </w:rPr>
        <w:t xml:space="preserve"> of households </w:t>
      </w:r>
      <w:r>
        <w:rPr>
          <w:rFonts w:ascii="Times New Roman" w:hAnsi="Times New Roman" w:cs="Times New Roman"/>
        </w:rPr>
        <w:t>with higher relative holdings of</w:t>
      </w:r>
      <w:r w:rsidR="005E105E" w:rsidRPr="00E92972">
        <w:rPr>
          <w:rFonts w:ascii="Times New Roman" w:hAnsi="Times New Roman" w:cs="Times New Roman"/>
        </w:rPr>
        <w:t xml:space="preserve"> primary residence</w:t>
      </w:r>
      <w:r>
        <w:rPr>
          <w:rFonts w:ascii="Times New Roman" w:hAnsi="Times New Roman" w:cs="Times New Roman"/>
        </w:rPr>
        <w:t xml:space="preserve">, </w:t>
      </w:r>
      <w:r w:rsidR="005E105E">
        <w:rPr>
          <w:rFonts w:ascii="Times New Roman" w:hAnsi="Times New Roman" w:cs="Times New Roman"/>
        </w:rPr>
        <w:t>transaction accounts</w:t>
      </w:r>
      <w:r>
        <w:rPr>
          <w:rFonts w:ascii="Times New Roman" w:hAnsi="Times New Roman" w:cs="Times New Roman"/>
        </w:rPr>
        <w:t>, vehicles, and unsecured debt</w:t>
      </w:r>
      <w:r w:rsidR="005E105E" w:rsidRPr="00E92972">
        <w:rPr>
          <w:rFonts w:ascii="Times New Roman" w:hAnsi="Times New Roman" w:cs="Times New Roman"/>
        </w:rPr>
        <w:t xml:space="preserve"> </w:t>
      </w:r>
      <w:r w:rsidR="005E105E">
        <w:rPr>
          <w:rFonts w:ascii="Times New Roman" w:hAnsi="Times New Roman" w:cs="Times New Roman"/>
        </w:rPr>
        <w:t>are</w:t>
      </w:r>
      <w:r w:rsidR="005E105E" w:rsidRPr="00E92972">
        <w:rPr>
          <w:rFonts w:ascii="Times New Roman" w:hAnsi="Times New Roman" w:cs="Times New Roman"/>
        </w:rPr>
        <w:t xml:space="preserve"> estimated to be further away from the median towards the bottom of the distribution.</w:t>
      </w:r>
      <w:r w:rsidR="005E105E">
        <w:rPr>
          <w:rFonts w:ascii="Times New Roman" w:hAnsi="Times New Roman" w:cs="Times New Roman"/>
        </w:rPr>
        <w:t xml:space="preserve"> A</w:t>
      </w:r>
      <w:r w:rsidR="005E105E" w:rsidRPr="00E92972">
        <w:rPr>
          <w:rFonts w:ascii="Times New Roman" w:hAnsi="Times New Roman" w:cs="Times New Roman"/>
        </w:rPr>
        <w:t>lthough the estimated relationship between relative holdings of debt secured by primary residence and the median income ratio is positive, the effect is lower than for debt secured by other real estate. Moreover,</w:t>
      </w:r>
      <w:r w:rsidR="005E105E">
        <w:rPr>
          <w:rFonts w:ascii="Times New Roman" w:hAnsi="Times New Roman" w:cs="Times New Roman"/>
        </w:rPr>
        <w:t xml:space="preserve"> leverage measure</w:t>
      </w:r>
      <w:r w:rsidR="00313FBD">
        <w:rPr>
          <w:rFonts w:ascii="Times New Roman" w:hAnsi="Times New Roman" w:cs="Times New Roman"/>
        </w:rPr>
        <w:t>s</w:t>
      </w:r>
      <w:r w:rsidR="005E105E">
        <w:rPr>
          <w:rFonts w:ascii="Times New Roman" w:hAnsi="Times New Roman" w:cs="Times New Roman"/>
        </w:rPr>
        <w:t xml:space="preserve"> were associated with increases in the median income ratio in the period, but the effect </w:t>
      </w:r>
      <w:r>
        <w:rPr>
          <w:rFonts w:ascii="Times New Roman" w:hAnsi="Times New Roman" w:cs="Times New Roman"/>
        </w:rPr>
        <w:t>declined over time</w:t>
      </w:r>
      <w:r w:rsidR="005E105E">
        <w:rPr>
          <w:rFonts w:ascii="Times New Roman" w:hAnsi="Times New Roman" w:cs="Times New Roman"/>
        </w:rPr>
        <w:t>.</w:t>
      </w:r>
    </w:p>
    <w:p w14:paraId="38EE34B5" w14:textId="3CC945DC" w:rsidR="00CA0E44" w:rsidRPr="006E4364" w:rsidRDefault="00576607" w:rsidP="00FE6340">
      <w:pPr>
        <w:pStyle w:val="MyHeading2"/>
        <w:numPr>
          <w:ilvl w:val="1"/>
          <w:numId w:val="2"/>
        </w:numPr>
        <w:ind w:left="426"/>
        <w:rPr>
          <w:sz w:val="23"/>
          <w:szCs w:val="23"/>
        </w:rPr>
      </w:pPr>
      <w:bookmarkStart w:id="1" w:name="_Toc496873247"/>
      <w:r w:rsidRPr="006E4364">
        <w:rPr>
          <w:sz w:val="23"/>
          <w:szCs w:val="23"/>
        </w:rPr>
        <w:t xml:space="preserve">Results by </w:t>
      </w:r>
      <w:bookmarkEnd w:id="1"/>
      <w:r w:rsidR="00401C40">
        <w:rPr>
          <w:sz w:val="23"/>
          <w:szCs w:val="23"/>
        </w:rPr>
        <w:t>income group</w:t>
      </w:r>
    </w:p>
    <w:p w14:paraId="24D13443" w14:textId="4CB8CF1B" w:rsidR="00401C40" w:rsidRDefault="00067947" w:rsidP="00CA0E44">
      <w:pPr>
        <w:ind w:firstLine="0"/>
        <w:rPr>
          <w:rFonts w:ascii="Times New Roman" w:hAnsi="Times New Roman" w:cs="Times New Roman"/>
        </w:rPr>
      </w:pPr>
      <w:r>
        <w:rPr>
          <w:rFonts w:ascii="Times New Roman" w:hAnsi="Times New Roman" w:cs="Times New Roman"/>
        </w:rPr>
        <w:t>To</w:t>
      </w:r>
      <w:r w:rsidR="00CA0E44">
        <w:rPr>
          <w:rFonts w:ascii="Times New Roman" w:hAnsi="Times New Roman" w:cs="Times New Roman"/>
        </w:rPr>
        <w:t xml:space="preserve"> </w:t>
      </w:r>
      <w:r w:rsidR="00401C40">
        <w:rPr>
          <w:rFonts w:ascii="Times New Roman" w:hAnsi="Times New Roman" w:cs="Times New Roman"/>
        </w:rPr>
        <w:t xml:space="preserve">examine further </w:t>
      </w:r>
      <w:r w:rsidR="00CA0E44">
        <w:rPr>
          <w:rFonts w:ascii="Times New Roman" w:hAnsi="Times New Roman" w:cs="Times New Roman"/>
        </w:rPr>
        <w:t xml:space="preserve">the </w:t>
      </w:r>
      <w:r w:rsidR="00577F0E">
        <w:rPr>
          <w:rFonts w:ascii="Times New Roman" w:hAnsi="Times New Roman" w:cs="Times New Roman"/>
        </w:rPr>
        <w:t>relationship between</w:t>
      </w:r>
      <w:r w:rsidR="00CA0E44">
        <w:rPr>
          <w:rFonts w:ascii="Times New Roman" w:hAnsi="Times New Roman" w:cs="Times New Roman"/>
        </w:rPr>
        <w:t xml:space="preserve"> household wealth composition </w:t>
      </w:r>
      <w:r w:rsidR="00577F0E">
        <w:rPr>
          <w:rFonts w:ascii="Times New Roman" w:hAnsi="Times New Roman" w:cs="Times New Roman"/>
        </w:rPr>
        <w:t>and</w:t>
      </w:r>
      <w:r>
        <w:rPr>
          <w:rFonts w:ascii="Times New Roman" w:hAnsi="Times New Roman" w:cs="Times New Roman"/>
        </w:rPr>
        <w:t xml:space="preserve"> </w:t>
      </w:r>
      <w:r w:rsidR="00401C40">
        <w:rPr>
          <w:rFonts w:ascii="Times New Roman" w:hAnsi="Times New Roman" w:cs="Times New Roman"/>
        </w:rPr>
        <w:t>relative income</w:t>
      </w:r>
      <w:r w:rsidR="00577F0E">
        <w:rPr>
          <w:rFonts w:ascii="Times New Roman" w:hAnsi="Times New Roman" w:cs="Times New Roman"/>
        </w:rPr>
        <w:t xml:space="preserve"> </w:t>
      </w:r>
      <w:r w:rsidR="00E36913">
        <w:rPr>
          <w:rFonts w:ascii="Times New Roman" w:hAnsi="Times New Roman" w:cs="Times New Roman"/>
        </w:rPr>
        <w:t>before</w:t>
      </w:r>
      <w:r w:rsidR="00BE2607">
        <w:rPr>
          <w:rFonts w:ascii="Times New Roman" w:hAnsi="Times New Roman" w:cs="Times New Roman"/>
        </w:rPr>
        <w:t xml:space="preserve"> and after</w:t>
      </w:r>
      <w:r w:rsidR="00577F0E">
        <w:rPr>
          <w:rFonts w:ascii="Times New Roman" w:hAnsi="Times New Roman" w:cs="Times New Roman"/>
        </w:rPr>
        <w:t xml:space="preserve"> the Great Recession</w:t>
      </w:r>
      <w:r w:rsidR="00CA0E44">
        <w:rPr>
          <w:rFonts w:ascii="Times New Roman" w:hAnsi="Times New Roman" w:cs="Times New Roman"/>
        </w:rPr>
        <w:t>, t</w:t>
      </w:r>
      <w:r w:rsidR="00CA0E44" w:rsidRPr="00E92972">
        <w:rPr>
          <w:rFonts w:ascii="Times New Roman" w:hAnsi="Times New Roman" w:cs="Times New Roman"/>
        </w:rPr>
        <w:t xml:space="preserve">he </w:t>
      </w:r>
      <w:r w:rsidR="00401C40">
        <w:rPr>
          <w:rFonts w:ascii="Times New Roman" w:hAnsi="Times New Roman" w:cs="Times New Roman"/>
        </w:rPr>
        <w:t>Theil-Sen median slopes are estimated for households in the bottom 20% and in the top 10% of the income distribution.</w:t>
      </w:r>
      <w:r w:rsidR="00E36913">
        <w:rPr>
          <w:rFonts w:ascii="Times New Roman" w:hAnsi="Times New Roman" w:cs="Times New Roman"/>
        </w:rPr>
        <w:t xml:space="preserve"> The aim of this analysis is to understand </w:t>
      </w:r>
      <w:r w:rsidR="00A952F7">
        <w:rPr>
          <w:rFonts w:ascii="Times New Roman" w:hAnsi="Times New Roman" w:cs="Times New Roman"/>
        </w:rPr>
        <w:t>how</w:t>
      </w:r>
      <w:r w:rsidR="00E36913">
        <w:rPr>
          <w:rFonts w:ascii="Times New Roman" w:hAnsi="Times New Roman" w:cs="Times New Roman"/>
        </w:rPr>
        <w:t xml:space="preserve"> targeting of subprime borrowers</w:t>
      </w:r>
      <w:r w:rsidR="00A952F7">
        <w:rPr>
          <w:rFonts w:ascii="Times New Roman" w:hAnsi="Times New Roman" w:cs="Times New Roman"/>
        </w:rPr>
        <w:t xml:space="preserve"> was associated with relative income of these households, and whether development of new financial instruments in the subprime period improved relative income of the richest households.</w:t>
      </w:r>
    </w:p>
    <w:p w14:paraId="3E257D72" w14:textId="0F7163DC" w:rsidR="00A952F7" w:rsidRDefault="00B63954" w:rsidP="00A952F7">
      <w:r>
        <w:rPr>
          <w:rFonts w:ascii="Times New Roman" w:hAnsi="Times New Roman" w:cs="Times New Roman"/>
        </w:rPr>
        <w:lastRenderedPageBreak/>
        <w:t xml:space="preserve">It is assumed that overlapping confidence intervals imply no statistically significant difference in the median slope between these groups. </w:t>
      </w:r>
      <w:r w:rsidR="00A952F7">
        <w:t>Table 2 shows that w</w:t>
      </w:r>
      <w:r w:rsidR="00A952F7" w:rsidRPr="00896BA3">
        <w:t>ealth composition</w:t>
      </w:r>
      <w:r w:rsidR="00A952F7">
        <w:t xml:space="preserve"> </w:t>
      </w:r>
      <w:r>
        <w:t>has</w:t>
      </w:r>
      <w:r w:rsidR="00A952F7" w:rsidRPr="00896BA3">
        <w:t xml:space="preserve"> a smaller impact on relative income</w:t>
      </w:r>
      <w:r w:rsidR="00A952F7">
        <w:t xml:space="preserve"> f</w:t>
      </w:r>
      <w:r w:rsidR="00A952F7" w:rsidRPr="00896BA3">
        <w:t>or households in the bottom quintile of the income distribution</w:t>
      </w:r>
      <w:r w:rsidR="00A952F7">
        <w:t xml:space="preserve"> compared to households in the top decile, with </w:t>
      </w:r>
      <w:r w:rsidR="001C78DE">
        <w:t xml:space="preserve">absolute values of the </w:t>
      </w:r>
      <w:r w:rsidR="00A952F7">
        <w:t>estimates of asset and debt composition oscillating around 0-</w:t>
      </w:r>
      <w:r w:rsidR="00407CC9">
        <w:t>0.</w:t>
      </w:r>
      <w:r w:rsidR="001C78DE">
        <w:t>3</w:t>
      </w:r>
      <w:r w:rsidR="00A952F7">
        <w:t xml:space="preserve"> percentage points</w:t>
      </w:r>
      <w:r w:rsidR="001C78DE">
        <w:t xml:space="preserve"> </w:t>
      </w:r>
      <w:r w:rsidR="00A952F7">
        <w:t>for the former group. For the poorest 20% of households, t</w:t>
      </w:r>
      <w:r w:rsidR="00A952F7" w:rsidRPr="00896BA3">
        <w:t>he median slope of the share of primary residence in total asset was positive</w:t>
      </w:r>
      <w:r w:rsidR="001C78DE">
        <w:t>,</w:t>
      </w:r>
      <w:r w:rsidR="00A952F7" w:rsidRPr="00896BA3">
        <w:t xml:space="preserve"> but not statistically significa</w:t>
      </w:r>
      <w:r w:rsidR="001C78DE">
        <w:t xml:space="preserve">nt in 1989, </w:t>
      </w:r>
      <w:r w:rsidR="00A952F7" w:rsidRPr="00896BA3">
        <w:t>1998,</w:t>
      </w:r>
      <w:r w:rsidR="001C78DE">
        <w:t xml:space="preserve"> 2001, and 2013</w:t>
      </w:r>
      <w:r w:rsidR="00A952F7" w:rsidRPr="00896BA3">
        <w:t>.</w:t>
      </w:r>
      <w:r w:rsidR="00A952F7" w:rsidRPr="00513217">
        <w:t xml:space="preserve"> </w:t>
      </w:r>
      <w:r w:rsidR="001C78DE">
        <w:t xml:space="preserve">In the remaining years, a </w:t>
      </w:r>
      <w:r w:rsidR="00A952F7">
        <w:t>one percentage point increase in the share of primary residence in total assets was associated with a 0.02</w:t>
      </w:r>
      <w:r w:rsidR="001C78DE">
        <w:t>-0.03</w:t>
      </w:r>
      <w:r w:rsidR="00A952F7">
        <w:t xml:space="preserve"> percentage point </w:t>
      </w:r>
      <w:r w:rsidR="001C78DE">
        <w:t>rise</w:t>
      </w:r>
      <w:r w:rsidR="00A952F7">
        <w:t xml:space="preserve"> in the </w:t>
      </w:r>
      <w:r w:rsidR="00AE300C">
        <w:t>median income ratio</w:t>
      </w:r>
      <w:r w:rsidR="00A952F7">
        <w:t xml:space="preserve">. In contrast, the estimate for households in the top decile was </w:t>
      </w:r>
      <w:r w:rsidR="001C78DE">
        <w:t>negative</w:t>
      </w:r>
      <w:r w:rsidR="00A952F7">
        <w:t xml:space="preserve"> and increased </w:t>
      </w:r>
      <w:r w:rsidR="001C78DE">
        <w:t>in absolute terms from -1.66 in 1989 to -2.33</w:t>
      </w:r>
      <w:r w:rsidR="00A952F7">
        <w:t xml:space="preserve"> in 2007, reaching -</w:t>
      </w:r>
      <w:r w:rsidR="001C78DE">
        <w:t>2</w:t>
      </w:r>
      <w:r w:rsidR="00A952F7">
        <w:t>.</w:t>
      </w:r>
      <w:r w:rsidR="001C78DE">
        <w:t>0</w:t>
      </w:r>
      <w:r w:rsidR="00A952F7">
        <w:t>5 in 2013.</w:t>
      </w:r>
    </w:p>
    <w:p w14:paraId="209EB901" w14:textId="62A2BCA0" w:rsidR="00A952F7" w:rsidRDefault="00A952F7" w:rsidP="00A952F7">
      <w:r>
        <w:t>While for households in the top decile the median slope</w:t>
      </w:r>
      <w:r w:rsidRPr="00513217">
        <w:t xml:space="preserve"> of the share of other real estate in total asset was </w:t>
      </w:r>
      <w:r>
        <w:t>positive</w:t>
      </w:r>
      <w:r w:rsidRPr="00513217">
        <w:t xml:space="preserve"> between 1989 and 2013</w:t>
      </w:r>
      <w:r>
        <w:t xml:space="preserve">, the estimates </w:t>
      </w:r>
      <w:r w:rsidR="001C78DE">
        <w:t>were close to zero or not statistically significant</w:t>
      </w:r>
      <w:r>
        <w:t xml:space="preserve"> for households in the bottom quintile</w:t>
      </w:r>
      <w:r w:rsidRPr="00513217">
        <w:t xml:space="preserve">. </w:t>
      </w:r>
      <w:r>
        <w:t>For the latter group, t</w:t>
      </w:r>
      <w:r w:rsidRPr="00513217">
        <w:t>he estimate of the median slope</w:t>
      </w:r>
      <w:r>
        <w:t xml:space="preserve"> of relative holdings of other real estate</w:t>
      </w:r>
      <w:r w:rsidRPr="00513217">
        <w:t xml:space="preserve"> </w:t>
      </w:r>
      <w:r>
        <w:t>fell</w:t>
      </w:r>
      <w:r w:rsidRPr="00513217">
        <w:t xml:space="preserve"> from </w:t>
      </w:r>
      <w:r>
        <w:t>0</w:t>
      </w:r>
      <w:r w:rsidR="001C78DE">
        <w:t>.15 to 0.00 in 2007, rising to 0.09 in 2013.</w:t>
      </w:r>
      <w:r>
        <w:t xml:space="preserve"> In contrast, the estimate for the top decile increased from 0.</w:t>
      </w:r>
      <w:r w:rsidR="001C78DE">
        <w:t>7</w:t>
      </w:r>
      <w:r>
        <w:t xml:space="preserve">6 in 1989 to </w:t>
      </w:r>
      <w:r w:rsidR="001C78DE">
        <w:t>2.56</w:t>
      </w:r>
      <w:r>
        <w:t xml:space="preserve"> in 2001, </w:t>
      </w:r>
      <w:r w:rsidR="001C78DE">
        <w:t>declining to 1.38 in 2010</w:t>
      </w:r>
      <w:r>
        <w:t xml:space="preserve"> </w:t>
      </w:r>
      <w:r w:rsidR="001C78DE">
        <w:t>and rising to</w:t>
      </w:r>
      <w:r>
        <w:t xml:space="preserve"> 1.</w:t>
      </w:r>
      <w:r w:rsidR="001C78DE">
        <w:t>61</w:t>
      </w:r>
      <w:r>
        <w:t xml:space="preserve"> in 2013.</w:t>
      </w:r>
      <w:r w:rsidRPr="00B60A4C">
        <w:t xml:space="preserve"> </w:t>
      </w:r>
      <w:r>
        <w:t xml:space="preserve">Similar patterns are observed for relative holdings of business equity. </w:t>
      </w:r>
      <w:r w:rsidRPr="00513217">
        <w:t xml:space="preserve">The median slope of the share of business equity in total assets was </w:t>
      </w:r>
      <w:r w:rsidR="00CF03C2">
        <w:t>not statistically significant</w:t>
      </w:r>
      <w:r w:rsidRPr="00513217">
        <w:t xml:space="preserve"> </w:t>
      </w:r>
      <w:r>
        <w:t xml:space="preserve">for households in the bottom quintile </w:t>
      </w:r>
      <w:r w:rsidR="00CF03C2">
        <w:t>in</w:t>
      </w:r>
      <w:r w:rsidR="00504C01">
        <w:t xml:space="preserve"> 2001, 2004, and </w:t>
      </w:r>
      <w:r w:rsidRPr="00513217">
        <w:t>2013</w:t>
      </w:r>
      <w:r w:rsidR="00504C01">
        <w:t xml:space="preserve"> and was negative in the remaining years</w:t>
      </w:r>
      <w:r>
        <w:t>. The estimate</w:t>
      </w:r>
      <w:r w:rsidRPr="00513217">
        <w:t xml:space="preserve"> </w:t>
      </w:r>
      <w:r w:rsidR="00504C01">
        <w:t>fluctuated in the period from -0.12 in 1989 to +0.08 in 1992, falling to -0.08 in 1995 and i</w:t>
      </w:r>
      <w:r w:rsidRPr="00513217">
        <w:t>ncreas</w:t>
      </w:r>
      <w:r>
        <w:t>ing</w:t>
      </w:r>
      <w:r w:rsidRPr="00513217">
        <w:t xml:space="preserve"> in absolute terms </w:t>
      </w:r>
      <w:r w:rsidR="00504C01">
        <w:t>to -0.23 in 2007, reaching -0.15 in 2010.</w:t>
      </w:r>
      <w:r>
        <w:t xml:space="preserve"> In contrast, the estimate was positive for households in the top decile, rising from </w:t>
      </w:r>
      <w:r w:rsidR="00504C01">
        <w:t>2.43</w:t>
      </w:r>
      <w:r>
        <w:t xml:space="preserve"> in 1989 to </w:t>
      </w:r>
      <w:r w:rsidR="00504C01">
        <w:t>5.85</w:t>
      </w:r>
      <w:r>
        <w:t xml:space="preserve"> in </w:t>
      </w:r>
      <w:r w:rsidR="00504C01">
        <w:t>2001</w:t>
      </w:r>
      <w:r>
        <w:t xml:space="preserve">, </w:t>
      </w:r>
      <w:r w:rsidR="00504C01">
        <w:t>and declining to 3.11 in 2010 before reaching its peak of 6.58 in 2013.</w:t>
      </w:r>
      <w:r>
        <w:t xml:space="preserve"> </w:t>
      </w:r>
      <w:r w:rsidRPr="00513217">
        <w:t xml:space="preserve">Similarly, the median slope of the relative holdings of financial investment assets </w:t>
      </w:r>
      <w:r w:rsidR="00932B85">
        <w:t>was</w:t>
      </w:r>
      <w:r w:rsidRPr="00513217">
        <w:t xml:space="preserve"> </w:t>
      </w:r>
      <w:r w:rsidR="00E8386E">
        <w:t xml:space="preserve">close to zero </w:t>
      </w:r>
      <w:r>
        <w:t>for households in the bottom quintile</w:t>
      </w:r>
      <w:r w:rsidR="00E8386E">
        <w:t xml:space="preserve">, and was not statistically significant in </w:t>
      </w:r>
      <w:r w:rsidR="006F2517">
        <w:t>1995, 2001, 2004, 2010, and 2013.</w:t>
      </w:r>
      <w:r w:rsidRPr="00513217">
        <w:t xml:space="preserve"> </w:t>
      </w:r>
      <w:r w:rsidR="006F2517">
        <w:t>Between 1989 and 2007, the estimate fell from 0.08 to 0.05</w:t>
      </w:r>
      <w:r w:rsidRPr="00513217">
        <w:t xml:space="preserve"> percentage points</w:t>
      </w:r>
      <w:r w:rsidR="006F2517">
        <w:t>.</w:t>
      </w:r>
      <w:r>
        <w:t xml:space="preserve"> Conversely, the estimate for households in the top decile was </w:t>
      </w:r>
      <w:r w:rsidR="006F2517">
        <w:t>statistically significant in the period, declining initially from 2.86 in 1989 to 1.03 in 2001 before rising to 3.04 in 2013, with a peak of 5.16 in 2007</w:t>
      </w:r>
      <w:r>
        <w:t xml:space="preserve">. </w:t>
      </w:r>
    </w:p>
    <w:p w14:paraId="2D4FD118" w14:textId="6196061E" w:rsidR="00A952F7" w:rsidRDefault="00A952F7" w:rsidP="003B79E4">
      <w:r>
        <w:t>For households in the bottom quintile, t</w:t>
      </w:r>
      <w:r w:rsidRPr="00513217">
        <w:t xml:space="preserve">he </w:t>
      </w:r>
      <w:r>
        <w:t>median slope</w:t>
      </w:r>
      <w:r w:rsidRPr="00513217">
        <w:t xml:space="preserve"> of the relative holdings of vehicles and other non-financial assets was close to zero and positive, peaking at 0.04 percentage points in </w:t>
      </w:r>
      <w:r w:rsidR="003B79E4">
        <w:t>1998 and reaching 0.02 in 2013. The estimate was not statistically significant in 1989, 2001, 2004, and 2010</w:t>
      </w:r>
      <w:r w:rsidRPr="00513217">
        <w:t>.</w:t>
      </w:r>
      <w:r>
        <w:t xml:space="preserve"> In contrast, the estimate was negative for households in the top decile, rising in absolute terms from -</w:t>
      </w:r>
      <w:r w:rsidR="003B79E4">
        <w:t>7.07</w:t>
      </w:r>
      <w:r>
        <w:t xml:space="preserve"> in 1989 to -</w:t>
      </w:r>
      <w:r w:rsidR="003B79E4">
        <w:t>16.40 in 2013</w:t>
      </w:r>
      <w:r>
        <w:t>. Similarly, t</w:t>
      </w:r>
      <w:r w:rsidRPr="00513217">
        <w:t xml:space="preserve">he median slope of relative holdings of </w:t>
      </w:r>
      <w:r w:rsidRPr="00513217">
        <w:lastRenderedPageBreak/>
        <w:t>transaction accounts was positive</w:t>
      </w:r>
      <w:r>
        <w:t xml:space="preserve"> for households in the bottom quintile</w:t>
      </w:r>
      <w:r w:rsidRPr="00513217">
        <w:t xml:space="preserve"> betwee</w:t>
      </w:r>
      <w:r w:rsidR="003B79E4">
        <w:t>n 1989 and 2013, peaking at 0.02</w:t>
      </w:r>
      <w:r w:rsidRPr="00513217">
        <w:t xml:space="preserve"> in 1</w:t>
      </w:r>
      <w:r w:rsidR="003B79E4">
        <w:t>992 and 1</w:t>
      </w:r>
      <w:r w:rsidRPr="00513217">
        <w:t>995.</w:t>
      </w:r>
      <w:r>
        <w:t xml:space="preserve"> Conversely, the estimate was negative between 1992 and 2013 for households in the top decile, rising in absolute terms from </w:t>
      </w:r>
      <w:r w:rsidR="003B79E4">
        <w:t>-0.55 in 1992 to a peak of -1.59 in 2004.</w:t>
      </w:r>
      <w:r>
        <w:t xml:space="preserve"> </w:t>
      </w:r>
      <w:r w:rsidR="003B79E4">
        <w:t xml:space="preserve">The estimate was not statistically significant in a large number of years for both groups, and the estimates were not statistically different between them in 2001, 2007, 2010, and 2013. </w:t>
      </w:r>
      <w:r w:rsidRPr="00513217">
        <w:t xml:space="preserve">The contribution of relative holdings of retirement and insurance assets was positive </w:t>
      </w:r>
      <w:r w:rsidR="003B79E4">
        <w:t>and close to zero in the</w:t>
      </w:r>
      <w:r w:rsidRPr="00513217">
        <w:t xml:space="preserve"> period</w:t>
      </w:r>
      <w:r>
        <w:t xml:space="preserve"> for households in the bottom quintile</w:t>
      </w:r>
      <w:r w:rsidR="003B79E4">
        <w:t>. In the years when the estimate was statistically significant, it increased from 0.03 in 1995 to 0.1 in 2001 before declining to 0.04 in 2013.</w:t>
      </w:r>
      <w:r w:rsidRPr="00513217">
        <w:t xml:space="preserve"> </w:t>
      </w:r>
      <w:r>
        <w:t xml:space="preserve">For households in the top decile, the estimate was </w:t>
      </w:r>
      <w:r w:rsidR="00256763">
        <w:t>largely</w:t>
      </w:r>
      <w:r>
        <w:t xml:space="preserve"> negative </w:t>
      </w:r>
      <w:r w:rsidR="00256763">
        <w:t xml:space="preserve">(with the exception of 1992 when it was positive and 1995 when it was not statistically significant). The estimate declined in absolute terms from -0.53 in 1989 to -1.01 in 2013. </w:t>
      </w:r>
      <w:r>
        <w:t>The estimates were not statistically different in 1995.</w:t>
      </w:r>
    </w:p>
    <w:p w14:paraId="6A154136" w14:textId="03D6602A" w:rsidR="00A952F7" w:rsidRDefault="00A952F7" w:rsidP="00A952F7">
      <w:r w:rsidRPr="00513217">
        <w:t xml:space="preserve">The </w:t>
      </w:r>
      <w:r w:rsidR="00256763">
        <w:t xml:space="preserve">estimates of the </w:t>
      </w:r>
      <w:r w:rsidRPr="00513217">
        <w:t>median slope</w:t>
      </w:r>
      <w:r w:rsidR="00256763">
        <w:t>s</w:t>
      </w:r>
      <w:r w:rsidRPr="00513217">
        <w:t xml:space="preserve"> of relative holdings of secured debt were </w:t>
      </w:r>
      <w:r w:rsidR="00256763">
        <w:t xml:space="preserve">higher for households in the top decile compared to </w:t>
      </w:r>
      <w:r>
        <w:t>households in the bottom quintile</w:t>
      </w:r>
      <w:r w:rsidR="00256763">
        <w:t xml:space="preserve"> of the income distribution. For the latter group, t</w:t>
      </w:r>
      <w:r>
        <w:t xml:space="preserve">he median slope of relative holdings of mortgages secured by main residence </w:t>
      </w:r>
      <w:r w:rsidR="00256763">
        <w:t>was not statistically significant in 1989, 1992, 1998, and 2004, and fluctuated between 0.02 and 0.04 in the remaining years. For households in the top decile, the estimate rose from -0.71 in 1989 to 0.25 in 1998, becoming negative in 2001 and 2004 before returning to positive values after the Great Recession, reaching 0.55 in 2013. In 1992 and 2007 the estimates were not statistically different between both groups. T</w:t>
      </w:r>
      <w:r w:rsidRPr="00513217">
        <w:t xml:space="preserve">he </w:t>
      </w:r>
      <w:r>
        <w:t>median slope</w:t>
      </w:r>
      <w:r w:rsidRPr="00513217">
        <w:t xml:space="preserve"> of relative holdings of </w:t>
      </w:r>
      <w:r>
        <w:t>debt</w:t>
      </w:r>
      <w:r w:rsidRPr="00513217">
        <w:t xml:space="preserve"> secured by other real estate </w:t>
      </w:r>
      <w:r>
        <w:t xml:space="preserve">for the bottom quintile </w:t>
      </w:r>
      <w:r w:rsidR="00256763">
        <w:t>fluctuated between positive values in 1989, 2001, 2004, and 2013, and negative values</w:t>
      </w:r>
      <w:r w:rsidRPr="00513217">
        <w:t xml:space="preserve"> </w:t>
      </w:r>
      <w:r>
        <w:t xml:space="preserve">in the </w:t>
      </w:r>
      <w:r w:rsidR="00256763">
        <w:t xml:space="preserve">remaining years, falling overall from 0.14 in 1989 to 0.04 in 2013. </w:t>
      </w:r>
      <w:r>
        <w:t>For the top decile, the estimate was positive, rising from 1.1</w:t>
      </w:r>
      <w:r w:rsidR="00256763">
        <w:t>5</w:t>
      </w:r>
      <w:r>
        <w:t xml:space="preserve"> in 1989 to 2.</w:t>
      </w:r>
      <w:r w:rsidR="00256763">
        <w:t>11 in 20</w:t>
      </w:r>
      <w:r>
        <w:t>0</w:t>
      </w:r>
      <w:r w:rsidR="00256763">
        <w:t>7</w:t>
      </w:r>
      <w:r>
        <w:t>, falling to 0.9</w:t>
      </w:r>
      <w:r w:rsidR="00256763">
        <w:t>3</w:t>
      </w:r>
      <w:r>
        <w:t xml:space="preserve"> in 2013.</w:t>
      </w:r>
    </w:p>
    <w:p w14:paraId="1E41EAB6" w14:textId="585DC027" w:rsidR="00A952F7" w:rsidRDefault="00A952F7" w:rsidP="00F476FC">
      <w:r>
        <w:t>Between 1989 and 2001, the median slope of relative holdings of instalment deb</w:t>
      </w:r>
      <w:r w:rsidR="00DF561A">
        <w:t>t was negative for both groups</w:t>
      </w:r>
      <w:r>
        <w:t xml:space="preserve">. The </w:t>
      </w:r>
      <w:r w:rsidR="00DF561A">
        <w:t>effects</w:t>
      </w:r>
      <w:r>
        <w:t xml:space="preserve"> were significantly </w:t>
      </w:r>
      <w:r w:rsidR="00DF561A">
        <w:t>more negative</w:t>
      </w:r>
      <w:r>
        <w:t xml:space="preserve"> for the top decile. Between </w:t>
      </w:r>
      <w:r w:rsidR="00D73C6D">
        <w:t>1998</w:t>
      </w:r>
      <w:r>
        <w:t xml:space="preserve"> and 2013, the estimate for the bottom quintile </w:t>
      </w:r>
      <w:r w:rsidR="00D73C6D">
        <w:t>fluctuated between -0.03 and -0.02 and was not statistically significant between 1989 and 1995 and in 2004 and 2007. T</w:t>
      </w:r>
      <w:r>
        <w:t>he top decile was increasingly negative in that period (with the highest absolute value of -</w:t>
      </w:r>
      <w:r w:rsidR="00D73C6D">
        <w:t>3.29</w:t>
      </w:r>
      <w:r>
        <w:t xml:space="preserve"> in 2007). The median slope of relative holdings of credit card balances was positive for households in the bottom quintile and negative for the top decile between 1989 and 2013. For the former group, the estimate fell from 0.</w:t>
      </w:r>
      <w:r w:rsidR="00D73C6D">
        <w:t xml:space="preserve">04 in 1989 to 0.02 in 2010 and 2013, </w:t>
      </w:r>
      <w:r>
        <w:t>while for the top decile the estimate rose in absolute terms from -</w:t>
      </w:r>
      <w:r w:rsidR="00D73C6D">
        <w:t>5.64</w:t>
      </w:r>
      <w:r>
        <w:t xml:space="preserve"> in 1989 to -</w:t>
      </w:r>
      <w:r w:rsidR="00D73C6D">
        <w:t>9.34</w:t>
      </w:r>
      <w:r>
        <w:t xml:space="preserve"> in 2013</w:t>
      </w:r>
      <w:r w:rsidR="00D73C6D">
        <w:t xml:space="preserve"> (with the lowest value of -1.91 in 2001)</w:t>
      </w:r>
      <w:r>
        <w:t>. The median slope of relative holdings of other types of debt was not statistically different for both groups in 199</w:t>
      </w:r>
      <w:r w:rsidR="00D73C6D">
        <w:t>5, 2007</w:t>
      </w:r>
      <w:r>
        <w:t>, and 2013, with the estimate fluctuating between -0.0</w:t>
      </w:r>
      <w:r w:rsidR="00D73C6D">
        <w:t xml:space="preserve">4 and 0.00 </w:t>
      </w:r>
      <w:r>
        <w:t xml:space="preserve">for the bottom quintile and between </w:t>
      </w:r>
      <w:r w:rsidR="00D73C6D">
        <w:lastRenderedPageBreak/>
        <w:t>-</w:t>
      </w:r>
      <w:r>
        <w:t>0</w:t>
      </w:r>
      <w:r w:rsidR="00D73C6D">
        <w:t>.93</w:t>
      </w:r>
      <w:r>
        <w:t xml:space="preserve"> and </w:t>
      </w:r>
      <w:r w:rsidR="00D73C6D">
        <w:t>5.5</w:t>
      </w:r>
      <w:r>
        <w:t xml:space="preserve"> for the top decile in these years.</w:t>
      </w:r>
      <w:r w:rsidR="00351516">
        <w:t xml:space="preserve"> </w:t>
      </w:r>
      <w:r>
        <w:t xml:space="preserve">In terms of leverage measures, the median slope estimates are found to be consistently negative throughout the period for </w:t>
      </w:r>
      <w:r w:rsidR="00D73C6D">
        <w:t>the top decile</w:t>
      </w:r>
      <w:r>
        <w:t xml:space="preserve">, </w:t>
      </w:r>
      <w:r w:rsidR="00D73C6D">
        <w:t>and positive or not statistically significant for the bottom quintile (with the exception of the median slope of the debt-to-income ratio of -0.29 in 1992). While the estimates were close to zero for this group in the majority of the period, the estimate of the debt-service-to-income ratio increased from 3.42 in 19</w:t>
      </w:r>
      <w:r w:rsidR="0096352B">
        <w:t xml:space="preserve">95 to 4.41 in 2004 </w:t>
      </w:r>
      <w:r w:rsidR="00D73C6D">
        <w:t xml:space="preserve">and reached 3.26 in 2010 after the Great Recession. </w:t>
      </w:r>
    </w:p>
    <w:p w14:paraId="54C344B6" w14:textId="1358CD9A" w:rsidR="00F476FC" w:rsidRDefault="00F476FC" w:rsidP="00270360">
      <w:pPr>
        <w:sectPr w:rsidR="00F476FC" w:rsidSect="005634A0">
          <w:pgSz w:w="11900" w:h="16840"/>
          <w:pgMar w:top="1440" w:right="1440" w:bottom="1440" w:left="1440" w:header="708" w:footer="708" w:gutter="0"/>
          <w:cols w:space="708"/>
          <w:docGrid w:linePitch="360"/>
        </w:sectPr>
      </w:pPr>
      <w:r>
        <w:t>In sum,</w:t>
      </w:r>
      <w:r w:rsidR="0053786E">
        <w:t xml:space="preserve"> there are marked differences in estimates of wealth composition on relative income across the distribution of income. Households in the top 10% are found to benefit disproportionately from </w:t>
      </w:r>
      <w:r w:rsidR="00D73C6D">
        <w:t xml:space="preserve">wealth accumulation and from </w:t>
      </w:r>
      <w:r w:rsidR="0053786E">
        <w:t xml:space="preserve">increasing their relative holdings of other property, business equity, financial investment assets, and secured debt compared </w:t>
      </w:r>
      <w:r w:rsidR="00270360">
        <w:t>to households in the bottom 20%. R</w:t>
      </w:r>
      <w:r w:rsidR="0053786E">
        <w:t>elative income</w:t>
      </w:r>
      <w:r w:rsidR="00270360">
        <w:t xml:space="preserve"> of the latter group</w:t>
      </w:r>
      <w:r w:rsidR="0053786E">
        <w:t xml:space="preserve"> is found to react more to increases in relative holdings of </w:t>
      </w:r>
      <w:r w:rsidR="00270360">
        <w:t>low-yielding assets,</w:t>
      </w:r>
      <w:r w:rsidR="0053786E">
        <w:t xml:space="preserve"> unsecured debt</w:t>
      </w:r>
      <w:r w:rsidR="00270360">
        <w:t>, and leverage (particularly in terms of the debt-service-to-income ratio)</w:t>
      </w:r>
      <w:r w:rsidR="0053786E">
        <w:t xml:space="preserve">. </w:t>
      </w:r>
      <w:r w:rsidR="00270360">
        <w:t xml:space="preserve">The subprime period was associated with higher gains in relative income for </w:t>
      </w:r>
      <w:r w:rsidR="0053786E">
        <w:t xml:space="preserve">households in the top decile from increases in relative holdings of </w:t>
      </w:r>
      <w:r w:rsidR="00270360">
        <w:t>financial investment assets and other property, and debt secured by other real estate.</w:t>
      </w:r>
      <w:r w:rsidR="0053786E">
        <w:t xml:space="preserve"> </w:t>
      </w:r>
    </w:p>
    <w:p w14:paraId="03E17935" w14:textId="228EA12B" w:rsidR="00A952F7" w:rsidRPr="00A952F7" w:rsidRDefault="00A952F7" w:rsidP="00A952F7">
      <w:pPr>
        <w:spacing w:after="0" w:line="240" w:lineRule="auto"/>
        <w:ind w:firstLine="0"/>
        <w:jc w:val="center"/>
        <w:rPr>
          <w:rFonts w:ascii="Times New Roman" w:eastAsia="Calibri" w:hAnsi="Times New Roman" w:cs="Times New Roman"/>
          <w:iCs/>
          <w:color w:val="000000"/>
          <w:sz w:val="24"/>
        </w:rPr>
      </w:pPr>
      <w:r w:rsidRPr="00E56B73">
        <w:rPr>
          <w:rFonts w:ascii="Times New Roman" w:eastAsia="Calibri" w:hAnsi="Times New Roman" w:cs="Times New Roman"/>
          <w:b/>
          <w:iCs/>
          <w:color w:val="000000"/>
          <w:szCs w:val="23"/>
        </w:rPr>
        <w:lastRenderedPageBreak/>
        <w:t xml:space="preserve">Table </w:t>
      </w:r>
      <w:r w:rsidRPr="00E56B73">
        <w:rPr>
          <w:rFonts w:ascii="Times New Roman" w:eastAsia="Calibri" w:hAnsi="Times New Roman" w:cs="Times New Roman"/>
          <w:b/>
          <w:iCs/>
          <w:color w:val="000000"/>
          <w:szCs w:val="23"/>
        </w:rPr>
        <w:fldChar w:fldCharType="begin"/>
      </w:r>
      <w:r w:rsidRPr="00E56B73">
        <w:rPr>
          <w:rFonts w:ascii="Times New Roman" w:eastAsia="Calibri" w:hAnsi="Times New Roman" w:cs="Times New Roman"/>
          <w:b/>
          <w:iCs/>
          <w:color w:val="000000"/>
          <w:szCs w:val="23"/>
        </w:rPr>
        <w:instrText xml:space="preserve"> SEQ Table \* ARABIC </w:instrText>
      </w:r>
      <w:r w:rsidRPr="00E56B73">
        <w:rPr>
          <w:rFonts w:ascii="Times New Roman" w:eastAsia="Calibri" w:hAnsi="Times New Roman" w:cs="Times New Roman"/>
          <w:b/>
          <w:iCs/>
          <w:color w:val="000000"/>
          <w:szCs w:val="23"/>
        </w:rPr>
        <w:fldChar w:fldCharType="separate"/>
      </w:r>
      <w:r w:rsidRPr="00E56B73">
        <w:rPr>
          <w:rFonts w:ascii="Times New Roman" w:eastAsia="Calibri" w:hAnsi="Times New Roman" w:cs="Times New Roman"/>
          <w:b/>
          <w:iCs/>
          <w:noProof/>
          <w:color w:val="000000"/>
          <w:szCs w:val="23"/>
        </w:rPr>
        <w:t>2</w:t>
      </w:r>
      <w:r w:rsidRPr="00E56B73">
        <w:rPr>
          <w:rFonts w:ascii="Times New Roman" w:eastAsia="Calibri" w:hAnsi="Times New Roman" w:cs="Times New Roman"/>
          <w:b/>
          <w:iCs/>
          <w:color w:val="000000"/>
          <w:szCs w:val="23"/>
        </w:rPr>
        <w:fldChar w:fldCharType="end"/>
      </w:r>
      <w:r w:rsidRPr="00E56B73">
        <w:rPr>
          <w:rFonts w:ascii="Times New Roman" w:eastAsia="Calibri" w:hAnsi="Times New Roman" w:cs="Times New Roman"/>
          <w:b/>
          <w:iCs/>
          <w:color w:val="000000"/>
          <w:szCs w:val="23"/>
        </w:rPr>
        <w:t xml:space="preserve">. </w:t>
      </w:r>
      <w:r w:rsidRPr="00E56B73">
        <w:rPr>
          <w:rFonts w:ascii="Times New Roman" w:eastAsia="Calibri" w:hAnsi="Times New Roman" w:cs="Times New Roman"/>
          <w:iCs/>
          <w:color w:val="000000"/>
          <w:szCs w:val="23"/>
        </w:rPr>
        <w:t xml:space="preserve">Theil-Sen median slope for the </w:t>
      </w:r>
      <w:r w:rsidR="00AE300C">
        <w:rPr>
          <w:rFonts w:ascii="Times New Roman" w:eastAsia="Calibri" w:hAnsi="Times New Roman" w:cs="Times New Roman"/>
          <w:iCs/>
          <w:color w:val="000000"/>
          <w:szCs w:val="23"/>
        </w:rPr>
        <w:t>median income ratio</w:t>
      </w:r>
      <w:r w:rsidRPr="00E56B73">
        <w:rPr>
          <w:rFonts w:ascii="Times New Roman" w:eastAsia="Calibri" w:hAnsi="Times New Roman" w:cs="Times New Roman"/>
          <w:iCs/>
          <w:color w:val="000000"/>
          <w:szCs w:val="23"/>
        </w:rPr>
        <w:t>, by percentile of income distribution, 1989-201</w:t>
      </w:r>
      <w:r w:rsidRPr="00A952F7">
        <w:rPr>
          <w:rFonts w:ascii="Times New Roman" w:eastAsia="Calibri" w:hAnsi="Times New Roman" w:cs="Times New Roman"/>
          <w:iCs/>
          <w:color w:val="000000"/>
          <w:sz w:val="24"/>
        </w:rPr>
        <w:t>3</w:t>
      </w:r>
    </w:p>
    <w:tbl>
      <w:tblPr>
        <w:tblpPr w:leftFromText="180" w:rightFromText="180" w:vertAnchor="page" w:horzAnchor="margin" w:tblpXSpec="center" w:tblpY="1996"/>
        <w:tblW w:w="15993" w:type="dxa"/>
        <w:tblLayout w:type="fixed"/>
        <w:tblLook w:val="04A0" w:firstRow="1" w:lastRow="0" w:firstColumn="1" w:lastColumn="0" w:noHBand="0" w:noVBand="1"/>
      </w:tblPr>
      <w:tblGrid>
        <w:gridCol w:w="1701"/>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A952F7" w:rsidRPr="00A952F7" w14:paraId="3C36F73E" w14:textId="77777777" w:rsidTr="00A952F7">
        <w:trPr>
          <w:trHeight w:val="227"/>
        </w:trPr>
        <w:tc>
          <w:tcPr>
            <w:tcW w:w="1701" w:type="dxa"/>
            <w:vMerge w:val="restart"/>
            <w:tcBorders>
              <w:top w:val="single" w:sz="4" w:space="0" w:color="auto"/>
              <w:left w:val="single" w:sz="4" w:space="0" w:color="auto"/>
              <w:right w:val="single" w:sz="4" w:space="0" w:color="auto"/>
            </w:tcBorders>
            <w:shd w:val="clear" w:color="auto" w:fill="auto"/>
            <w:noWrap/>
            <w:vAlign w:val="bottom"/>
            <w:hideMark/>
          </w:tcPr>
          <w:p w14:paraId="3A441E91" w14:textId="17A6EA79" w:rsidR="00A952F7" w:rsidRPr="00A952F7" w:rsidRDefault="00AE300C" w:rsidP="00A952F7">
            <w:pPr>
              <w:spacing w:after="0" w:line="240" w:lineRule="auto"/>
              <w:ind w:firstLine="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Median income ratio</w:t>
            </w:r>
          </w:p>
          <w:p w14:paraId="62557F4F" w14:textId="77777777" w:rsidR="00A952F7" w:rsidRPr="00A952F7" w:rsidRDefault="00A952F7" w:rsidP="00A952F7">
            <w:pPr>
              <w:spacing w:after="0" w:line="240" w:lineRule="auto"/>
              <w:ind w:firstLine="0"/>
              <w:jc w:val="left"/>
              <w:rPr>
                <w:rFonts w:ascii="Times New Roman" w:eastAsia="Times New Roman" w:hAnsi="Times New Roman" w:cs="Times New Roman"/>
                <w:b/>
                <w:bCs/>
                <w:color w:val="000000"/>
                <w:sz w:val="20"/>
                <w:szCs w:val="20"/>
              </w:rPr>
            </w:pPr>
            <w:r w:rsidRPr="00A952F7">
              <w:rPr>
                <w:rFonts w:ascii="Times New Roman" w:eastAsia="Times New Roman" w:hAnsi="Times New Roman" w:cs="Times New Roman"/>
                <w:color w:val="000000"/>
                <w:sz w:val="20"/>
                <w:szCs w:val="20"/>
              </w:rPr>
              <w:t> </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01E35A"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1989</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7BAB85"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1992</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6FCD29"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1995</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1E4814"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1998</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C00B39"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2001</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7B4905"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2004</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AD314F"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2007</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49A481"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2010</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38A5A1" w14:textId="77777777" w:rsidR="00A952F7" w:rsidRPr="00A952F7" w:rsidRDefault="00A952F7" w:rsidP="00A952F7">
            <w:pPr>
              <w:spacing w:after="0" w:line="240" w:lineRule="auto"/>
              <w:ind w:firstLine="0"/>
              <w:jc w:val="center"/>
              <w:rPr>
                <w:rFonts w:ascii="Times New Roman" w:eastAsia="Times New Roman" w:hAnsi="Times New Roman" w:cs="Times New Roman"/>
                <w:b/>
                <w:color w:val="000000"/>
                <w:sz w:val="20"/>
                <w:szCs w:val="20"/>
              </w:rPr>
            </w:pPr>
            <w:r w:rsidRPr="00A952F7">
              <w:rPr>
                <w:rFonts w:ascii="Times New Roman" w:eastAsia="Times New Roman" w:hAnsi="Times New Roman" w:cs="Times New Roman"/>
                <w:b/>
                <w:color w:val="000000"/>
                <w:sz w:val="20"/>
                <w:szCs w:val="20"/>
              </w:rPr>
              <w:t>2013</w:t>
            </w:r>
          </w:p>
        </w:tc>
      </w:tr>
      <w:tr w:rsidR="00A952F7" w:rsidRPr="00A952F7" w14:paraId="5BDF06D3" w14:textId="77777777" w:rsidTr="00A952F7">
        <w:trPr>
          <w:trHeight w:val="227"/>
        </w:trPr>
        <w:tc>
          <w:tcPr>
            <w:tcW w:w="1701" w:type="dxa"/>
            <w:vMerge/>
            <w:tcBorders>
              <w:left w:val="single" w:sz="4" w:space="0" w:color="auto"/>
              <w:bottom w:val="single" w:sz="4" w:space="0" w:color="auto"/>
              <w:right w:val="single" w:sz="4" w:space="0" w:color="auto"/>
            </w:tcBorders>
            <w:shd w:val="clear" w:color="auto" w:fill="auto"/>
            <w:noWrap/>
            <w:vAlign w:val="bottom"/>
            <w:hideMark/>
          </w:tcPr>
          <w:p w14:paraId="23B7D2C7" w14:textId="77777777" w:rsidR="00A952F7" w:rsidRPr="00A952F7" w:rsidRDefault="00A952F7" w:rsidP="00A952F7">
            <w:pPr>
              <w:spacing w:after="0" w:line="240" w:lineRule="auto"/>
              <w:ind w:firstLine="0"/>
              <w:jc w:val="left"/>
              <w:rPr>
                <w:rFonts w:ascii="Times New Roman" w:eastAsia="Times New Roman" w:hAnsi="Times New Roman" w:cs="Times New Roman"/>
                <w:color w:val="000000"/>
                <w:sz w:val="20"/>
                <w:szCs w:val="20"/>
              </w:rPr>
            </w:pPr>
          </w:p>
        </w:tc>
        <w:tc>
          <w:tcPr>
            <w:tcW w:w="794" w:type="dxa"/>
            <w:tcBorders>
              <w:top w:val="single" w:sz="4" w:space="0" w:color="auto"/>
              <w:left w:val="nil"/>
              <w:bottom w:val="single" w:sz="4" w:space="0" w:color="auto"/>
              <w:right w:val="nil"/>
            </w:tcBorders>
            <w:shd w:val="clear" w:color="auto" w:fill="auto"/>
            <w:noWrap/>
            <w:vAlign w:val="center"/>
            <w:hideMark/>
          </w:tcPr>
          <w:p w14:paraId="5E1DDA2F"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3A481843"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c>
          <w:tcPr>
            <w:tcW w:w="794" w:type="dxa"/>
            <w:tcBorders>
              <w:top w:val="single" w:sz="4" w:space="0" w:color="auto"/>
              <w:left w:val="nil"/>
              <w:bottom w:val="single" w:sz="4" w:space="0" w:color="auto"/>
              <w:right w:val="nil"/>
            </w:tcBorders>
            <w:shd w:val="clear" w:color="auto" w:fill="auto"/>
            <w:noWrap/>
            <w:vAlign w:val="center"/>
            <w:hideMark/>
          </w:tcPr>
          <w:p w14:paraId="7AD79E59"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3CE2BEA2"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c>
          <w:tcPr>
            <w:tcW w:w="794" w:type="dxa"/>
            <w:tcBorders>
              <w:top w:val="single" w:sz="4" w:space="0" w:color="auto"/>
              <w:left w:val="nil"/>
              <w:bottom w:val="single" w:sz="4" w:space="0" w:color="auto"/>
              <w:right w:val="nil"/>
            </w:tcBorders>
            <w:shd w:val="clear" w:color="auto" w:fill="auto"/>
            <w:noWrap/>
            <w:vAlign w:val="center"/>
            <w:hideMark/>
          </w:tcPr>
          <w:p w14:paraId="61B821E5"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6FF92E3F"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c>
          <w:tcPr>
            <w:tcW w:w="794" w:type="dxa"/>
            <w:tcBorders>
              <w:top w:val="single" w:sz="4" w:space="0" w:color="auto"/>
              <w:left w:val="nil"/>
              <w:bottom w:val="single" w:sz="4" w:space="0" w:color="auto"/>
              <w:right w:val="nil"/>
            </w:tcBorders>
            <w:shd w:val="clear" w:color="auto" w:fill="auto"/>
            <w:noWrap/>
            <w:vAlign w:val="center"/>
            <w:hideMark/>
          </w:tcPr>
          <w:p w14:paraId="457021D8"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79CF3827"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c>
          <w:tcPr>
            <w:tcW w:w="794" w:type="dxa"/>
            <w:tcBorders>
              <w:top w:val="single" w:sz="4" w:space="0" w:color="auto"/>
              <w:left w:val="nil"/>
              <w:bottom w:val="single" w:sz="4" w:space="0" w:color="auto"/>
              <w:right w:val="nil"/>
            </w:tcBorders>
            <w:shd w:val="clear" w:color="auto" w:fill="auto"/>
            <w:noWrap/>
            <w:vAlign w:val="center"/>
            <w:hideMark/>
          </w:tcPr>
          <w:p w14:paraId="1DAA2476"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234572C0"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c>
          <w:tcPr>
            <w:tcW w:w="794" w:type="dxa"/>
            <w:tcBorders>
              <w:top w:val="single" w:sz="4" w:space="0" w:color="auto"/>
              <w:left w:val="nil"/>
              <w:bottom w:val="single" w:sz="4" w:space="0" w:color="auto"/>
              <w:right w:val="nil"/>
            </w:tcBorders>
            <w:shd w:val="clear" w:color="auto" w:fill="auto"/>
            <w:noWrap/>
            <w:vAlign w:val="center"/>
            <w:hideMark/>
          </w:tcPr>
          <w:p w14:paraId="3A4FE5D9"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26319538"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c>
          <w:tcPr>
            <w:tcW w:w="794" w:type="dxa"/>
            <w:tcBorders>
              <w:top w:val="single" w:sz="4" w:space="0" w:color="auto"/>
              <w:left w:val="nil"/>
              <w:bottom w:val="single" w:sz="4" w:space="0" w:color="auto"/>
              <w:right w:val="nil"/>
            </w:tcBorders>
            <w:shd w:val="clear" w:color="auto" w:fill="auto"/>
            <w:noWrap/>
            <w:vAlign w:val="center"/>
            <w:hideMark/>
          </w:tcPr>
          <w:p w14:paraId="57364196"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577EF2D4"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c>
          <w:tcPr>
            <w:tcW w:w="794" w:type="dxa"/>
            <w:tcBorders>
              <w:top w:val="single" w:sz="4" w:space="0" w:color="auto"/>
              <w:left w:val="nil"/>
              <w:bottom w:val="single" w:sz="4" w:space="0" w:color="auto"/>
              <w:right w:val="nil"/>
            </w:tcBorders>
            <w:shd w:val="clear" w:color="auto" w:fill="auto"/>
            <w:noWrap/>
            <w:vAlign w:val="center"/>
            <w:hideMark/>
          </w:tcPr>
          <w:p w14:paraId="3C3698F7"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15970F6E"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c>
          <w:tcPr>
            <w:tcW w:w="794" w:type="dxa"/>
            <w:tcBorders>
              <w:top w:val="single" w:sz="4" w:space="0" w:color="auto"/>
              <w:left w:val="nil"/>
              <w:bottom w:val="single" w:sz="4" w:space="0" w:color="auto"/>
              <w:right w:val="nil"/>
            </w:tcBorders>
            <w:shd w:val="clear" w:color="auto" w:fill="auto"/>
            <w:noWrap/>
            <w:vAlign w:val="center"/>
            <w:hideMark/>
          </w:tcPr>
          <w:p w14:paraId="5F379E50"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Bottom 20%</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73C15B78" w14:textId="77777777" w:rsidR="00A952F7" w:rsidRPr="00A952F7" w:rsidRDefault="00A952F7" w:rsidP="00A952F7">
            <w:pPr>
              <w:spacing w:after="0" w:line="240" w:lineRule="auto"/>
              <w:ind w:firstLine="0"/>
              <w:jc w:val="center"/>
              <w:rPr>
                <w:rFonts w:ascii="Times New Roman" w:eastAsia="Times New Roman" w:hAnsi="Times New Roman" w:cs="Times New Roman"/>
                <w:color w:val="000000"/>
                <w:sz w:val="18"/>
                <w:szCs w:val="20"/>
              </w:rPr>
            </w:pPr>
            <w:r w:rsidRPr="00A952F7">
              <w:rPr>
                <w:rFonts w:ascii="Times New Roman" w:eastAsia="Times New Roman" w:hAnsi="Times New Roman" w:cs="Times New Roman"/>
                <w:color w:val="000000"/>
                <w:sz w:val="18"/>
                <w:szCs w:val="20"/>
              </w:rPr>
              <w:t>Top 10%</w:t>
            </w:r>
          </w:p>
        </w:tc>
      </w:tr>
      <w:tr w:rsidR="00A952F7" w:rsidRPr="00A952F7" w14:paraId="58927695" w14:textId="77777777" w:rsidTr="00A952F7">
        <w:trPr>
          <w:trHeight w:val="227"/>
        </w:trPr>
        <w:tc>
          <w:tcPr>
            <w:tcW w:w="15993" w:type="dxa"/>
            <w:gridSpan w:val="19"/>
            <w:tcBorders>
              <w:top w:val="nil"/>
              <w:left w:val="single" w:sz="4" w:space="0" w:color="auto"/>
              <w:bottom w:val="single" w:sz="4" w:space="0" w:color="auto"/>
              <w:right w:val="single" w:sz="4" w:space="0" w:color="auto"/>
            </w:tcBorders>
            <w:shd w:val="clear" w:color="auto" w:fill="auto"/>
            <w:noWrap/>
            <w:vAlign w:val="center"/>
            <w:hideMark/>
          </w:tcPr>
          <w:p w14:paraId="1615ACCA" w14:textId="77777777" w:rsidR="00A952F7" w:rsidRPr="00A952F7" w:rsidRDefault="00A952F7" w:rsidP="00A952F7">
            <w:pPr>
              <w:spacing w:before="80" w:after="2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b/>
                <w:bCs/>
                <w:color w:val="000000"/>
                <w:sz w:val="20"/>
                <w:szCs w:val="20"/>
              </w:rPr>
              <w:t>Share of total assets</w:t>
            </w:r>
          </w:p>
        </w:tc>
      </w:tr>
      <w:tr w:rsidR="002F1955" w:rsidRPr="00A952F7" w14:paraId="485D423D"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05DC0AA0"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Primary residence</w:t>
            </w:r>
          </w:p>
        </w:tc>
        <w:tc>
          <w:tcPr>
            <w:tcW w:w="794" w:type="dxa"/>
            <w:tcBorders>
              <w:top w:val="single" w:sz="4" w:space="0" w:color="auto"/>
              <w:left w:val="nil"/>
              <w:bottom w:val="nil"/>
              <w:right w:val="nil"/>
            </w:tcBorders>
            <w:shd w:val="clear" w:color="auto" w:fill="auto"/>
            <w:noWrap/>
            <w:vAlign w:val="center"/>
            <w:hideMark/>
          </w:tcPr>
          <w:p w14:paraId="65903D17" w14:textId="38A54985"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6984988F" w14:textId="5508E9D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-1.66</w:t>
            </w:r>
          </w:p>
        </w:tc>
        <w:tc>
          <w:tcPr>
            <w:tcW w:w="794" w:type="dxa"/>
            <w:tcBorders>
              <w:top w:val="single" w:sz="4" w:space="0" w:color="auto"/>
              <w:left w:val="nil"/>
              <w:bottom w:val="nil"/>
              <w:right w:val="nil"/>
            </w:tcBorders>
            <w:shd w:val="clear" w:color="auto" w:fill="auto"/>
            <w:noWrap/>
            <w:vAlign w:val="center"/>
            <w:hideMark/>
          </w:tcPr>
          <w:p w14:paraId="1EDD93CC" w14:textId="364E4FE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357BB787" w14:textId="463817E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-1.34</w:t>
            </w:r>
          </w:p>
        </w:tc>
        <w:tc>
          <w:tcPr>
            <w:tcW w:w="794" w:type="dxa"/>
            <w:tcBorders>
              <w:top w:val="single" w:sz="4" w:space="0" w:color="auto"/>
              <w:left w:val="nil"/>
              <w:bottom w:val="nil"/>
              <w:right w:val="nil"/>
            </w:tcBorders>
            <w:shd w:val="clear" w:color="auto" w:fill="auto"/>
            <w:noWrap/>
            <w:vAlign w:val="center"/>
            <w:hideMark/>
          </w:tcPr>
          <w:p w14:paraId="663C7548" w14:textId="4274D95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0.03</w:t>
            </w:r>
          </w:p>
        </w:tc>
        <w:tc>
          <w:tcPr>
            <w:tcW w:w="794" w:type="dxa"/>
            <w:tcBorders>
              <w:top w:val="single" w:sz="4" w:space="0" w:color="auto"/>
              <w:left w:val="nil"/>
              <w:bottom w:val="nil"/>
              <w:right w:val="single" w:sz="4" w:space="0" w:color="auto"/>
            </w:tcBorders>
            <w:shd w:val="clear" w:color="000000" w:fill="F2F2F2"/>
            <w:noWrap/>
            <w:vAlign w:val="center"/>
            <w:hideMark/>
          </w:tcPr>
          <w:p w14:paraId="386C30AF" w14:textId="792F2E2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-1.15</w:t>
            </w:r>
          </w:p>
        </w:tc>
        <w:tc>
          <w:tcPr>
            <w:tcW w:w="794" w:type="dxa"/>
            <w:tcBorders>
              <w:top w:val="single" w:sz="4" w:space="0" w:color="auto"/>
              <w:left w:val="nil"/>
              <w:bottom w:val="nil"/>
              <w:right w:val="nil"/>
            </w:tcBorders>
            <w:shd w:val="clear" w:color="auto" w:fill="auto"/>
            <w:noWrap/>
            <w:vAlign w:val="center"/>
            <w:hideMark/>
          </w:tcPr>
          <w:p w14:paraId="29948823" w14:textId="79EA9DB5"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42376308" w14:textId="00B6629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-1.40</w:t>
            </w:r>
          </w:p>
        </w:tc>
        <w:tc>
          <w:tcPr>
            <w:tcW w:w="794" w:type="dxa"/>
            <w:tcBorders>
              <w:top w:val="single" w:sz="4" w:space="0" w:color="auto"/>
              <w:left w:val="nil"/>
              <w:bottom w:val="nil"/>
              <w:right w:val="nil"/>
            </w:tcBorders>
            <w:shd w:val="clear" w:color="auto" w:fill="auto"/>
            <w:noWrap/>
            <w:vAlign w:val="center"/>
            <w:hideMark/>
          </w:tcPr>
          <w:p w14:paraId="61DF0C36" w14:textId="7F0F967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44E45972" w14:textId="5440D4A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-1.58</w:t>
            </w:r>
          </w:p>
        </w:tc>
        <w:tc>
          <w:tcPr>
            <w:tcW w:w="794" w:type="dxa"/>
            <w:tcBorders>
              <w:top w:val="single" w:sz="4" w:space="0" w:color="auto"/>
              <w:left w:val="nil"/>
              <w:bottom w:val="nil"/>
              <w:right w:val="nil"/>
            </w:tcBorders>
            <w:shd w:val="clear" w:color="auto" w:fill="auto"/>
            <w:noWrap/>
            <w:vAlign w:val="center"/>
            <w:hideMark/>
          </w:tcPr>
          <w:p w14:paraId="07483E7D" w14:textId="46C3BE7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single" w:sz="4" w:space="0" w:color="auto"/>
              <w:left w:val="nil"/>
              <w:bottom w:val="nil"/>
              <w:right w:val="single" w:sz="4" w:space="0" w:color="auto"/>
            </w:tcBorders>
            <w:shd w:val="clear" w:color="000000" w:fill="F2F2F2"/>
            <w:noWrap/>
            <w:vAlign w:val="center"/>
            <w:hideMark/>
          </w:tcPr>
          <w:p w14:paraId="7991ED3D" w14:textId="355935F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-1.92</w:t>
            </w:r>
          </w:p>
        </w:tc>
        <w:tc>
          <w:tcPr>
            <w:tcW w:w="794" w:type="dxa"/>
            <w:tcBorders>
              <w:top w:val="single" w:sz="4" w:space="0" w:color="auto"/>
              <w:left w:val="nil"/>
              <w:bottom w:val="nil"/>
              <w:right w:val="nil"/>
            </w:tcBorders>
            <w:shd w:val="clear" w:color="auto" w:fill="auto"/>
            <w:noWrap/>
            <w:vAlign w:val="center"/>
            <w:hideMark/>
          </w:tcPr>
          <w:p w14:paraId="6E474753" w14:textId="54D3F09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single" w:sz="4" w:space="0" w:color="auto"/>
              <w:left w:val="nil"/>
              <w:bottom w:val="nil"/>
              <w:right w:val="single" w:sz="4" w:space="0" w:color="auto"/>
            </w:tcBorders>
            <w:shd w:val="clear" w:color="000000" w:fill="F2F2F2"/>
            <w:noWrap/>
            <w:vAlign w:val="center"/>
            <w:hideMark/>
          </w:tcPr>
          <w:p w14:paraId="3F883942" w14:textId="4D22DF9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-2.33</w:t>
            </w:r>
          </w:p>
        </w:tc>
        <w:tc>
          <w:tcPr>
            <w:tcW w:w="794" w:type="dxa"/>
            <w:tcBorders>
              <w:top w:val="single" w:sz="4" w:space="0" w:color="auto"/>
              <w:left w:val="nil"/>
              <w:bottom w:val="nil"/>
              <w:right w:val="nil"/>
            </w:tcBorders>
            <w:shd w:val="clear" w:color="auto" w:fill="auto"/>
            <w:noWrap/>
            <w:vAlign w:val="center"/>
            <w:hideMark/>
          </w:tcPr>
          <w:p w14:paraId="6809676D" w14:textId="0723453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0.03</w:t>
            </w:r>
          </w:p>
        </w:tc>
        <w:tc>
          <w:tcPr>
            <w:tcW w:w="794" w:type="dxa"/>
            <w:tcBorders>
              <w:top w:val="single" w:sz="4" w:space="0" w:color="auto"/>
              <w:left w:val="nil"/>
              <w:bottom w:val="nil"/>
              <w:right w:val="single" w:sz="4" w:space="0" w:color="auto"/>
            </w:tcBorders>
            <w:shd w:val="clear" w:color="000000" w:fill="F2F2F2"/>
            <w:noWrap/>
            <w:vAlign w:val="center"/>
            <w:hideMark/>
          </w:tcPr>
          <w:p w14:paraId="4BD1A141" w14:textId="0731292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-1.65</w:t>
            </w:r>
          </w:p>
        </w:tc>
        <w:tc>
          <w:tcPr>
            <w:tcW w:w="794" w:type="dxa"/>
            <w:tcBorders>
              <w:top w:val="single" w:sz="4" w:space="0" w:color="auto"/>
              <w:left w:val="nil"/>
              <w:bottom w:val="nil"/>
              <w:right w:val="nil"/>
            </w:tcBorders>
            <w:shd w:val="clear" w:color="auto" w:fill="auto"/>
            <w:noWrap/>
            <w:vAlign w:val="center"/>
            <w:hideMark/>
          </w:tcPr>
          <w:p w14:paraId="44242097" w14:textId="55F2F29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390322DD" w14:textId="3CA05AA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-2.05</w:t>
            </w:r>
          </w:p>
        </w:tc>
      </w:tr>
      <w:tr w:rsidR="002F1955" w:rsidRPr="00A952F7" w14:paraId="01E8AA06"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3CC302B7"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Other property</w:t>
            </w:r>
          </w:p>
        </w:tc>
        <w:tc>
          <w:tcPr>
            <w:tcW w:w="794" w:type="dxa"/>
            <w:tcBorders>
              <w:top w:val="nil"/>
              <w:left w:val="nil"/>
              <w:bottom w:val="nil"/>
              <w:right w:val="nil"/>
            </w:tcBorders>
            <w:shd w:val="clear" w:color="auto" w:fill="auto"/>
            <w:noWrap/>
            <w:vAlign w:val="center"/>
            <w:hideMark/>
          </w:tcPr>
          <w:p w14:paraId="204BF72E" w14:textId="45904BBE"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0.15</w:t>
            </w:r>
          </w:p>
        </w:tc>
        <w:tc>
          <w:tcPr>
            <w:tcW w:w="794" w:type="dxa"/>
            <w:tcBorders>
              <w:top w:val="nil"/>
              <w:left w:val="nil"/>
              <w:bottom w:val="nil"/>
              <w:right w:val="single" w:sz="4" w:space="0" w:color="auto"/>
            </w:tcBorders>
            <w:shd w:val="clear" w:color="000000" w:fill="F2F2F2"/>
            <w:noWrap/>
            <w:vAlign w:val="center"/>
            <w:hideMark/>
          </w:tcPr>
          <w:p w14:paraId="1D566B3E" w14:textId="385C820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0.76</w:t>
            </w:r>
          </w:p>
        </w:tc>
        <w:tc>
          <w:tcPr>
            <w:tcW w:w="794" w:type="dxa"/>
            <w:tcBorders>
              <w:top w:val="nil"/>
              <w:left w:val="nil"/>
              <w:bottom w:val="nil"/>
              <w:right w:val="nil"/>
            </w:tcBorders>
            <w:shd w:val="clear" w:color="auto" w:fill="auto"/>
            <w:noWrap/>
            <w:vAlign w:val="center"/>
            <w:hideMark/>
          </w:tcPr>
          <w:p w14:paraId="175CE099" w14:textId="35DAE71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0.06</w:t>
            </w:r>
          </w:p>
        </w:tc>
        <w:tc>
          <w:tcPr>
            <w:tcW w:w="794" w:type="dxa"/>
            <w:tcBorders>
              <w:top w:val="nil"/>
              <w:left w:val="nil"/>
              <w:bottom w:val="nil"/>
              <w:right w:val="single" w:sz="4" w:space="0" w:color="auto"/>
            </w:tcBorders>
            <w:shd w:val="clear" w:color="000000" w:fill="F2F2F2"/>
            <w:noWrap/>
            <w:vAlign w:val="center"/>
            <w:hideMark/>
          </w:tcPr>
          <w:p w14:paraId="61211476" w14:textId="1CCBA72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1.40</w:t>
            </w:r>
          </w:p>
        </w:tc>
        <w:tc>
          <w:tcPr>
            <w:tcW w:w="794" w:type="dxa"/>
            <w:tcBorders>
              <w:top w:val="nil"/>
              <w:left w:val="nil"/>
              <w:bottom w:val="nil"/>
              <w:right w:val="nil"/>
            </w:tcBorders>
            <w:shd w:val="clear" w:color="auto" w:fill="auto"/>
            <w:noWrap/>
            <w:vAlign w:val="center"/>
            <w:hideMark/>
          </w:tcPr>
          <w:p w14:paraId="4D1AECA0" w14:textId="3729D78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1CF49656" w14:textId="0EB3E87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1.80</w:t>
            </w:r>
          </w:p>
        </w:tc>
        <w:tc>
          <w:tcPr>
            <w:tcW w:w="794" w:type="dxa"/>
            <w:tcBorders>
              <w:top w:val="nil"/>
              <w:left w:val="nil"/>
              <w:bottom w:val="nil"/>
              <w:right w:val="nil"/>
            </w:tcBorders>
            <w:shd w:val="clear" w:color="auto" w:fill="auto"/>
            <w:noWrap/>
            <w:vAlign w:val="center"/>
            <w:hideMark/>
          </w:tcPr>
          <w:p w14:paraId="6E381D68" w14:textId="0243914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0.06</w:t>
            </w:r>
          </w:p>
        </w:tc>
        <w:tc>
          <w:tcPr>
            <w:tcW w:w="794" w:type="dxa"/>
            <w:tcBorders>
              <w:top w:val="nil"/>
              <w:left w:val="nil"/>
              <w:bottom w:val="nil"/>
              <w:right w:val="single" w:sz="4" w:space="0" w:color="auto"/>
            </w:tcBorders>
            <w:shd w:val="clear" w:color="000000" w:fill="F2F2F2"/>
            <w:noWrap/>
            <w:vAlign w:val="center"/>
            <w:hideMark/>
          </w:tcPr>
          <w:p w14:paraId="79CD1983" w14:textId="50FD6B4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1.76</w:t>
            </w:r>
          </w:p>
        </w:tc>
        <w:tc>
          <w:tcPr>
            <w:tcW w:w="794" w:type="dxa"/>
            <w:tcBorders>
              <w:top w:val="nil"/>
              <w:left w:val="nil"/>
              <w:bottom w:val="nil"/>
              <w:right w:val="nil"/>
            </w:tcBorders>
            <w:shd w:val="clear" w:color="auto" w:fill="auto"/>
            <w:noWrap/>
            <w:vAlign w:val="center"/>
            <w:hideMark/>
          </w:tcPr>
          <w:p w14:paraId="4C58A4CF" w14:textId="1CA2675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7FB77A87" w14:textId="5B3CA6F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2.56</w:t>
            </w:r>
          </w:p>
        </w:tc>
        <w:tc>
          <w:tcPr>
            <w:tcW w:w="794" w:type="dxa"/>
            <w:tcBorders>
              <w:top w:val="nil"/>
              <w:left w:val="nil"/>
              <w:bottom w:val="nil"/>
              <w:right w:val="nil"/>
            </w:tcBorders>
            <w:shd w:val="clear" w:color="auto" w:fill="auto"/>
            <w:noWrap/>
            <w:vAlign w:val="center"/>
            <w:hideMark/>
          </w:tcPr>
          <w:p w14:paraId="3CE48B5F" w14:textId="312A13C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0.03</w:t>
            </w:r>
          </w:p>
        </w:tc>
        <w:tc>
          <w:tcPr>
            <w:tcW w:w="794" w:type="dxa"/>
            <w:tcBorders>
              <w:top w:val="nil"/>
              <w:left w:val="nil"/>
              <w:bottom w:val="nil"/>
              <w:right w:val="single" w:sz="4" w:space="0" w:color="auto"/>
            </w:tcBorders>
            <w:shd w:val="clear" w:color="000000" w:fill="F2F2F2"/>
            <w:noWrap/>
            <w:vAlign w:val="center"/>
            <w:hideMark/>
          </w:tcPr>
          <w:p w14:paraId="26C39EF2" w14:textId="7A3D4AF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2.54</w:t>
            </w:r>
          </w:p>
        </w:tc>
        <w:tc>
          <w:tcPr>
            <w:tcW w:w="794" w:type="dxa"/>
            <w:tcBorders>
              <w:top w:val="nil"/>
              <w:left w:val="nil"/>
              <w:bottom w:val="nil"/>
              <w:right w:val="nil"/>
            </w:tcBorders>
            <w:shd w:val="clear" w:color="auto" w:fill="auto"/>
            <w:noWrap/>
            <w:vAlign w:val="center"/>
            <w:hideMark/>
          </w:tcPr>
          <w:p w14:paraId="39B55ED0" w14:textId="3758121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7E03348A" w14:textId="6A86236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1.88</w:t>
            </w:r>
          </w:p>
        </w:tc>
        <w:tc>
          <w:tcPr>
            <w:tcW w:w="794" w:type="dxa"/>
            <w:tcBorders>
              <w:top w:val="nil"/>
              <w:left w:val="nil"/>
              <w:bottom w:val="nil"/>
              <w:right w:val="nil"/>
            </w:tcBorders>
            <w:shd w:val="clear" w:color="auto" w:fill="auto"/>
            <w:noWrap/>
            <w:vAlign w:val="center"/>
            <w:hideMark/>
          </w:tcPr>
          <w:p w14:paraId="5C039050" w14:textId="48231962"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0FC42269" w14:textId="3FB178A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1.38</w:t>
            </w:r>
          </w:p>
        </w:tc>
        <w:tc>
          <w:tcPr>
            <w:tcW w:w="794" w:type="dxa"/>
            <w:tcBorders>
              <w:top w:val="nil"/>
              <w:left w:val="nil"/>
              <w:bottom w:val="nil"/>
              <w:right w:val="nil"/>
            </w:tcBorders>
            <w:shd w:val="clear" w:color="auto" w:fill="auto"/>
            <w:noWrap/>
            <w:vAlign w:val="center"/>
            <w:hideMark/>
          </w:tcPr>
          <w:p w14:paraId="7268C559" w14:textId="006EC1E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0.09</w:t>
            </w:r>
          </w:p>
        </w:tc>
        <w:tc>
          <w:tcPr>
            <w:tcW w:w="794" w:type="dxa"/>
            <w:tcBorders>
              <w:top w:val="nil"/>
              <w:left w:val="nil"/>
              <w:bottom w:val="nil"/>
              <w:right w:val="single" w:sz="4" w:space="0" w:color="auto"/>
            </w:tcBorders>
            <w:shd w:val="clear" w:color="000000" w:fill="F2F2F2"/>
            <w:noWrap/>
            <w:vAlign w:val="center"/>
            <w:hideMark/>
          </w:tcPr>
          <w:p w14:paraId="3867D1CE" w14:textId="2ADF1C6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1.61</w:t>
            </w:r>
          </w:p>
        </w:tc>
      </w:tr>
      <w:tr w:rsidR="002F1955" w:rsidRPr="00A952F7" w14:paraId="26BD55F0"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55CF6805"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Vehicles and other non-financial assets</w:t>
            </w:r>
          </w:p>
        </w:tc>
        <w:tc>
          <w:tcPr>
            <w:tcW w:w="794" w:type="dxa"/>
            <w:tcBorders>
              <w:top w:val="nil"/>
              <w:left w:val="nil"/>
              <w:bottom w:val="nil"/>
              <w:right w:val="nil"/>
            </w:tcBorders>
            <w:shd w:val="clear" w:color="auto" w:fill="auto"/>
            <w:noWrap/>
            <w:vAlign w:val="center"/>
            <w:hideMark/>
          </w:tcPr>
          <w:p w14:paraId="10D6585F" w14:textId="07ACE872"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0A08E2BF" w14:textId="27C060B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-7.07</w:t>
            </w:r>
          </w:p>
        </w:tc>
        <w:tc>
          <w:tcPr>
            <w:tcW w:w="794" w:type="dxa"/>
            <w:tcBorders>
              <w:top w:val="nil"/>
              <w:left w:val="nil"/>
              <w:bottom w:val="nil"/>
              <w:right w:val="nil"/>
            </w:tcBorders>
            <w:shd w:val="clear" w:color="auto" w:fill="auto"/>
            <w:noWrap/>
            <w:vAlign w:val="center"/>
            <w:hideMark/>
          </w:tcPr>
          <w:p w14:paraId="11EF6FA3" w14:textId="6842328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0.01</w:t>
            </w:r>
          </w:p>
        </w:tc>
        <w:tc>
          <w:tcPr>
            <w:tcW w:w="794" w:type="dxa"/>
            <w:tcBorders>
              <w:top w:val="nil"/>
              <w:left w:val="nil"/>
              <w:bottom w:val="nil"/>
              <w:right w:val="single" w:sz="4" w:space="0" w:color="auto"/>
            </w:tcBorders>
            <w:shd w:val="clear" w:color="000000" w:fill="F2F2F2"/>
            <w:noWrap/>
            <w:vAlign w:val="center"/>
            <w:hideMark/>
          </w:tcPr>
          <w:p w14:paraId="299A872C" w14:textId="472AD09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-4.73</w:t>
            </w:r>
          </w:p>
        </w:tc>
        <w:tc>
          <w:tcPr>
            <w:tcW w:w="794" w:type="dxa"/>
            <w:tcBorders>
              <w:top w:val="nil"/>
              <w:left w:val="nil"/>
              <w:bottom w:val="nil"/>
              <w:right w:val="nil"/>
            </w:tcBorders>
            <w:shd w:val="clear" w:color="auto" w:fill="auto"/>
            <w:noWrap/>
            <w:vAlign w:val="center"/>
            <w:hideMark/>
          </w:tcPr>
          <w:p w14:paraId="28407D5A" w14:textId="4870641C"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color w:val="000000"/>
                <w:sz w:val="20"/>
                <w:szCs w:val="20"/>
              </w:rPr>
              <w:t>0.01</w:t>
            </w:r>
          </w:p>
        </w:tc>
        <w:tc>
          <w:tcPr>
            <w:tcW w:w="794" w:type="dxa"/>
            <w:tcBorders>
              <w:top w:val="nil"/>
              <w:left w:val="nil"/>
              <w:bottom w:val="nil"/>
              <w:right w:val="single" w:sz="4" w:space="0" w:color="auto"/>
            </w:tcBorders>
            <w:shd w:val="clear" w:color="000000" w:fill="F2F2F2"/>
            <w:noWrap/>
            <w:vAlign w:val="center"/>
            <w:hideMark/>
          </w:tcPr>
          <w:p w14:paraId="4D159B6B" w14:textId="7101A34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-4.40</w:t>
            </w:r>
          </w:p>
        </w:tc>
        <w:tc>
          <w:tcPr>
            <w:tcW w:w="794" w:type="dxa"/>
            <w:tcBorders>
              <w:top w:val="nil"/>
              <w:left w:val="nil"/>
              <w:bottom w:val="nil"/>
              <w:right w:val="nil"/>
            </w:tcBorders>
            <w:shd w:val="clear" w:color="auto" w:fill="auto"/>
            <w:noWrap/>
            <w:vAlign w:val="center"/>
            <w:hideMark/>
          </w:tcPr>
          <w:p w14:paraId="50F83AC7" w14:textId="6B90982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0.04</w:t>
            </w:r>
          </w:p>
        </w:tc>
        <w:tc>
          <w:tcPr>
            <w:tcW w:w="794" w:type="dxa"/>
            <w:tcBorders>
              <w:top w:val="nil"/>
              <w:left w:val="nil"/>
              <w:bottom w:val="nil"/>
              <w:right w:val="single" w:sz="4" w:space="0" w:color="auto"/>
            </w:tcBorders>
            <w:shd w:val="clear" w:color="000000" w:fill="F2F2F2"/>
            <w:noWrap/>
            <w:vAlign w:val="center"/>
            <w:hideMark/>
          </w:tcPr>
          <w:p w14:paraId="5DF3B524" w14:textId="75AFBCB2"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-5.62</w:t>
            </w:r>
          </w:p>
        </w:tc>
        <w:tc>
          <w:tcPr>
            <w:tcW w:w="794" w:type="dxa"/>
            <w:tcBorders>
              <w:top w:val="nil"/>
              <w:left w:val="nil"/>
              <w:bottom w:val="nil"/>
              <w:right w:val="nil"/>
            </w:tcBorders>
            <w:shd w:val="clear" w:color="auto" w:fill="auto"/>
            <w:noWrap/>
            <w:vAlign w:val="center"/>
            <w:hideMark/>
          </w:tcPr>
          <w:p w14:paraId="6978FF8A" w14:textId="4602C1A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61F04CB0" w14:textId="2C2A3FA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-10.57</w:t>
            </w:r>
          </w:p>
        </w:tc>
        <w:tc>
          <w:tcPr>
            <w:tcW w:w="794" w:type="dxa"/>
            <w:tcBorders>
              <w:top w:val="nil"/>
              <w:left w:val="nil"/>
              <w:bottom w:val="nil"/>
              <w:right w:val="nil"/>
            </w:tcBorders>
            <w:shd w:val="clear" w:color="auto" w:fill="auto"/>
            <w:noWrap/>
            <w:vAlign w:val="center"/>
            <w:hideMark/>
          </w:tcPr>
          <w:p w14:paraId="5ABAE9EE" w14:textId="03F700F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0.01</w:t>
            </w:r>
          </w:p>
        </w:tc>
        <w:tc>
          <w:tcPr>
            <w:tcW w:w="794" w:type="dxa"/>
            <w:tcBorders>
              <w:top w:val="nil"/>
              <w:left w:val="nil"/>
              <w:bottom w:val="nil"/>
              <w:right w:val="single" w:sz="4" w:space="0" w:color="auto"/>
            </w:tcBorders>
            <w:shd w:val="clear" w:color="000000" w:fill="F2F2F2"/>
            <w:noWrap/>
            <w:vAlign w:val="center"/>
            <w:hideMark/>
          </w:tcPr>
          <w:p w14:paraId="4FAD422D" w14:textId="41ED1C5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-11.45</w:t>
            </w:r>
          </w:p>
        </w:tc>
        <w:tc>
          <w:tcPr>
            <w:tcW w:w="794" w:type="dxa"/>
            <w:tcBorders>
              <w:top w:val="nil"/>
              <w:left w:val="nil"/>
              <w:bottom w:val="nil"/>
              <w:right w:val="nil"/>
            </w:tcBorders>
            <w:shd w:val="clear" w:color="auto" w:fill="auto"/>
            <w:noWrap/>
            <w:vAlign w:val="center"/>
            <w:hideMark/>
          </w:tcPr>
          <w:p w14:paraId="44D095B5" w14:textId="26E25AE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110C2709" w14:textId="2C00F5F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-14.76</w:t>
            </w:r>
          </w:p>
        </w:tc>
        <w:tc>
          <w:tcPr>
            <w:tcW w:w="794" w:type="dxa"/>
            <w:tcBorders>
              <w:top w:val="nil"/>
              <w:left w:val="nil"/>
              <w:bottom w:val="nil"/>
              <w:right w:val="nil"/>
            </w:tcBorders>
            <w:shd w:val="clear" w:color="auto" w:fill="auto"/>
            <w:noWrap/>
            <w:vAlign w:val="center"/>
            <w:hideMark/>
          </w:tcPr>
          <w:p w14:paraId="1A42356D" w14:textId="1912BC0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79085011" w14:textId="36BC6FD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-12.84</w:t>
            </w:r>
          </w:p>
        </w:tc>
        <w:tc>
          <w:tcPr>
            <w:tcW w:w="794" w:type="dxa"/>
            <w:tcBorders>
              <w:top w:val="nil"/>
              <w:left w:val="nil"/>
              <w:bottom w:val="nil"/>
              <w:right w:val="nil"/>
            </w:tcBorders>
            <w:shd w:val="clear" w:color="auto" w:fill="auto"/>
            <w:noWrap/>
            <w:vAlign w:val="center"/>
            <w:hideMark/>
          </w:tcPr>
          <w:p w14:paraId="4EF4823A" w14:textId="210E530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1534D433" w14:textId="160BB01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-16.40</w:t>
            </w:r>
          </w:p>
        </w:tc>
      </w:tr>
      <w:tr w:rsidR="002F1955" w:rsidRPr="00A952F7" w14:paraId="7A5C5464"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48968E83"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Business equity</w:t>
            </w:r>
          </w:p>
        </w:tc>
        <w:tc>
          <w:tcPr>
            <w:tcW w:w="794" w:type="dxa"/>
            <w:tcBorders>
              <w:top w:val="nil"/>
              <w:left w:val="nil"/>
              <w:bottom w:val="nil"/>
              <w:right w:val="nil"/>
            </w:tcBorders>
            <w:shd w:val="clear" w:color="auto" w:fill="auto"/>
            <w:noWrap/>
            <w:vAlign w:val="center"/>
            <w:hideMark/>
          </w:tcPr>
          <w:p w14:paraId="52E60584" w14:textId="18E6F88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-0.12</w:t>
            </w:r>
          </w:p>
        </w:tc>
        <w:tc>
          <w:tcPr>
            <w:tcW w:w="794" w:type="dxa"/>
            <w:tcBorders>
              <w:top w:val="nil"/>
              <w:left w:val="nil"/>
              <w:bottom w:val="nil"/>
              <w:right w:val="single" w:sz="4" w:space="0" w:color="auto"/>
            </w:tcBorders>
            <w:shd w:val="clear" w:color="000000" w:fill="F2F2F2"/>
            <w:noWrap/>
            <w:vAlign w:val="center"/>
            <w:hideMark/>
          </w:tcPr>
          <w:p w14:paraId="5D6E6F32" w14:textId="1568EB9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2.43</w:t>
            </w:r>
          </w:p>
        </w:tc>
        <w:tc>
          <w:tcPr>
            <w:tcW w:w="794" w:type="dxa"/>
            <w:tcBorders>
              <w:top w:val="nil"/>
              <w:left w:val="nil"/>
              <w:bottom w:val="nil"/>
              <w:right w:val="nil"/>
            </w:tcBorders>
            <w:shd w:val="clear" w:color="auto" w:fill="auto"/>
            <w:noWrap/>
            <w:vAlign w:val="center"/>
            <w:hideMark/>
          </w:tcPr>
          <w:p w14:paraId="70ACAD9F" w14:textId="2CDF21C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0.08</w:t>
            </w:r>
          </w:p>
        </w:tc>
        <w:tc>
          <w:tcPr>
            <w:tcW w:w="794" w:type="dxa"/>
            <w:tcBorders>
              <w:top w:val="nil"/>
              <w:left w:val="nil"/>
              <w:bottom w:val="nil"/>
              <w:right w:val="single" w:sz="4" w:space="0" w:color="auto"/>
            </w:tcBorders>
            <w:shd w:val="clear" w:color="000000" w:fill="F2F2F2"/>
            <w:noWrap/>
            <w:vAlign w:val="center"/>
            <w:hideMark/>
          </w:tcPr>
          <w:p w14:paraId="2B8DB283" w14:textId="0DA9F6B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2.74</w:t>
            </w:r>
          </w:p>
        </w:tc>
        <w:tc>
          <w:tcPr>
            <w:tcW w:w="794" w:type="dxa"/>
            <w:tcBorders>
              <w:top w:val="nil"/>
              <w:left w:val="nil"/>
              <w:bottom w:val="nil"/>
              <w:right w:val="nil"/>
            </w:tcBorders>
            <w:shd w:val="clear" w:color="auto" w:fill="auto"/>
            <w:noWrap/>
            <w:vAlign w:val="center"/>
            <w:hideMark/>
          </w:tcPr>
          <w:p w14:paraId="760607E7" w14:textId="419C3DC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-0.08</w:t>
            </w:r>
          </w:p>
        </w:tc>
        <w:tc>
          <w:tcPr>
            <w:tcW w:w="794" w:type="dxa"/>
            <w:tcBorders>
              <w:top w:val="nil"/>
              <w:left w:val="nil"/>
              <w:bottom w:val="nil"/>
              <w:right w:val="single" w:sz="4" w:space="0" w:color="auto"/>
            </w:tcBorders>
            <w:shd w:val="clear" w:color="000000" w:fill="F2F2F2"/>
            <w:noWrap/>
            <w:vAlign w:val="center"/>
            <w:hideMark/>
          </w:tcPr>
          <w:p w14:paraId="606A3196" w14:textId="1FCEF7C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2.55</w:t>
            </w:r>
          </w:p>
        </w:tc>
        <w:tc>
          <w:tcPr>
            <w:tcW w:w="794" w:type="dxa"/>
            <w:tcBorders>
              <w:top w:val="nil"/>
              <w:left w:val="nil"/>
              <w:bottom w:val="nil"/>
              <w:right w:val="nil"/>
            </w:tcBorders>
            <w:shd w:val="clear" w:color="auto" w:fill="auto"/>
            <w:noWrap/>
            <w:vAlign w:val="center"/>
            <w:hideMark/>
          </w:tcPr>
          <w:p w14:paraId="64FD2D51" w14:textId="0359665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-0.08</w:t>
            </w:r>
          </w:p>
        </w:tc>
        <w:tc>
          <w:tcPr>
            <w:tcW w:w="794" w:type="dxa"/>
            <w:tcBorders>
              <w:top w:val="nil"/>
              <w:left w:val="nil"/>
              <w:bottom w:val="nil"/>
              <w:right w:val="single" w:sz="4" w:space="0" w:color="auto"/>
            </w:tcBorders>
            <w:shd w:val="clear" w:color="000000" w:fill="F2F2F2"/>
            <w:noWrap/>
            <w:vAlign w:val="center"/>
            <w:hideMark/>
          </w:tcPr>
          <w:p w14:paraId="5FC076DB" w14:textId="3087127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4.06</w:t>
            </w:r>
          </w:p>
        </w:tc>
        <w:tc>
          <w:tcPr>
            <w:tcW w:w="794" w:type="dxa"/>
            <w:tcBorders>
              <w:top w:val="nil"/>
              <w:left w:val="nil"/>
              <w:bottom w:val="nil"/>
              <w:right w:val="nil"/>
            </w:tcBorders>
            <w:shd w:val="clear" w:color="auto" w:fill="auto"/>
            <w:noWrap/>
            <w:vAlign w:val="center"/>
            <w:hideMark/>
          </w:tcPr>
          <w:p w14:paraId="759CA81E" w14:textId="547AB5E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5EA6AB5" w14:textId="25077B22"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5.85</w:t>
            </w:r>
          </w:p>
        </w:tc>
        <w:tc>
          <w:tcPr>
            <w:tcW w:w="794" w:type="dxa"/>
            <w:tcBorders>
              <w:top w:val="nil"/>
              <w:left w:val="nil"/>
              <w:bottom w:val="nil"/>
              <w:right w:val="nil"/>
            </w:tcBorders>
            <w:shd w:val="clear" w:color="auto" w:fill="auto"/>
            <w:noWrap/>
            <w:vAlign w:val="center"/>
            <w:hideMark/>
          </w:tcPr>
          <w:p w14:paraId="5D0C5321" w14:textId="7290BE6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3CDE0DBA" w14:textId="3184605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4.29</w:t>
            </w:r>
          </w:p>
        </w:tc>
        <w:tc>
          <w:tcPr>
            <w:tcW w:w="794" w:type="dxa"/>
            <w:tcBorders>
              <w:top w:val="nil"/>
              <w:left w:val="nil"/>
              <w:bottom w:val="nil"/>
              <w:right w:val="nil"/>
            </w:tcBorders>
            <w:shd w:val="clear" w:color="auto" w:fill="auto"/>
            <w:noWrap/>
            <w:vAlign w:val="center"/>
            <w:hideMark/>
          </w:tcPr>
          <w:p w14:paraId="2DC17243" w14:textId="18B6126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-0.23</w:t>
            </w:r>
          </w:p>
        </w:tc>
        <w:tc>
          <w:tcPr>
            <w:tcW w:w="794" w:type="dxa"/>
            <w:tcBorders>
              <w:top w:val="nil"/>
              <w:left w:val="nil"/>
              <w:bottom w:val="nil"/>
              <w:right w:val="single" w:sz="4" w:space="0" w:color="auto"/>
            </w:tcBorders>
            <w:shd w:val="clear" w:color="000000" w:fill="F2F2F2"/>
            <w:noWrap/>
            <w:vAlign w:val="center"/>
            <w:hideMark/>
          </w:tcPr>
          <w:p w14:paraId="71493813" w14:textId="60898C2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3.64</w:t>
            </w:r>
          </w:p>
        </w:tc>
        <w:tc>
          <w:tcPr>
            <w:tcW w:w="794" w:type="dxa"/>
            <w:tcBorders>
              <w:top w:val="nil"/>
              <w:left w:val="nil"/>
              <w:bottom w:val="nil"/>
              <w:right w:val="nil"/>
            </w:tcBorders>
            <w:shd w:val="clear" w:color="auto" w:fill="auto"/>
            <w:noWrap/>
            <w:vAlign w:val="center"/>
            <w:hideMark/>
          </w:tcPr>
          <w:p w14:paraId="20F91289" w14:textId="31EA3F3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-0.15</w:t>
            </w:r>
          </w:p>
        </w:tc>
        <w:tc>
          <w:tcPr>
            <w:tcW w:w="794" w:type="dxa"/>
            <w:tcBorders>
              <w:top w:val="nil"/>
              <w:left w:val="nil"/>
              <w:bottom w:val="nil"/>
              <w:right w:val="single" w:sz="4" w:space="0" w:color="auto"/>
            </w:tcBorders>
            <w:shd w:val="clear" w:color="000000" w:fill="F2F2F2"/>
            <w:noWrap/>
            <w:vAlign w:val="center"/>
            <w:hideMark/>
          </w:tcPr>
          <w:p w14:paraId="0E48DF53" w14:textId="0DF145A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3.11</w:t>
            </w:r>
          </w:p>
        </w:tc>
        <w:tc>
          <w:tcPr>
            <w:tcW w:w="794" w:type="dxa"/>
            <w:tcBorders>
              <w:top w:val="nil"/>
              <w:left w:val="nil"/>
              <w:bottom w:val="nil"/>
              <w:right w:val="nil"/>
            </w:tcBorders>
            <w:shd w:val="clear" w:color="auto" w:fill="auto"/>
            <w:noWrap/>
            <w:vAlign w:val="center"/>
            <w:hideMark/>
          </w:tcPr>
          <w:p w14:paraId="1CAC268E" w14:textId="19E68B1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34FE04B" w14:textId="3EEF6FF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6.58</w:t>
            </w:r>
          </w:p>
        </w:tc>
      </w:tr>
      <w:tr w:rsidR="002F1955" w:rsidRPr="00A952F7" w14:paraId="5D2FCDBA"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431E748B"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Financial investment assets</w:t>
            </w:r>
          </w:p>
        </w:tc>
        <w:tc>
          <w:tcPr>
            <w:tcW w:w="794" w:type="dxa"/>
            <w:tcBorders>
              <w:top w:val="nil"/>
              <w:left w:val="nil"/>
              <w:bottom w:val="nil"/>
              <w:right w:val="nil"/>
            </w:tcBorders>
            <w:shd w:val="clear" w:color="auto" w:fill="auto"/>
            <w:noWrap/>
            <w:vAlign w:val="center"/>
            <w:hideMark/>
          </w:tcPr>
          <w:p w14:paraId="0269C7D9" w14:textId="59AD4E0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0.08</w:t>
            </w:r>
          </w:p>
        </w:tc>
        <w:tc>
          <w:tcPr>
            <w:tcW w:w="794" w:type="dxa"/>
            <w:tcBorders>
              <w:top w:val="nil"/>
              <w:left w:val="nil"/>
              <w:bottom w:val="nil"/>
              <w:right w:val="single" w:sz="4" w:space="0" w:color="auto"/>
            </w:tcBorders>
            <w:shd w:val="clear" w:color="000000" w:fill="F2F2F2"/>
            <w:noWrap/>
            <w:vAlign w:val="center"/>
            <w:hideMark/>
          </w:tcPr>
          <w:p w14:paraId="2F249105" w14:textId="304D4D2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2.86</w:t>
            </w:r>
          </w:p>
        </w:tc>
        <w:tc>
          <w:tcPr>
            <w:tcW w:w="794" w:type="dxa"/>
            <w:tcBorders>
              <w:top w:val="nil"/>
              <w:left w:val="nil"/>
              <w:bottom w:val="nil"/>
              <w:right w:val="nil"/>
            </w:tcBorders>
            <w:shd w:val="clear" w:color="auto" w:fill="auto"/>
            <w:noWrap/>
            <w:vAlign w:val="center"/>
            <w:hideMark/>
          </w:tcPr>
          <w:p w14:paraId="28DC47B5" w14:textId="31EF3442"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0.03</w:t>
            </w:r>
          </w:p>
        </w:tc>
        <w:tc>
          <w:tcPr>
            <w:tcW w:w="794" w:type="dxa"/>
            <w:tcBorders>
              <w:top w:val="nil"/>
              <w:left w:val="nil"/>
              <w:bottom w:val="nil"/>
              <w:right w:val="single" w:sz="4" w:space="0" w:color="auto"/>
            </w:tcBorders>
            <w:shd w:val="clear" w:color="000000" w:fill="F2F2F2"/>
            <w:noWrap/>
            <w:vAlign w:val="center"/>
            <w:hideMark/>
          </w:tcPr>
          <w:p w14:paraId="25B7C1E6" w14:textId="6AB3D77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1.09</w:t>
            </w:r>
          </w:p>
        </w:tc>
        <w:tc>
          <w:tcPr>
            <w:tcW w:w="794" w:type="dxa"/>
            <w:tcBorders>
              <w:top w:val="nil"/>
              <w:left w:val="nil"/>
              <w:bottom w:val="nil"/>
              <w:right w:val="nil"/>
            </w:tcBorders>
            <w:shd w:val="clear" w:color="auto" w:fill="auto"/>
            <w:noWrap/>
            <w:vAlign w:val="center"/>
            <w:hideMark/>
          </w:tcPr>
          <w:p w14:paraId="1596518D" w14:textId="1B9F38CC"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42C33C27" w14:textId="69C4FD0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0.85</w:t>
            </w:r>
          </w:p>
        </w:tc>
        <w:tc>
          <w:tcPr>
            <w:tcW w:w="794" w:type="dxa"/>
            <w:tcBorders>
              <w:top w:val="nil"/>
              <w:left w:val="nil"/>
              <w:bottom w:val="nil"/>
              <w:right w:val="nil"/>
            </w:tcBorders>
            <w:shd w:val="clear" w:color="auto" w:fill="auto"/>
            <w:noWrap/>
            <w:vAlign w:val="center"/>
            <w:hideMark/>
          </w:tcPr>
          <w:p w14:paraId="56E78B45" w14:textId="625A632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0.06</w:t>
            </w:r>
          </w:p>
        </w:tc>
        <w:tc>
          <w:tcPr>
            <w:tcW w:w="794" w:type="dxa"/>
            <w:tcBorders>
              <w:top w:val="nil"/>
              <w:left w:val="nil"/>
              <w:bottom w:val="nil"/>
              <w:right w:val="single" w:sz="4" w:space="0" w:color="auto"/>
            </w:tcBorders>
            <w:shd w:val="clear" w:color="000000" w:fill="F2F2F2"/>
            <w:noWrap/>
            <w:vAlign w:val="center"/>
            <w:hideMark/>
          </w:tcPr>
          <w:p w14:paraId="0BD6AD83" w14:textId="15280F9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1.58</w:t>
            </w:r>
          </w:p>
        </w:tc>
        <w:tc>
          <w:tcPr>
            <w:tcW w:w="794" w:type="dxa"/>
            <w:tcBorders>
              <w:top w:val="nil"/>
              <w:left w:val="nil"/>
              <w:bottom w:val="nil"/>
              <w:right w:val="nil"/>
            </w:tcBorders>
            <w:shd w:val="clear" w:color="auto" w:fill="auto"/>
            <w:noWrap/>
            <w:vAlign w:val="center"/>
            <w:hideMark/>
          </w:tcPr>
          <w:p w14:paraId="45CB2D17" w14:textId="0B9C3068"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0.03</w:t>
            </w:r>
          </w:p>
        </w:tc>
        <w:tc>
          <w:tcPr>
            <w:tcW w:w="794" w:type="dxa"/>
            <w:tcBorders>
              <w:top w:val="nil"/>
              <w:left w:val="nil"/>
              <w:bottom w:val="nil"/>
              <w:right w:val="single" w:sz="4" w:space="0" w:color="auto"/>
            </w:tcBorders>
            <w:shd w:val="clear" w:color="000000" w:fill="F2F2F2"/>
            <w:noWrap/>
            <w:vAlign w:val="center"/>
            <w:hideMark/>
          </w:tcPr>
          <w:p w14:paraId="1E8DB588" w14:textId="62989DE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1.03</w:t>
            </w:r>
          </w:p>
        </w:tc>
        <w:tc>
          <w:tcPr>
            <w:tcW w:w="794" w:type="dxa"/>
            <w:tcBorders>
              <w:top w:val="nil"/>
              <w:left w:val="nil"/>
              <w:bottom w:val="nil"/>
              <w:right w:val="nil"/>
            </w:tcBorders>
            <w:shd w:val="clear" w:color="auto" w:fill="auto"/>
            <w:noWrap/>
            <w:vAlign w:val="center"/>
            <w:hideMark/>
          </w:tcPr>
          <w:p w14:paraId="3D79E4A5" w14:textId="56C4D2AE"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0845574D" w14:textId="5D60FA7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3.09</w:t>
            </w:r>
          </w:p>
        </w:tc>
        <w:tc>
          <w:tcPr>
            <w:tcW w:w="794" w:type="dxa"/>
            <w:tcBorders>
              <w:top w:val="nil"/>
              <w:left w:val="nil"/>
              <w:bottom w:val="nil"/>
              <w:right w:val="nil"/>
            </w:tcBorders>
            <w:shd w:val="clear" w:color="auto" w:fill="auto"/>
            <w:noWrap/>
            <w:vAlign w:val="center"/>
            <w:hideMark/>
          </w:tcPr>
          <w:p w14:paraId="6732D1C7" w14:textId="095A5E90"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color w:val="000000"/>
                <w:sz w:val="20"/>
                <w:szCs w:val="20"/>
              </w:rPr>
              <w:t>0.05</w:t>
            </w:r>
          </w:p>
        </w:tc>
        <w:tc>
          <w:tcPr>
            <w:tcW w:w="794" w:type="dxa"/>
            <w:tcBorders>
              <w:top w:val="nil"/>
              <w:left w:val="nil"/>
              <w:bottom w:val="nil"/>
              <w:right w:val="single" w:sz="4" w:space="0" w:color="auto"/>
            </w:tcBorders>
            <w:shd w:val="clear" w:color="000000" w:fill="F2F2F2"/>
            <w:noWrap/>
            <w:vAlign w:val="center"/>
            <w:hideMark/>
          </w:tcPr>
          <w:p w14:paraId="23A6B0F6" w14:textId="3F5D263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5.16</w:t>
            </w:r>
          </w:p>
        </w:tc>
        <w:tc>
          <w:tcPr>
            <w:tcW w:w="794" w:type="dxa"/>
            <w:tcBorders>
              <w:top w:val="nil"/>
              <w:left w:val="nil"/>
              <w:bottom w:val="nil"/>
              <w:right w:val="nil"/>
            </w:tcBorders>
            <w:shd w:val="clear" w:color="auto" w:fill="auto"/>
            <w:noWrap/>
            <w:vAlign w:val="center"/>
            <w:hideMark/>
          </w:tcPr>
          <w:p w14:paraId="4CDF95E6" w14:textId="02B2BFB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38866BCD" w14:textId="6F4A2E0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4.62</w:t>
            </w:r>
          </w:p>
        </w:tc>
        <w:tc>
          <w:tcPr>
            <w:tcW w:w="794" w:type="dxa"/>
            <w:tcBorders>
              <w:top w:val="nil"/>
              <w:left w:val="nil"/>
              <w:bottom w:val="nil"/>
              <w:right w:val="nil"/>
            </w:tcBorders>
            <w:shd w:val="clear" w:color="auto" w:fill="auto"/>
            <w:noWrap/>
            <w:vAlign w:val="center"/>
            <w:hideMark/>
          </w:tcPr>
          <w:p w14:paraId="17E269BF" w14:textId="198B79A6"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63FF88CB" w14:textId="5DA4A25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3.04</w:t>
            </w:r>
          </w:p>
        </w:tc>
      </w:tr>
      <w:tr w:rsidR="002F1955" w:rsidRPr="00A952F7" w14:paraId="0089714B"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0DF44DB0"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Transaction accounts</w:t>
            </w:r>
          </w:p>
        </w:tc>
        <w:tc>
          <w:tcPr>
            <w:tcW w:w="794" w:type="dxa"/>
            <w:tcBorders>
              <w:top w:val="nil"/>
              <w:left w:val="nil"/>
              <w:bottom w:val="nil"/>
              <w:right w:val="nil"/>
            </w:tcBorders>
            <w:shd w:val="clear" w:color="auto" w:fill="auto"/>
            <w:noWrap/>
            <w:vAlign w:val="center"/>
            <w:hideMark/>
          </w:tcPr>
          <w:p w14:paraId="705508BD" w14:textId="475A62BC"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093D3685" w14:textId="6BBE6C73"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0.72</w:t>
            </w:r>
          </w:p>
        </w:tc>
        <w:tc>
          <w:tcPr>
            <w:tcW w:w="794" w:type="dxa"/>
            <w:tcBorders>
              <w:top w:val="nil"/>
              <w:left w:val="nil"/>
              <w:bottom w:val="nil"/>
              <w:right w:val="nil"/>
            </w:tcBorders>
            <w:shd w:val="clear" w:color="auto" w:fill="auto"/>
            <w:noWrap/>
            <w:vAlign w:val="center"/>
            <w:hideMark/>
          </w:tcPr>
          <w:p w14:paraId="0C614989" w14:textId="3029983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0B4ECF9C" w14:textId="15FA03C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-0.55</w:t>
            </w:r>
          </w:p>
        </w:tc>
        <w:tc>
          <w:tcPr>
            <w:tcW w:w="794" w:type="dxa"/>
            <w:tcBorders>
              <w:top w:val="nil"/>
              <w:left w:val="nil"/>
              <w:bottom w:val="nil"/>
              <w:right w:val="nil"/>
            </w:tcBorders>
            <w:shd w:val="clear" w:color="auto" w:fill="auto"/>
            <w:noWrap/>
            <w:vAlign w:val="center"/>
            <w:hideMark/>
          </w:tcPr>
          <w:p w14:paraId="697F480B" w14:textId="0B689FA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52FBCCEC" w14:textId="085AADF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-0.28</w:t>
            </w:r>
          </w:p>
        </w:tc>
        <w:tc>
          <w:tcPr>
            <w:tcW w:w="794" w:type="dxa"/>
            <w:tcBorders>
              <w:top w:val="nil"/>
              <w:left w:val="nil"/>
              <w:bottom w:val="nil"/>
              <w:right w:val="nil"/>
            </w:tcBorders>
            <w:shd w:val="clear" w:color="auto" w:fill="auto"/>
            <w:noWrap/>
            <w:vAlign w:val="center"/>
            <w:hideMark/>
          </w:tcPr>
          <w:p w14:paraId="20F16E66" w14:textId="7105554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692511C6" w14:textId="643AD10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-1.01</w:t>
            </w:r>
          </w:p>
        </w:tc>
        <w:tc>
          <w:tcPr>
            <w:tcW w:w="794" w:type="dxa"/>
            <w:tcBorders>
              <w:top w:val="nil"/>
              <w:left w:val="nil"/>
              <w:bottom w:val="nil"/>
              <w:right w:val="nil"/>
            </w:tcBorders>
            <w:shd w:val="clear" w:color="auto" w:fill="auto"/>
            <w:noWrap/>
            <w:vAlign w:val="center"/>
            <w:hideMark/>
          </w:tcPr>
          <w:p w14:paraId="4E27C726" w14:textId="3D76F78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u w:val="single"/>
              </w:rPr>
              <w:t>0.00</w:t>
            </w:r>
          </w:p>
        </w:tc>
        <w:tc>
          <w:tcPr>
            <w:tcW w:w="794" w:type="dxa"/>
            <w:tcBorders>
              <w:top w:val="nil"/>
              <w:left w:val="nil"/>
              <w:bottom w:val="nil"/>
              <w:right w:val="single" w:sz="4" w:space="0" w:color="auto"/>
            </w:tcBorders>
            <w:shd w:val="clear" w:color="000000" w:fill="F2F2F2"/>
            <w:noWrap/>
            <w:vAlign w:val="center"/>
            <w:hideMark/>
          </w:tcPr>
          <w:p w14:paraId="670FDE0F" w14:textId="2EDF5BB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u w:val="single"/>
              </w:rPr>
              <w:t>-0.66</w:t>
            </w:r>
          </w:p>
        </w:tc>
        <w:tc>
          <w:tcPr>
            <w:tcW w:w="794" w:type="dxa"/>
            <w:tcBorders>
              <w:top w:val="nil"/>
              <w:left w:val="nil"/>
              <w:bottom w:val="nil"/>
              <w:right w:val="nil"/>
            </w:tcBorders>
            <w:shd w:val="clear" w:color="auto" w:fill="auto"/>
            <w:noWrap/>
            <w:vAlign w:val="center"/>
            <w:hideMark/>
          </w:tcPr>
          <w:p w14:paraId="66C6DCCF" w14:textId="03A1D91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7611D899" w14:textId="6B02A50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-1.59</w:t>
            </w:r>
          </w:p>
        </w:tc>
        <w:tc>
          <w:tcPr>
            <w:tcW w:w="794" w:type="dxa"/>
            <w:tcBorders>
              <w:top w:val="nil"/>
              <w:left w:val="nil"/>
              <w:bottom w:val="nil"/>
              <w:right w:val="nil"/>
            </w:tcBorders>
            <w:shd w:val="clear" w:color="auto" w:fill="auto"/>
            <w:noWrap/>
            <w:vAlign w:val="center"/>
            <w:hideMark/>
          </w:tcPr>
          <w:p w14:paraId="25AF58E6" w14:textId="09C208F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u w:val="single"/>
              </w:rPr>
              <w:t>0.00</w:t>
            </w:r>
          </w:p>
        </w:tc>
        <w:tc>
          <w:tcPr>
            <w:tcW w:w="794" w:type="dxa"/>
            <w:tcBorders>
              <w:top w:val="nil"/>
              <w:left w:val="nil"/>
              <w:bottom w:val="nil"/>
              <w:right w:val="single" w:sz="4" w:space="0" w:color="auto"/>
            </w:tcBorders>
            <w:shd w:val="clear" w:color="000000" w:fill="F2F2F2"/>
            <w:noWrap/>
            <w:vAlign w:val="center"/>
            <w:hideMark/>
          </w:tcPr>
          <w:p w14:paraId="52F23802" w14:textId="5DA0401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u w:val="single"/>
              </w:rPr>
              <w:t>0.00</w:t>
            </w:r>
          </w:p>
        </w:tc>
        <w:tc>
          <w:tcPr>
            <w:tcW w:w="794" w:type="dxa"/>
            <w:tcBorders>
              <w:top w:val="nil"/>
              <w:left w:val="nil"/>
              <w:bottom w:val="nil"/>
              <w:right w:val="nil"/>
            </w:tcBorders>
            <w:shd w:val="clear" w:color="auto" w:fill="auto"/>
            <w:noWrap/>
            <w:vAlign w:val="center"/>
            <w:hideMark/>
          </w:tcPr>
          <w:p w14:paraId="315B975E" w14:textId="6070808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u w:val="single"/>
              </w:rPr>
              <w:t>0.00</w:t>
            </w:r>
          </w:p>
        </w:tc>
        <w:tc>
          <w:tcPr>
            <w:tcW w:w="794" w:type="dxa"/>
            <w:tcBorders>
              <w:top w:val="nil"/>
              <w:left w:val="nil"/>
              <w:bottom w:val="nil"/>
              <w:right w:val="single" w:sz="4" w:space="0" w:color="auto"/>
            </w:tcBorders>
            <w:shd w:val="clear" w:color="000000" w:fill="F2F2F2"/>
            <w:noWrap/>
            <w:vAlign w:val="center"/>
            <w:hideMark/>
          </w:tcPr>
          <w:p w14:paraId="21CAC78B" w14:textId="56FFBF6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u w:val="single"/>
              </w:rPr>
              <w:t>-0.18</w:t>
            </w:r>
          </w:p>
        </w:tc>
        <w:tc>
          <w:tcPr>
            <w:tcW w:w="794" w:type="dxa"/>
            <w:tcBorders>
              <w:top w:val="nil"/>
              <w:left w:val="nil"/>
              <w:bottom w:val="nil"/>
              <w:right w:val="nil"/>
            </w:tcBorders>
            <w:shd w:val="clear" w:color="auto" w:fill="auto"/>
            <w:noWrap/>
            <w:vAlign w:val="center"/>
            <w:hideMark/>
          </w:tcPr>
          <w:p w14:paraId="7B55E387" w14:textId="3CA8E8E3" w:rsidR="002F1955" w:rsidRPr="002F1955" w:rsidRDefault="002F1955" w:rsidP="002F1955">
            <w:pPr>
              <w:spacing w:after="0" w:line="240" w:lineRule="auto"/>
              <w:ind w:firstLine="0"/>
              <w:jc w:val="center"/>
              <w:rPr>
                <w:rFonts w:eastAsia="Times New Roman" w:cs="Times New Roman"/>
                <w:color w:val="000000"/>
                <w:sz w:val="20"/>
                <w:szCs w:val="20"/>
                <w:u w:val="single"/>
              </w:rPr>
            </w:pPr>
            <w:r w:rsidRPr="002F1955">
              <w:rPr>
                <w:i/>
                <w:iCs/>
                <w:color w:val="000000"/>
                <w:sz w:val="20"/>
                <w:szCs w:val="20"/>
                <w:u w:val="single"/>
              </w:rPr>
              <w:t>0.00</w:t>
            </w:r>
          </w:p>
        </w:tc>
        <w:tc>
          <w:tcPr>
            <w:tcW w:w="794" w:type="dxa"/>
            <w:tcBorders>
              <w:top w:val="nil"/>
              <w:left w:val="nil"/>
              <w:bottom w:val="nil"/>
              <w:right w:val="single" w:sz="4" w:space="0" w:color="auto"/>
            </w:tcBorders>
            <w:shd w:val="clear" w:color="000000" w:fill="F2F2F2"/>
            <w:noWrap/>
            <w:vAlign w:val="center"/>
            <w:hideMark/>
          </w:tcPr>
          <w:p w14:paraId="2906AF8D" w14:textId="5C274DF0" w:rsidR="002F1955" w:rsidRPr="002F1955" w:rsidRDefault="002F1955" w:rsidP="002F1955">
            <w:pPr>
              <w:spacing w:after="0" w:line="240" w:lineRule="auto"/>
              <w:ind w:firstLine="0"/>
              <w:jc w:val="center"/>
              <w:rPr>
                <w:rFonts w:eastAsia="Times New Roman" w:cs="Times New Roman"/>
                <w:i/>
                <w:iCs/>
                <w:color w:val="000000"/>
                <w:sz w:val="20"/>
                <w:szCs w:val="20"/>
                <w:u w:val="single"/>
              </w:rPr>
            </w:pPr>
            <w:r w:rsidRPr="002F1955">
              <w:rPr>
                <w:i/>
                <w:iCs/>
                <w:color w:val="000000"/>
                <w:sz w:val="20"/>
                <w:szCs w:val="20"/>
                <w:u w:val="single"/>
              </w:rPr>
              <w:t>-0.81</w:t>
            </w:r>
          </w:p>
        </w:tc>
      </w:tr>
      <w:tr w:rsidR="002F1955" w:rsidRPr="00A952F7" w14:paraId="6644BCCE" w14:textId="77777777" w:rsidTr="002F1955">
        <w:trPr>
          <w:trHeight w:val="227"/>
        </w:trPr>
        <w:tc>
          <w:tcPr>
            <w:tcW w:w="1701" w:type="dxa"/>
            <w:tcBorders>
              <w:top w:val="nil"/>
              <w:left w:val="single" w:sz="4" w:space="0" w:color="auto"/>
              <w:right w:val="single" w:sz="4" w:space="0" w:color="auto"/>
            </w:tcBorders>
            <w:shd w:val="clear" w:color="auto" w:fill="auto"/>
            <w:noWrap/>
            <w:vAlign w:val="bottom"/>
            <w:hideMark/>
          </w:tcPr>
          <w:p w14:paraId="33CBFF26"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Retirement and insurance assets</w:t>
            </w:r>
          </w:p>
        </w:tc>
        <w:tc>
          <w:tcPr>
            <w:tcW w:w="794" w:type="dxa"/>
            <w:tcBorders>
              <w:top w:val="nil"/>
              <w:left w:val="nil"/>
              <w:right w:val="nil"/>
            </w:tcBorders>
            <w:shd w:val="clear" w:color="auto" w:fill="auto"/>
            <w:noWrap/>
            <w:vAlign w:val="center"/>
            <w:hideMark/>
          </w:tcPr>
          <w:p w14:paraId="3408116D" w14:textId="0E10EE5F"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34913F8E" w14:textId="1167E1B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-0.53</w:t>
            </w:r>
          </w:p>
        </w:tc>
        <w:tc>
          <w:tcPr>
            <w:tcW w:w="794" w:type="dxa"/>
            <w:tcBorders>
              <w:top w:val="nil"/>
              <w:left w:val="nil"/>
              <w:right w:val="nil"/>
            </w:tcBorders>
            <w:shd w:val="clear" w:color="auto" w:fill="auto"/>
            <w:noWrap/>
            <w:vAlign w:val="center"/>
            <w:hideMark/>
          </w:tcPr>
          <w:p w14:paraId="433FE837" w14:textId="33573293"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05BC5BF7" w14:textId="2115205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0.48</w:t>
            </w:r>
          </w:p>
        </w:tc>
        <w:tc>
          <w:tcPr>
            <w:tcW w:w="794" w:type="dxa"/>
            <w:tcBorders>
              <w:top w:val="nil"/>
              <w:left w:val="nil"/>
              <w:right w:val="nil"/>
            </w:tcBorders>
            <w:shd w:val="clear" w:color="auto" w:fill="auto"/>
            <w:noWrap/>
            <w:vAlign w:val="center"/>
            <w:hideMark/>
          </w:tcPr>
          <w:p w14:paraId="2620C396" w14:textId="674F5BB3" w:rsidR="002F1955" w:rsidRPr="002F1955" w:rsidRDefault="002F1955" w:rsidP="002F1955">
            <w:pPr>
              <w:spacing w:after="0" w:line="240" w:lineRule="auto"/>
              <w:ind w:firstLine="0"/>
              <w:jc w:val="center"/>
              <w:rPr>
                <w:rFonts w:eastAsia="Times New Roman" w:cs="Times New Roman"/>
                <w:color w:val="000000"/>
                <w:sz w:val="20"/>
                <w:szCs w:val="20"/>
                <w:u w:val="single"/>
              </w:rPr>
            </w:pPr>
            <w:r w:rsidRPr="002F1955">
              <w:rPr>
                <w:color w:val="000000"/>
                <w:sz w:val="20"/>
                <w:szCs w:val="20"/>
                <w:u w:val="single"/>
              </w:rPr>
              <w:t>0.03</w:t>
            </w:r>
          </w:p>
        </w:tc>
        <w:tc>
          <w:tcPr>
            <w:tcW w:w="794" w:type="dxa"/>
            <w:tcBorders>
              <w:top w:val="nil"/>
              <w:left w:val="nil"/>
              <w:right w:val="single" w:sz="4" w:space="0" w:color="auto"/>
            </w:tcBorders>
            <w:shd w:val="clear" w:color="000000" w:fill="F2F2F2"/>
            <w:noWrap/>
            <w:vAlign w:val="center"/>
            <w:hideMark/>
          </w:tcPr>
          <w:p w14:paraId="51FC1574" w14:textId="765D7124" w:rsidR="002F1955" w:rsidRPr="002F1955" w:rsidRDefault="002F1955" w:rsidP="002F1955">
            <w:pPr>
              <w:spacing w:after="0" w:line="240" w:lineRule="auto"/>
              <w:ind w:firstLine="0"/>
              <w:jc w:val="center"/>
              <w:rPr>
                <w:rFonts w:eastAsia="Times New Roman" w:cs="Times New Roman"/>
                <w:i/>
                <w:iCs/>
                <w:color w:val="000000"/>
                <w:sz w:val="20"/>
                <w:szCs w:val="20"/>
                <w:u w:val="single"/>
              </w:rPr>
            </w:pPr>
            <w:r w:rsidRPr="002F1955">
              <w:rPr>
                <w:i/>
                <w:iCs/>
                <w:color w:val="000000"/>
                <w:sz w:val="20"/>
                <w:szCs w:val="20"/>
                <w:u w:val="single"/>
              </w:rPr>
              <w:t>0.12</w:t>
            </w:r>
          </w:p>
        </w:tc>
        <w:tc>
          <w:tcPr>
            <w:tcW w:w="794" w:type="dxa"/>
            <w:tcBorders>
              <w:top w:val="nil"/>
              <w:left w:val="nil"/>
              <w:right w:val="nil"/>
            </w:tcBorders>
            <w:shd w:val="clear" w:color="auto" w:fill="auto"/>
            <w:noWrap/>
            <w:vAlign w:val="center"/>
            <w:hideMark/>
          </w:tcPr>
          <w:p w14:paraId="4ECFD350" w14:textId="67E236A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15EA8B8B" w14:textId="6537F8B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-0.25</w:t>
            </w:r>
          </w:p>
        </w:tc>
        <w:tc>
          <w:tcPr>
            <w:tcW w:w="794" w:type="dxa"/>
            <w:tcBorders>
              <w:top w:val="nil"/>
              <w:left w:val="nil"/>
              <w:right w:val="nil"/>
            </w:tcBorders>
            <w:shd w:val="clear" w:color="auto" w:fill="auto"/>
            <w:noWrap/>
            <w:vAlign w:val="center"/>
            <w:hideMark/>
          </w:tcPr>
          <w:p w14:paraId="61F8010D" w14:textId="27B4A032"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0.10</w:t>
            </w:r>
          </w:p>
        </w:tc>
        <w:tc>
          <w:tcPr>
            <w:tcW w:w="794" w:type="dxa"/>
            <w:tcBorders>
              <w:top w:val="nil"/>
              <w:left w:val="nil"/>
              <w:right w:val="single" w:sz="4" w:space="0" w:color="auto"/>
            </w:tcBorders>
            <w:shd w:val="clear" w:color="000000" w:fill="F2F2F2"/>
            <w:noWrap/>
            <w:vAlign w:val="center"/>
            <w:hideMark/>
          </w:tcPr>
          <w:p w14:paraId="024D3A5A" w14:textId="59847D4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-0.93</w:t>
            </w:r>
          </w:p>
        </w:tc>
        <w:tc>
          <w:tcPr>
            <w:tcW w:w="794" w:type="dxa"/>
            <w:tcBorders>
              <w:top w:val="nil"/>
              <w:left w:val="nil"/>
              <w:right w:val="nil"/>
            </w:tcBorders>
            <w:shd w:val="clear" w:color="auto" w:fill="auto"/>
            <w:noWrap/>
            <w:vAlign w:val="center"/>
            <w:hideMark/>
          </w:tcPr>
          <w:p w14:paraId="67C42E03" w14:textId="6BA7B4A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0.06</w:t>
            </w:r>
          </w:p>
        </w:tc>
        <w:tc>
          <w:tcPr>
            <w:tcW w:w="794" w:type="dxa"/>
            <w:tcBorders>
              <w:top w:val="nil"/>
              <w:left w:val="nil"/>
              <w:right w:val="single" w:sz="4" w:space="0" w:color="auto"/>
            </w:tcBorders>
            <w:shd w:val="clear" w:color="000000" w:fill="F2F2F2"/>
            <w:noWrap/>
            <w:vAlign w:val="center"/>
            <w:hideMark/>
          </w:tcPr>
          <w:p w14:paraId="6C262672" w14:textId="385450C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-0.81</w:t>
            </w:r>
          </w:p>
        </w:tc>
        <w:tc>
          <w:tcPr>
            <w:tcW w:w="794" w:type="dxa"/>
            <w:tcBorders>
              <w:top w:val="nil"/>
              <w:left w:val="nil"/>
              <w:right w:val="nil"/>
            </w:tcBorders>
            <w:shd w:val="clear" w:color="auto" w:fill="auto"/>
            <w:noWrap/>
            <w:vAlign w:val="center"/>
            <w:hideMark/>
          </w:tcPr>
          <w:p w14:paraId="0E9DCFD7" w14:textId="51B4534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573B1849" w14:textId="3A2DCE2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-0.33</w:t>
            </w:r>
          </w:p>
        </w:tc>
        <w:tc>
          <w:tcPr>
            <w:tcW w:w="794" w:type="dxa"/>
            <w:tcBorders>
              <w:top w:val="nil"/>
              <w:left w:val="nil"/>
              <w:right w:val="nil"/>
            </w:tcBorders>
            <w:shd w:val="clear" w:color="auto" w:fill="auto"/>
            <w:noWrap/>
            <w:vAlign w:val="center"/>
            <w:hideMark/>
          </w:tcPr>
          <w:p w14:paraId="111F96AB" w14:textId="5548419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0.05</w:t>
            </w:r>
          </w:p>
        </w:tc>
        <w:tc>
          <w:tcPr>
            <w:tcW w:w="794" w:type="dxa"/>
            <w:tcBorders>
              <w:top w:val="nil"/>
              <w:left w:val="nil"/>
              <w:right w:val="single" w:sz="4" w:space="0" w:color="auto"/>
            </w:tcBorders>
            <w:shd w:val="clear" w:color="000000" w:fill="F2F2F2"/>
            <w:noWrap/>
            <w:vAlign w:val="center"/>
            <w:hideMark/>
          </w:tcPr>
          <w:p w14:paraId="03E3D20D" w14:textId="1F426BF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-0.59</w:t>
            </w:r>
          </w:p>
        </w:tc>
        <w:tc>
          <w:tcPr>
            <w:tcW w:w="794" w:type="dxa"/>
            <w:tcBorders>
              <w:top w:val="nil"/>
              <w:left w:val="nil"/>
              <w:right w:val="nil"/>
            </w:tcBorders>
            <w:shd w:val="clear" w:color="auto" w:fill="auto"/>
            <w:noWrap/>
            <w:vAlign w:val="center"/>
            <w:hideMark/>
          </w:tcPr>
          <w:p w14:paraId="55FDEB7A" w14:textId="3684587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0.04</w:t>
            </w:r>
          </w:p>
        </w:tc>
        <w:tc>
          <w:tcPr>
            <w:tcW w:w="794" w:type="dxa"/>
            <w:tcBorders>
              <w:top w:val="nil"/>
              <w:left w:val="nil"/>
              <w:right w:val="single" w:sz="4" w:space="0" w:color="auto"/>
            </w:tcBorders>
            <w:shd w:val="clear" w:color="000000" w:fill="F2F2F2"/>
            <w:noWrap/>
            <w:vAlign w:val="center"/>
            <w:hideMark/>
          </w:tcPr>
          <w:p w14:paraId="093F8E5A" w14:textId="083C02E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-1.01</w:t>
            </w:r>
          </w:p>
        </w:tc>
      </w:tr>
      <w:tr w:rsidR="002F1955" w:rsidRPr="00A952F7" w14:paraId="4B2EE205"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60C07D2" w14:textId="77777777" w:rsidR="002F1955" w:rsidRPr="00A952F7"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4694ED16" w14:textId="548B13D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1,840</w:t>
            </w:r>
          </w:p>
        </w:tc>
        <w:tc>
          <w:tcPr>
            <w:tcW w:w="794" w:type="dxa"/>
            <w:tcBorders>
              <w:top w:val="nil"/>
              <w:left w:val="nil"/>
              <w:bottom w:val="single" w:sz="4" w:space="0" w:color="auto"/>
              <w:right w:val="nil"/>
            </w:tcBorders>
            <w:shd w:val="clear" w:color="000000" w:fill="F2F2F2"/>
            <w:noWrap/>
            <w:vAlign w:val="center"/>
            <w:hideMark/>
          </w:tcPr>
          <w:p w14:paraId="5A58511D" w14:textId="5A37645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4,523</w:t>
            </w:r>
          </w:p>
        </w:tc>
        <w:tc>
          <w:tcPr>
            <w:tcW w:w="794" w:type="dxa"/>
            <w:tcBorders>
              <w:top w:val="nil"/>
              <w:left w:val="single" w:sz="4" w:space="0" w:color="auto"/>
              <w:bottom w:val="single" w:sz="4" w:space="0" w:color="auto"/>
              <w:right w:val="nil"/>
            </w:tcBorders>
            <w:shd w:val="clear" w:color="auto" w:fill="auto"/>
            <w:noWrap/>
            <w:vAlign w:val="center"/>
            <w:hideMark/>
          </w:tcPr>
          <w:p w14:paraId="092CA380" w14:textId="18C6C6F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2,264</w:t>
            </w:r>
          </w:p>
        </w:tc>
        <w:tc>
          <w:tcPr>
            <w:tcW w:w="794" w:type="dxa"/>
            <w:tcBorders>
              <w:top w:val="nil"/>
              <w:left w:val="nil"/>
              <w:bottom w:val="single" w:sz="4" w:space="0" w:color="auto"/>
              <w:right w:val="nil"/>
            </w:tcBorders>
            <w:shd w:val="clear" w:color="000000" w:fill="F2F2F2"/>
            <w:noWrap/>
            <w:vAlign w:val="center"/>
            <w:hideMark/>
          </w:tcPr>
          <w:p w14:paraId="10891070" w14:textId="4A4602A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6,132</w:t>
            </w:r>
          </w:p>
        </w:tc>
        <w:tc>
          <w:tcPr>
            <w:tcW w:w="794" w:type="dxa"/>
            <w:tcBorders>
              <w:top w:val="nil"/>
              <w:left w:val="single" w:sz="4" w:space="0" w:color="auto"/>
              <w:bottom w:val="single" w:sz="4" w:space="0" w:color="auto"/>
              <w:right w:val="nil"/>
            </w:tcBorders>
            <w:shd w:val="clear" w:color="auto" w:fill="auto"/>
            <w:noWrap/>
            <w:vAlign w:val="center"/>
            <w:hideMark/>
          </w:tcPr>
          <w:p w14:paraId="75484F3B" w14:textId="2DEC268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2,540</w:t>
            </w:r>
          </w:p>
        </w:tc>
        <w:tc>
          <w:tcPr>
            <w:tcW w:w="794" w:type="dxa"/>
            <w:tcBorders>
              <w:top w:val="nil"/>
              <w:left w:val="nil"/>
              <w:bottom w:val="single" w:sz="4" w:space="0" w:color="auto"/>
              <w:right w:val="single" w:sz="4" w:space="0" w:color="auto"/>
            </w:tcBorders>
            <w:shd w:val="clear" w:color="000000" w:fill="F2F2F2"/>
            <w:noWrap/>
            <w:vAlign w:val="center"/>
            <w:hideMark/>
          </w:tcPr>
          <w:p w14:paraId="721493A0" w14:textId="14B8C77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6,438</w:t>
            </w:r>
          </w:p>
        </w:tc>
        <w:tc>
          <w:tcPr>
            <w:tcW w:w="794" w:type="dxa"/>
            <w:tcBorders>
              <w:top w:val="nil"/>
              <w:left w:val="nil"/>
              <w:bottom w:val="single" w:sz="4" w:space="0" w:color="auto"/>
              <w:right w:val="nil"/>
            </w:tcBorders>
            <w:shd w:val="clear" w:color="auto" w:fill="auto"/>
            <w:noWrap/>
            <w:vAlign w:val="center"/>
            <w:hideMark/>
          </w:tcPr>
          <w:p w14:paraId="1A705172" w14:textId="3FBDB4E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2,843</w:t>
            </w:r>
          </w:p>
        </w:tc>
        <w:tc>
          <w:tcPr>
            <w:tcW w:w="794" w:type="dxa"/>
            <w:tcBorders>
              <w:top w:val="nil"/>
              <w:left w:val="nil"/>
              <w:bottom w:val="single" w:sz="4" w:space="0" w:color="auto"/>
              <w:right w:val="single" w:sz="4" w:space="0" w:color="auto"/>
            </w:tcBorders>
            <w:shd w:val="clear" w:color="000000" w:fill="F2F2F2"/>
            <w:noWrap/>
            <w:vAlign w:val="center"/>
            <w:hideMark/>
          </w:tcPr>
          <w:p w14:paraId="61F140AD" w14:textId="0E97EF2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6,451</w:t>
            </w:r>
          </w:p>
        </w:tc>
        <w:tc>
          <w:tcPr>
            <w:tcW w:w="794" w:type="dxa"/>
            <w:tcBorders>
              <w:top w:val="nil"/>
              <w:left w:val="nil"/>
              <w:bottom w:val="single" w:sz="4" w:space="0" w:color="auto"/>
              <w:right w:val="nil"/>
            </w:tcBorders>
            <w:shd w:val="clear" w:color="auto" w:fill="auto"/>
            <w:noWrap/>
            <w:vAlign w:val="center"/>
            <w:hideMark/>
          </w:tcPr>
          <w:p w14:paraId="7F4B2AE0" w14:textId="442DB66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2,823</w:t>
            </w:r>
          </w:p>
        </w:tc>
        <w:tc>
          <w:tcPr>
            <w:tcW w:w="794" w:type="dxa"/>
            <w:tcBorders>
              <w:top w:val="nil"/>
              <w:left w:val="nil"/>
              <w:bottom w:val="single" w:sz="4" w:space="0" w:color="auto"/>
              <w:right w:val="single" w:sz="4" w:space="0" w:color="auto"/>
            </w:tcBorders>
            <w:shd w:val="clear" w:color="000000" w:fill="F2F2F2"/>
            <w:noWrap/>
            <w:vAlign w:val="center"/>
            <w:hideMark/>
          </w:tcPr>
          <w:p w14:paraId="01B8C126" w14:textId="60E14F1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6,548</w:t>
            </w:r>
          </w:p>
        </w:tc>
        <w:tc>
          <w:tcPr>
            <w:tcW w:w="794" w:type="dxa"/>
            <w:tcBorders>
              <w:top w:val="nil"/>
              <w:left w:val="nil"/>
              <w:bottom w:val="single" w:sz="4" w:space="0" w:color="auto"/>
              <w:right w:val="nil"/>
            </w:tcBorders>
            <w:shd w:val="clear" w:color="auto" w:fill="auto"/>
            <w:noWrap/>
            <w:vAlign w:val="center"/>
            <w:hideMark/>
          </w:tcPr>
          <w:p w14:paraId="27D68654" w14:textId="1F0FA9D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3,074</w:t>
            </w:r>
          </w:p>
        </w:tc>
        <w:tc>
          <w:tcPr>
            <w:tcW w:w="794" w:type="dxa"/>
            <w:tcBorders>
              <w:top w:val="nil"/>
              <w:left w:val="nil"/>
              <w:bottom w:val="single" w:sz="4" w:space="0" w:color="auto"/>
              <w:right w:val="single" w:sz="4" w:space="0" w:color="auto"/>
            </w:tcBorders>
            <w:shd w:val="clear" w:color="000000" w:fill="F2F2F2"/>
            <w:noWrap/>
            <w:vAlign w:val="center"/>
            <w:hideMark/>
          </w:tcPr>
          <w:p w14:paraId="6BEC0ED8" w14:textId="4197E44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6,800</w:t>
            </w:r>
          </w:p>
        </w:tc>
        <w:tc>
          <w:tcPr>
            <w:tcW w:w="794" w:type="dxa"/>
            <w:tcBorders>
              <w:top w:val="nil"/>
              <w:left w:val="nil"/>
              <w:bottom w:val="single" w:sz="4" w:space="0" w:color="auto"/>
              <w:right w:val="nil"/>
            </w:tcBorders>
            <w:shd w:val="clear" w:color="auto" w:fill="auto"/>
            <w:noWrap/>
            <w:vAlign w:val="center"/>
            <w:hideMark/>
          </w:tcPr>
          <w:p w14:paraId="5A026C81" w14:textId="459CBEF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2,829</w:t>
            </w:r>
          </w:p>
        </w:tc>
        <w:tc>
          <w:tcPr>
            <w:tcW w:w="794" w:type="dxa"/>
            <w:tcBorders>
              <w:top w:val="nil"/>
              <w:left w:val="nil"/>
              <w:bottom w:val="single" w:sz="4" w:space="0" w:color="auto"/>
              <w:right w:val="single" w:sz="4" w:space="0" w:color="auto"/>
            </w:tcBorders>
            <w:shd w:val="clear" w:color="000000" w:fill="F2F2F2"/>
            <w:noWrap/>
            <w:vAlign w:val="center"/>
            <w:hideMark/>
          </w:tcPr>
          <w:p w14:paraId="2A096A67" w14:textId="2D305F62"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7,001</w:t>
            </w:r>
          </w:p>
        </w:tc>
        <w:tc>
          <w:tcPr>
            <w:tcW w:w="794" w:type="dxa"/>
            <w:tcBorders>
              <w:top w:val="nil"/>
              <w:left w:val="nil"/>
              <w:bottom w:val="single" w:sz="4" w:space="0" w:color="auto"/>
              <w:right w:val="nil"/>
            </w:tcBorders>
            <w:shd w:val="clear" w:color="auto" w:fill="auto"/>
            <w:noWrap/>
            <w:vAlign w:val="center"/>
            <w:hideMark/>
          </w:tcPr>
          <w:p w14:paraId="4643CD94" w14:textId="18760C0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5,188</w:t>
            </w:r>
          </w:p>
        </w:tc>
        <w:tc>
          <w:tcPr>
            <w:tcW w:w="794" w:type="dxa"/>
            <w:tcBorders>
              <w:top w:val="nil"/>
              <w:left w:val="nil"/>
              <w:bottom w:val="single" w:sz="4" w:space="0" w:color="auto"/>
              <w:right w:val="single" w:sz="4" w:space="0" w:color="auto"/>
            </w:tcBorders>
            <w:shd w:val="clear" w:color="000000" w:fill="F2F2F2"/>
            <w:noWrap/>
            <w:vAlign w:val="center"/>
            <w:hideMark/>
          </w:tcPr>
          <w:p w14:paraId="323290A4" w14:textId="78D6179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7,096</w:t>
            </w:r>
          </w:p>
        </w:tc>
        <w:tc>
          <w:tcPr>
            <w:tcW w:w="794" w:type="dxa"/>
            <w:tcBorders>
              <w:top w:val="nil"/>
              <w:left w:val="nil"/>
              <w:bottom w:val="single" w:sz="4" w:space="0" w:color="auto"/>
              <w:right w:val="nil"/>
            </w:tcBorders>
            <w:shd w:val="clear" w:color="auto" w:fill="auto"/>
            <w:noWrap/>
            <w:vAlign w:val="center"/>
            <w:hideMark/>
          </w:tcPr>
          <w:p w14:paraId="58E3B04E" w14:textId="5A4CCDE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4,585</w:t>
            </w:r>
          </w:p>
        </w:tc>
        <w:tc>
          <w:tcPr>
            <w:tcW w:w="794" w:type="dxa"/>
            <w:tcBorders>
              <w:top w:val="nil"/>
              <w:left w:val="nil"/>
              <w:bottom w:val="single" w:sz="4" w:space="0" w:color="auto"/>
              <w:right w:val="single" w:sz="4" w:space="0" w:color="auto"/>
            </w:tcBorders>
            <w:shd w:val="clear" w:color="000000" w:fill="F2F2F2"/>
            <w:noWrap/>
            <w:vAlign w:val="center"/>
            <w:hideMark/>
          </w:tcPr>
          <w:p w14:paraId="31EF7A2D" w14:textId="448D41B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7,078</w:t>
            </w:r>
          </w:p>
        </w:tc>
      </w:tr>
      <w:tr w:rsidR="00A952F7" w:rsidRPr="00A952F7" w14:paraId="3664C67B" w14:textId="77777777" w:rsidTr="00A952F7">
        <w:trPr>
          <w:trHeight w:val="227"/>
        </w:trPr>
        <w:tc>
          <w:tcPr>
            <w:tcW w:w="15993" w:type="dxa"/>
            <w:gridSpan w:val="19"/>
            <w:tcBorders>
              <w:top w:val="single" w:sz="4" w:space="0" w:color="auto"/>
              <w:left w:val="single" w:sz="4" w:space="0" w:color="auto"/>
              <w:bottom w:val="nil"/>
              <w:right w:val="single" w:sz="4" w:space="0" w:color="auto"/>
            </w:tcBorders>
            <w:shd w:val="clear" w:color="auto" w:fill="auto"/>
            <w:noWrap/>
            <w:vAlign w:val="center"/>
            <w:hideMark/>
          </w:tcPr>
          <w:p w14:paraId="60A1B334" w14:textId="77777777" w:rsidR="00A952F7" w:rsidRPr="00A952F7" w:rsidRDefault="00A952F7" w:rsidP="00A952F7">
            <w:pPr>
              <w:spacing w:before="80" w:after="2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b/>
                <w:bCs/>
                <w:color w:val="000000"/>
                <w:sz w:val="20"/>
                <w:szCs w:val="20"/>
              </w:rPr>
              <w:t>Share of total debt</w:t>
            </w:r>
          </w:p>
        </w:tc>
      </w:tr>
      <w:tr w:rsidR="002F1955" w:rsidRPr="00A952F7" w14:paraId="31DA25EF"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531F286F"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Debt secured by primary residence</w:t>
            </w:r>
          </w:p>
        </w:tc>
        <w:tc>
          <w:tcPr>
            <w:tcW w:w="794" w:type="dxa"/>
            <w:tcBorders>
              <w:top w:val="single" w:sz="4" w:space="0" w:color="auto"/>
              <w:left w:val="nil"/>
              <w:bottom w:val="nil"/>
              <w:right w:val="nil"/>
            </w:tcBorders>
            <w:shd w:val="clear" w:color="auto" w:fill="auto"/>
            <w:noWrap/>
            <w:vAlign w:val="center"/>
            <w:hideMark/>
          </w:tcPr>
          <w:p w14:paraId="6D5F1CAA" w14:textId="3F3834E8"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0.04</w:t>
            </w:r>
          </w:p>
        </w:tc>
        <w:tc>
          <w:tcPr>
            <w:tcW w:w="794" w:type="dxa"/>
            <w:tcBorders>
              <w:top w:val="single" w:sz="4" w:space="0" w:color="auto"/>
              <w:left w:val="nil"/>
              <w:bottom w:val="nil"/>
              <w:right w:val="single" w:sz="4" w:space="0" w:color="auto"/>
            </w:tcBorders>
            <w:shd w:val="clear" w:color="000000" w:fill="F2F2F2"/>
            <w:noWrap/>
            <w:vAlign w:val="center"/>
            <w:hideMark/>
          </w:tcPr>
          <w:p w14:paraId="74DB86A3" w14:textId="7AD1C9F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-0.71</w:t>
            </w:r>
          </w:p>
        </w:tc>
        <w:tc>
          <w:tcPr>
            <w:tcW w:w="794" w:type="dxa"/>
            <w:tcBorders>
              <w:top w:val="single" w:sz="4" w:space="0" w:color="auto"/>
              <w:left w:val="nil"/>
              <w:bottom w:val="nil"/>
              <w:right w:val="nil"/>
            </w:tcBorders>
            <w:shd w:val="clear" w:color="auto" w:fill="auto"/>
            <w:noWrap/>
            <w:vAlign w:val="center"/>
            <w:hideMark/>
          </w:tcPr>
          <w:p w14:paraId="24C9162D" w14:textId="48E82AB1"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u w:val="single"/>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516472AC" w14:textId="4C32ED84"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u w:val="single"/>
              </w:rPr>
              <w:t>0.00</w:t>
            </w:r>
          </w:p>
        </w:tc>
        <w:tc>
          <w:tcPr>
            <w:tcW w:w="794" w:type="dxa"/>
            <w:tcBorders>
              <w:top w:val="single" w:sz="4" w:space="0" w:color="auto"/>
              <w:left w:val="nil"/>
              <w:bottom w:val="nil"/>
              <w:right w:val="nil"/>
            </w:tcBorders>
            <w:shd w:val="clear" w:color="auto" w:fill="auto"/>
            <w:noWrap/>
            <w:vAlign w:val="center"/>
            <w:hideMark/>
          </w:tcPr>
          <w:p w14:paraId="158FFE6A" w14:textId="0F9E5B6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single" w:sz="4" w:space="0" w:color="auto"/>
              <w:left w:val="nil"/>
              <w:bottom w:val="nil"/>
              <w:right w:val="single" w:sz="4" w:space="0" w:color="auto"/>
            </w:tcBorders>
            <w:shd w:val="clear" w:color="000000" w:fill="F2F2F2"/>
            <w:noWrap/>
            <w:vAlign w:val="center"/>
            <w:hideMark/>
          </w:tcPr>
          <w:p w14:paraId="501FD863" w14:textId="0CAB08F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0.28</w:t>
            </w:r>
          </w:p>
        </w:tc>
        <w:tc>
          <w:tcPr>
            <w:tcW w:w="794" w:type="dxa"/>
            <w:tcBorders>
              <w:top w:val="single" w:sz="4" w:space="0" w:color="auto"/>
              <w:left w:val="nil"/>
              <w:bottom w:val="nil"/>
              <w:right w:val="nil"/>
            </w:tcBorders>
            <w:shd w:val="clear" w:color="auto" w:fill="auto"/>
            <w:noWrap/>
            <w:vAlign w:val="center"/>
            <w:hideMark/>
          </w:tcPr>
          <w:p w14:paraId="70BD2A6C" w14:textId="3CD0797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0.01</w:t>
            </w:r>
          </w:p>
        </w:tc>
        <w:tc>
          <w:tcPr>
            <w:tcW w:w="794" w:type="dxa"/>
            <w:tcBorders>
              <w:top w:val="single" w:sz="4" w:space="0" w:color="auto"/>
              <w:left w:val="nil"/>
              <w:bottom w:val="nil"/>
              <w:right w:val="single" w:sz="4" w:space="0" w:color="auto"/>
            </w:tcBorders>
            <w:shd w:val="clear" w:color="000000" w:fill="F2F2F2"/>
            <w:noWrap/>
            <w:vAlign w:val="center"/>
            <w:hideMark/>
          </w:tcPr>
          <w:p w14:paraId="241176FC" w14:textId="4987D82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0.25</w:t>
            </w:r>
          </w:p>
        </w:tc>
        <w:tc>
          <w:tcPr>
            <w:tcW w:w="794" w:type="dxa"/>
            <w:tcBorders>
              <w:top w:val="single" w:sz="4" w:space="0" w:color="auto"/>
              <w:left w:val="nil"/>
              <w:bottom w:val="nil"/>
              <w:right w:val="nil"/>
            </w:tcBorders>
            <w:shd w:val="clear" w:color="auto" w:fill="auto"/>
            <w:noWrap/>
            <w:vAlign w:val="center"/>
            <w:hideMark/>
          </w:tcPr>
          <w:p w14:paraId="4D0E5DDD" w14:textId="5205DF7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0.04</w:t>
            </w:r>
          </w:p>
        </w:tc>
        <w:tc>
          <w:tcPr>
            <w:tcW w:w="794" w:type="dxa"/>
            <w:tcBorders>
              <w:top w:val="single" w:sz="4" w:space="0" w:color="auto"/>
              <w:left w:val="nil"/>
              <w:bottom w:val="nil"/>
              <w:right w:val="single" w:sz="4" w:space="0" w:color="auto"/>
            </w:tcBorders>
            <w:shd w:val="clear" w:color="000000" w:fill="F2F2F2"/>
            <w:noWrap/>
            <w:vAlign w:val="center"/>
            <w:hideMark/>
          </w:tcPr>
          <w:p w14:paraId="3B33C997" w14:textId="3EDC0FB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-0.11</w:t>
            </w:r>
          </w:p>
        </w:tc>
        <w:tc>
          <w:tcPr>
            <w:tcW w:w="794" w:type="dxa"/>
            <w:tcBorders>
              <w:top w:val="single" w:sz="4" w:space="0" w:color="auto"/>
              <w:left w:val="nil"/>
              <w:bottom w:val="nil"/>
              <w:right w:val="nil"/>
            </w:tcBorders>
            <w:shd w:val="clear" w:color="auto" w:fill="auto"/>
            <w:noWrap/>
            <w:vAlign w:val="center"/>
            <w:hideMark/>
          </w:tcPr>
          <w:p w14:paraId="4CC98BAF" w14:textId="17BFCB7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0.02</w:t>
            </w:r>
          </w:p>
        </w:tc>
        <w:tc>
          <w:tcPr>
            <w:tcW w:w="794" w:type="dxa"/>
            <w:tcBorders>
              <w:top w:val="single" w:sz="4" w:space="0" w:color="auto"/>
              <w:left w:val="nil"/>
              <w:bottom w:val="nil"/>
              <w:right w:val="single" w:sz="4" w:space="0" w:color="auto"/>
            </w:tcBorders>
            <w:shd w:val="clear" w:color="000000" w:fill="F2F2F2"/>
            <w:noWrap/>
            <w:vAlign w:val="center"/>
            <w:hideMark/>
          </w:tcPr>
          <w:p w14:paraId="6B008CA4" w14:textId="1EDC4C2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-0.31</w:t>
            </w:r>
          </w:p>
        </w:tc>
        <w:tc>
          <w:tcPr>
            <w:tcW w:w="794" w:type="dxa"/>
            <w:tcBorders>
              <w:top w:val="single" w:sz="4" w:space="0" w:color="auto"/>
              <w:left w:val="nil"/>
              <w:bottom w:val="nil"/>
              <w:right w:val="nil"/>
            </w:tcBorders>
            <w:shd w:val="clear" w:color="auto" w:fill="auto"/>
            <w:noWrap/>
            <w:vAlign w:val="center"/>
            <w:hideMark/>
          </w:tcPr>
          <w:p w14:paraId="0F206824" w14:textId="1F44E47F" w:rsidR="002F1955" w:rsidRPr="002F1955" w:rsidRDefault="002F1955" w:rsidP="002F1955">
            <w:pPr>
              <w:spacing w:after="0" w:line="240" w:lineRule="auto"/>
              <w:ind w:firstLine="0"/>
              <w:jc w:val="center"/>
              <w:rPr>
                <w:rFonts w:eastAsia="Times New Roman" w:cs="Times New Roman"/>
                <w:color w:val="000000"/>
                <w:sz w:val="20"/>
                <w:szCs w:val="20"/>
                <w:u w:val="single"/>
              </w:rPr>
            </w:pPr>
            <w:r w:rsidRPr="002F1955">
              <w:rPr>
                <w:color w:val="000000"/>
                <w:sz w:val="20"/>
                <w:szCs w:val="20"/>
                <w:u w:val="single"/>
              </w:rPr>
              <w:t>0.02</w:t>
            </w:r>
          </w:p>
        </w:tc>
        <w:tc>
          <w:tcPr>
            <w:tcW w:w="794" w:type="dxa"/>
            <w:tcBorders>
              <w:top w:val="single" w:sz="4" w:space="0" w:color="auto"/>
              <w:left w:val="nil"/>
              <w:bottom w:val="nil"/>
              <w:right w:val="single" w:sz="4" w:space="0" w:color="auto"/>
            </w:tcBorders>
            <w:shd w:val="clear" w:color="000000" w:fill="F2F2F2"/>
            <w:noWrap/>
            <w:vAlign w:val="center"/>
            <w:hideMark/>
          </w:tcPr>
          <w:p w14:paraId="6947EA98" w14:textId="312E87D4" w:rsidR="002F1955" w:rsidRPr="002F1955" w:rsidRDefault="002F1955" w:rsidP="002F1955">
            <w:pPr>
              <w:spacing w:after="0" w:line="240" w:lineRule="auto"/>
              <w:ind w:firstLine="0"/>
              <w:jc w:val="center"/>
              <w:rPr>
                <w:rFonts w:eastAsia="Times New Roman" w:cs="Times New Roman"/>
                <w:i/>
                <w:iCs/>
                <w:color w:val="000000"/>
                <w:sz w:val="20"/>
                <w:szCs w:val="20"/>
                <w:u w:val="single"/>
              </w:rPr>
            </w:pPr>
            <w:r w:rsidRPr="002F1955">
              <w:rPr>
                <w:i/>
                <w:iCs/>
                <w:color w:val="000000"/>
                <w:sz w:val="20"/>
                <w:szCs w:val="20"/>
                <w:u w:val="single"/>
              </w:rPr>
              <w:t>0.10</w:t>
            </w:r>
          </w:p>
        </w:tc>
        <w:tc>
          <w:tcPr>
            <w:tcW w:w="794" w:type="dxa"/>
            <w:tcBorders>
              <w:top w:val="single" w:sz="4" w:space="0" w:color="auto"/>
              <w:left w:val="nil"/>
              <w:bottom w:val="nil"/>
              <w:right w:val="nil"/>
            </w:tcBorders>
            <w:shd w:val="clear" w:color="auto" w:fill="auto"/>
            <w:noWrap/>
            <w:vAlign w:val="center"/>
            <w:hideMark/>
          </w:tcPr>
          <w:p w14:paraId="06FFA7EF" w14:textId="48B117C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single" w:sz="4" w:space="0" w:color="auto"/>
              <w:left w:val="nil"/>
              <w:bottom w:val="nil"/>
              <w:right w:val="single" w:sz="4" w:space="0" w:color="auto"/>
            </w:tcBorders>
            <w:shd w:val="clear" w:color="000000" w:fill="F2F2F2"/>
            <w:noWrap/>
            <w:vAlign w:val="center"/>
            <w:hideMark/>
          </w:tcPr>
          <w:p w14:paraId="18DA1FB8" w14:textId="20300C8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0.33</w:t>
            </w:r>
          </w:p>
        </w:tc>
        <w:tc>
          <w:tcPr>
            <w:tcW w:w="794" w:type="dxa"/>
            <w:tcBorders>
              <w:top w:val="single" w:sz="4" w:space="0" w:color="auto"/>
              <w:left w:val="nil"/>
              <w:bottom w:val="nil"/>
              <w:right w:val="nil"/>
            </w:tcBorders>
            <w:shd w:val="clear" w:color="auto" w:fill="auto"/>
            <w:noWrap/>
            <w:vAlign w:val="center"/>
            <w:hideMark/>
          </w:tcPr>
          <w:p w14:paraId="02FF898C" w14:textId="2C79ABF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single" w:sz="4" w:space="0" w:color="auto"/>
              <w:left w:val="nil"/>
              <w:bottom w:val="nil"/>
              <w:right w:val="single" w:sz="4" w:space="0" w:color="auto"/>
            </w:tcBorders>
            <w:shd w:val="clear" w:color="000000" w:fill="F2F2F2"/>
            <w:noWrap/>
            <w:vAlign w:val="center"/>
            <w:hideMark/>
          </w:tcPr>
          <w:p w14:paraId="204C8013" w14:textId="49F6625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0.55</w:t>
            </w:r>
          </w:p>
        </w:tc>
      </w:tr>
      <w:tr w:rsidR="002F1955" w:rsidRPr="00A952F7" w14:paraId="1AF3AA11"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18EE01D1"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Debt secured by other property</w:t>
            </w:r>
          </w:p>
        </w:tc>
        <w:tc>
          <w:tcPr>
            <w:tcW w:w="794" w:type="dxa"/>
            <w:tcBorders>
              <w:top w:val="nil"/>
              <w:left w:val="nil"/>
              <w:bottom w:val="nil"/>
              <w:right w:val="nil"/>
            </w:tcBorders>
            <w:shd w:val="clear" w:color="auto" w:fill="auto"/>
            <w:noWrap/>
            <w:vAlign w:val="center"/>
            <w:hideMark/>
          </w:tcPr>
          <w:p w14:paraId="7DC8670B" w14:textId="61AE13F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0.14</w:t>
            </w:r>
          </w:p>
        </w:tc>
        <w:tc>
          <w:tcPr>
            <w:tcW w:w="794" w:type="dxa"/>
            <w:tcBorders>
              <w:top w:val="nil"/>
              <w:left w:val="nil"/>
              <w:bottom w:val="nil"/>
              <w:right w:val="single" w:sz="4" w:space="0" w:color="auto"/>
            </w:tcBorders>
            <w:shd w:val="clear" w:color="000000" w:fill="F2F2F2"/>
            <w:noWrap/>
            <w:vAlign w:val="center"/>
            <w:hideMark/>
          </w:tcPr>
          <w:p w14:paraId="0C261313" w14:textId="46F858B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1.15</w:t>
            </w:r>
          </w:p>
        </w:tc>
        <w:tc>
          <w:tcPr>
            <w:tcW w:w="794" w:type="dxa"/>
            <w:tcBorders>
              <w:top w:val="nil"/>
              <w:left w:val="nil"/>
              <w:bottom w:val="nil"/>
              <w:right w:val="nil"/>
            </w:tcBorders>
            <w:shd w:val="clear" w:color="auto" w:fill="auto"/>
            <w:noWrap/>
            <w:vAlign w:val="center"/>
            <w:hideMark/>
          </w:tcPr>
          <w:p w14:paraId="2BB67FF8" w14:textId="5790B81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-0.31</w:t>
            </w:r>
          </w:p>
        </w:tc>
        <w:tc>
          <w:tcPr>
            <w:tcW w:w="794" w:type="dxa"/>
            <w:tcBorders>
              <w:top w:val="nil"/>
              <w:left w:val="nil"/>
              <w:bottom w:val="nil"/>
              <w:right w:val="single" w:sz="4" w:space="0" w:color="auto"/>
            </w:tcBorders>
            <w:shd w:val="clear" w:color="000000" w:fill="F2F2F2"/>
            <w:noWrap/>
            <w:vAlign w:val="center"/>
            <w:hideMark/>
          </w:tcPr>
          <w:p w14:paraId="13580C30" w14:textId="3EA6027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0.50</w:t>
            </w:r>
          </w:p>
        </w:tc>
        <w:tc>
          <w:tcPr>
            <w:tcW w:w="794" w:type="dxa"/>
            <w:tcBorders>
              <w:top w:val="nil"/>
              <w:left w:val="nil"/>
              <w:bottom w:val="nil"/>
              <w:right w:val="nil"/>
            </w:tcBorders>
            <w:shd w:val="clear" w:color="auto" w:fill="auto"/>
            <w:noWrap/>
            <w:vAlign w:val="center"/>
            <w:hideMark/>
          </w:tcPr>
          <w:p w14:paraId="33D83EAB" w14:textId="4852D4E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-0.10</w:t>
            </w:r>
          </w:p>
        </w:tc>
        <w:tc>
          <w:tcPr>
            <w:tcW w:w="794" w:type="dxa"/>
            <w:tcBorders>
              <w:top w:val="nil"/>
              <w:left w:val="nil"/>
              <w:bottom w:val="nil"/>
              <w:right w:val="single" w:sz="4" w:space="0" w:color="auto"/>
            </w:tcBorders>
            <w:shd w:val="clear" w:color="000000" w:fill="F2F2F2"/>
            <w:noWrap/>
            <w:vAlign w:val="center"/>
            <w:hideMark/>
          </w:tcPr>
          <w:p w14:paraId="09E8E690" w14:textId="1114B42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1.17</w:t>
            </w:r>
          </w:p>
        </w:tc>
        <w:tc>
          <w:tcPr>
            <w:tcW w:w="794" w:type="dxa"/>
            <w:tcBorders>
              <w:top w:val="nil"/>
              <w:left w:val="nil"/>
              <w:bottom w:val="nil"/>
              <w:right w:val="nil"/>
            </w:tcBorders>
            <w:shd w:val="clear" w:color="auto" w:fill="auto"/>
            <w:noWrap/>
            <w:vAlign w:val="center"/>
            <w:hideMark/>
          </w:tcPr>
          <w:p w14:paraId="46E1DDE1" w14:textId="3E4AD61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-0.01</w:t>
            </w:r>
          </w:p>
        </w:tc>
        <w:tc>
          <w:tcPr>
            <w:tcW w:w="794" w:type="dxa"/>
            <w:tcBorders>
              <w:top w:val="nil"/>
              <w:left w:val="nil"/>
              <w:bottom w:val="nil"/>
              <w:right w:val="single" w:sz="4" w:space="0" w:color="auto"/>
            </w:tcBorders>
            <w:shd w:val="clear" w:color="000000" w:fill="F2F2F2"/>
            <w:noWrap/>
            <w:vAlign w:val="center"/>
            <w:hideMark/>
          </w:tcPr>
          <w:p w14:paraId="6209EA16" w14:textId="3F610A0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2.02</w:t>
            </w:r>
          </w:p>
        </w:tc>
        <w:tc>
          <w:tcPr>
            <w:tcW w:w="794" w:type="dxa"/>
            <w:tcBorders>
              <w:top w:val="nil"/>
              <w:left w:val="nil"/>
              <w:bottom w:val="nil"/>
              <w:right w:val="nil"/>
            </w:tcBorders>
            <w:shd w:val="clear" w:color="auto" w:fill="auto"/>
            <w:noWrap/>
            <w:vAlign w:val="center"/>
            <w:hideMark/>
          </w:tcPr>
          <w:p w14:paraId="316636AB" w14:textId="5CFE87D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0.13</w:t>
            </w:r>
          </w:p>
        </w:tc>
        <w:tc>
          <w:tcPr>
            <w:tcW w:w="794" w:type="dxa"/>
            <w:tcBorders>
              <w:top w:val="nil"/>
              <w:left w:val="nil"/>
              <w:bottom w:val="nil"/>
              <w:right w:val="single" w:sz="4" w:space="0" w:color="auto"/>
            </w:tcBorders>
            <w:shd w:val="clear" w:color="000000" w:fill="F2F2F2"/>
            <w:noWrap/>
            <w:vAlign w:val="center"/>
            <w:hideMark/>
          </w:tcPr>
          <w:p w14:paraId="394C0E72" w14:textId="61BBE7B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0.95</w:t>
            </w:r>
          </w:p>
        </w:tc>
        <w:tc>
          <w:tcPr>
            <w:tcW w:w="794" w:type="dxa"/>
            <w:tcBorders>
              <w:top w:val="nil"/>
              <w:left w:val="nil"/>
              <w:bottom w:val="nil"/>
              <w:right w:val="nil"/>
            </w:tcBorders>
            <w:shd w:val="clear" w:color="auto" w:fill="auto"/>
            <w:noWrap/>
            <w:vAlign w:val="center"/>
            <w:hideMark/>
          </w:tcPr>
          <w:p w14:paraId="35D2FA77" w14:textId="6E050FB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0.03</w:t>
            </w:r>
          </w:p>
        </w:tc>
        <w:tc>
          <w:tcPr>
            <w:tcW w:w="794" w:type="dxa"/>
            <w:tcBorders>
              <w:top w:val="nil"/>
              <w:left w:val="nil"/>
              <w:bottom w:val="nil"/>
              <w:right w:val="single" w:sz="4" w:space="0" w:color="auto"/>
            </w:tcBorders>
            <w:shd w:val="clear" w:color="000000" w:fill="F2F2F2"/>
            <w:noWrap/>
            <w:vAlign w:val="center"/>
            <w:hideMark/>
          </w:tcPr>
          <w:p w14:paraId="79DF72E8" w14:textId="2F50152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1.74</w:t>
            </w:r>
          </w:p>
        </w:tc>
        <w:tc>
          <w:tcPr>
            <w:tcW w:w="794" w:type="dxa"/>
            <w:tcBorders>
              <w:top w:val="nil"/>
              <w:left w:val="nil"/>
              <w:bottom w:val="nil"/>
              <w:right w:val="nil"/>
            </w:tcBorders>
            <w:shd w:val="clear" w:color="auto" w:fill="auto"/>
            <w:noWrap/>
            <w:vAlign w:val="center"/>
            <w:hideMark/>
          </w:tcPr>
          <w:p w14:paraId="0C4819A8" w14:textId="128098E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-0.14</w:t>
            </w:r>
          </w:p>
        </w:tc>
        <w:tc>
          <w:tcPr>
            <w:tcW w:w="794" w:type="dxa"/>
            <w:tcBorders>
              <w:top w:val="nil"/>
              <w:left w:val="nil"/>
              <w:bottom w:val="nil"/>
              <w:right w:val="single" w:sz="4" w:space="0" w:color="auto"/>
            </w:tcBorders>
            <w:shd w:val="clear" w:color="000000" w:fill="F2F2F2"/>
            <w:noWrap/>
            <w:vAlign w:val="center"/>
            <w:hideMark/>
          </w:tcPr>
          <w:p w14:paraId="450D00BF" w14:textId="7EC47CD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2.11</w:t>
            </w:r>
          </w:p>
        </w:tc>
        <w:tc>
          <w:tcPr>
            <w:tcW w:w="794" w:type="dxa"/>
            <w:tcBorders>
              <w:top w:val="nil"/>
              <w:left w:val="nil"/>
              <w:bottom w:val="nil"/>
              <w:right w:val="nil"/>
            </w:tcBorders>
            <w:shd w:val="clear" w:color="auto" w:fill="auto"/>
            <w:noWrap/>
            <w:vAlign w:val="center"/>
            <w:hideMark/>
          </w:tcPr>
          <w:p w14:paraId="1EE27A80" w14:textId="3874250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-0.17</w:t>
            </w:r>
          </w:p>
        </w:tc>
        <w:tc>
          <w:tcPr>
            <w:tcW w:w="794" w:type="dxa"/>
            <w:tcBorders>
              <w:top w:val="nil"/>
              <w:left w:val="nil"/>
              <w:bottom w:val="nil"/>
              <w:right w:val="single" w:sz="4" w:space="0" w:color="auto"/>
            </w:tcBorders>
            <w:shd w:val="clear" w:color="000000" w:fill="F2F2F2"/>
            <w:noWrap/>
            <w:vAlign w:val="center"/>
            <w:hideMark/>
          </w:tcPr>
          <w:p w14:paraId="7182558A" w14:textId="2E2FAC5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1.74</w:t>
            </w:r>
          </w:p>
        </w:tc>
        <w:tc>
          <w:tcPr>
            <w:tcW w:w="794" w:type="dxa"/>
            <w:tcBorders>
              <w:top w:val="nil"/>
              <w:left w:val="nil"/>
              <w:bottom w:val="nil"/>
              <w:right w:val="nil"/>
            </w:tcBorders>
            <w:shd w:val="clear" w:color="auto" w:fill="auto"/>
            <w:noWrap/>
            <w:vAlign w:val="center"/>
            <w:hideMark/>
          </w:tcPr>
          <w:p w14:paraId="3018958E" w14:textId="3B95097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0.04</w:t>
            </w:r>
          </w:p>
        </w:tc>
        <w:tc>
          <w:tcPr>
            <w:tcW w:w="794" w:type="dxa"/>
            <w:tcBorders>
              <w:top w:val="nil"/>
              <w:left w:val="nil"/>
              <w:bottom w:val="nil"/>
              <w:right w:val="single" w:sz="4" w:space="0" w:color="auto"/>
            </w:tcBorders>
            <w:shd w:val="clear" w:color="000000" w:fill="F2F2F2"/>
            <w:noWrap/>
            <w:vAlign w:val="center"/>
            <w:hideMark/>
          </w:tcPr>
          <w:p w14:paraId="3A2E3D55" w14:textId="7A92D81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0.93</w:t>
            </w:r>
          </w:p>
        </w:tc>
      </w:tr>
      <w:tr w:rsidR="002F1955" w:rsidRPr="00A952F7" w14:paraId="67A7D464"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10D00CE5"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Instalment debt</w:t>
            </w:r>
          </w:p>
        </w:tc>
        <w:tc>
          <w:tcPr>
            <w:tcW w:w="794" w:type="dxa"/>
            <w:tcBorders>
              <w:top w:val="nil"/>
              <w:left w:val="nil"/>
              <w:bottom w:val="nil"/>
              <w:right w:val="nil"/>
            </w:tcBorders>
            <w:shd w:val="clear" w:color="auto" w:fill="auto"/>
            <w:noWrap/>
            <w:vAlign w:val="center"/>
            <w:hideMark/>
          </w:tcPr>
          <w:p w14:paraId="188B61F2" w14:textId="3043FC44"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-0.04</w:t>
            </w:r>
          </w:p>
        </w:tc>
        <w:tc>
          <w:tcPr>
            <w:tcW w:w="794" w:type="dxa"/>
            <w:tcBorders>
              <w:top w:val="nil"/>
              <w:left w:val="nil"/>
              <w:bottom w:val="nil"/>
              <w:right w:val="single" w:sz="4" w:space="0" w:color="auto"/>
            </w:tcBorders>
            <w:shd w:val="clear" w:color="000000" w:fill="F2F2F2"/>
            <w:noWrap/>
            <w:vAlign w:val="center"/>
            <w:hideMark/>
          </w:tcPr>
          <w:p w14:paraId="36392F98" w14:textId="7674FAA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-0.75</w:t>
            </w:r>
          </w:p>
        </w:tc>
        <w:tc>
          <w:tcPr>
            <w:tcW w:w="794" w:type="dxa"/>
            <w:tcBorders>
              <w:top w:val="nil"/>
              <w:left w:val="nil"/>
              <w:bottom w:val="nil"/>
              <w:right w:val="nil"/>
            </w:tcBorders>
            <w:shd w:val="clear" w:color="auto" w:fill="auto"/>
            <w:noWrap/>
            <w:vAlign w:val="center"/>
            <w:hideMark/>
          </w:tcPr>
          <w:p w14:paraId="4AE3BA47" w14:textId="1674411D"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D6E0A64" w14:textId="6B11635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-0.80</w:t>
            </w:r>
          </w:p>
        </w:tc>
        <w:tc>
          <w:tcPr>
            <w:tcW w:w="794" w:type="dxa"/>
            <w:tcBorders>
              <w:top w:val="nil"/>
              <w:left w:val="nil"/>
              <w:bottom w:val="nil"/>
              <w:right w:val="nil"/>
            </w:tcBorders>
            <w:shd w:val="clear" w:color="auto" w:fill="auto"/>
            <w:noWrap/>
            <w:vAlign w:val="center"/>
            <w:hideMark/>
          </w:tcPr>
          <w:p w14:paraId="21915494" w14:textId="2C2838D0"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5F6678B9" w14:textId="26347C1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-1.40</w:t>
            </w:r>
          </w:p>
        </w:tc>
        <w:tc>
          <w:tcPr>
            <w:tcW w:w="794" w:type="dxa"/>
            <w:tcBorders>
              <w:top w:val="nil"/>
              <w:left w:val="nil"/>
              <w:bottom w:val="nil"/>
              <w:right w:val="nil"/>
            </w:tcBorders>
            <w:shd w:val="clear" w:color="auto" w:fill="auto"/>
            <w:noWrap/>
            <w:vAlign w:val="center"/>
            <w:hideMark/>
          </w:tcPr>
          <w:p w14:paraId="79322B91" w14:textId="7B14FA6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-0.03</w:t>
            </w:r>
          </w:p>
        </w:tc>
        <w:tc>
          <w:tcPr>
            <w:tcW w:w="794" w:type="dxa"/>
            <w:tcBorders>
              <w:top w:val="nil"/>
              <w:left w:val="nil"/>
              <w:bottom w:val="nil"/>
              <w:right w:val="single" w:sz="4" w:space="0" w:color="auto"/>
            </w:tcBorders>
            <w:shd w:val="clear" w:color="000000" w:fill="F2F2F2"/>
            <w:noWrap/>
            <w:vAlign w:val="center"/>
            <w:hideMark/>
          </w:tcPr>
          <w:p w14:paraId="14BE5C21" w14:textId="71FDBD5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-1.56</w:t>
            </w:r>
          </w:p>
        </w:tc>
        <w:tc>
          <w:tcPr>
            <w:tcW w:w="794" w:type="dxa"/>
            <w:tcBorders>
              <w:top w:val="nil"/>
              <w:left w:val="nil"/>
              <w:bottom w:val="nil"/>
              <w:right w:val="nil"/>
            </w:tcBorders>
            <w:shd w:val="clear" w:color="auto" w:fill="auto"/>
            <w:noWrap/>
            <w:vAlign w:val="center"/>
            <w:hideMark/>
          </w:tcPr>
          <w:p w14:paraId="65E11A9A" w14:textId="47C29B7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-0.03</w:t>
            </w:r>
          </w:p>
        </w:tc>
        <w:tc>
          <w:tcPr>
            <w:tcW w:w="794" w:type="dxa"/>
            <w:tcBorders>
              <w:top w:val="nil"/>
              <w:left w:val="nil"/>
              <w:bottom w:val="nil"/>
              <w:right w:val="single" w:sz="4" w:space="0" w:color="auto"/>
            </w:tcBorders>
            <w:shd w:val="clear" w:color="000000" w:fill="F2F2F2"/>
            <w:noWrap/>
            <w:vAlign w:val="center"/>
            <w:hideMark/>
          </w:tcPr>
          <w:p w14:paraId="07C68421" w14:textId="5060CBF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-1.69</w:t>
            </w:r>
          </w:p>
        </w:tc>
        <w:tc>
          <w:tcPr>
            <w:tcW w:w="794" w:type="dxa"/>
            <w:tcBorders>
              <w:top w:val="nil"/>
              <w:left w:val="nil"/>
              <w:bottom w:val="nil"/>
              <w:right w:val="nil"/>
            </w:tcBorders>
            <w:shd w:val="clear" w:color="auto" w:fill="auto"/>
            <w:noWrap/>
            <w:vAlign w:val="center"/>
            <w:hideMark/>
          </w:tcPr>
          <w:p w14:paraId="65C794F7" w14:textId="006FBB6B"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34AAC3AA" w14:textId="0FF9810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-1.35</w:t>
            </w:r>
          </w:p>
        </w:tc>
        <w:tc>
          <w:tcPr>
            <w:tcW w:w="794" w:type="dxa"/>
            <w:tcBorders>
              <w:top w:val="nil"/>
              <w:left w:val="nil"/>
              <w:bottom w:val="nil"/>
              <w:right w:val="nil"/>
            </w:tcBorders>
            <w:shd w:val="clear" w:color="auto" w:fill="auto"/>
            <w:noWrap/>
            <w:vAlign w:val="center"/>
            <w:hideMark/>
          </w:tcPr>
          <w:p w14:paraId="162114DF" w14:textId="547EEFC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0E2A66C3" w14:textId="48F0593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-3.29</w:t>
            </w:r>
          </w:p>
        </w:tc>
        <w:tc>
          <w:tcPr>
            <w:tcW w:w="794" w:type="dxa"/>
            <w:tcBorders>
              <w:top w:val="nil"/>
              <w:left w:val="nil"/>
              <w:bottom w:val="nil"/>
              <w:right w:val="nil"/>
            </w:tcBorders>
            <w:shd w:val="clear" w:color="auto" w:fill="auto"/>
            <w:noWrap/>
            <w:vAlign w:val="center"/>
            <w:hideMark/>
          </w:tcPr>
          <w:p w14:paraId="0BB4FFB7" w14:textId="43C6E9D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39C2BDC9" w14:textId="1FADA4D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-2.30</w:t>
            </w:r>
          </w:p>
        </w:tc>
        <w:tc>
          <w:tcPr>
            <w:tcW w:w="794" w:type="dxa"/>
            <w:tcBorders>
              <w:top w:val="nil"/>
              <w:left w:val="nil"/>
              <w:bottom w:val="nil"/>
              <w:right w:val="nil"/>
            </w:tcBorders>
            <w:shd w:val="clear" w:color="auto" w:fill="auto"/>
            <w:noWrap/>
            <w:vAlign w:val="center"/>
            <w:hideMark/>
          </w:tcPr>
          <w:p w14:paraId="7EF7AB99" w14:textId="6CC6BE2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7E7EF5C7" w14:textId="457C93D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-2.30</w:t>
            </w:r>
          </w:p>
        </w:tc>
      </w:tr>
      <w:tr w:rsidR="002F1955" w:rsidRPr="00A952F7" w14:paraId="00670429"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2C8BFF55"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Credit card balances</w:t>
            </w:r>
          </w:p>
        </w:tc>
        <w:tc>
          <w:tcPr>
            <w:tcW w:w="794" w:type="dxa"/>
            <w:tcBorders>
              <w:top w:val="nil"/>
              <w:left w:val="nil"/>
              <w:bottom w:val="nil"/>
              <w:right w:val="nil"/>
            </w:tcBorders>
            <w:shd w:val="clear" w:color="auto" w:fill="auto"/>
            <w:noWrap/>
            <w:vAlign w:val="center"/>
            <w:hideMark/>
          </w:tcPr>
          <w:p w14:paraId="11CF3527" w14:textId="4FBD024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0.04</w:t>
            </w:r>
          </w:p>
        </w:tc>
        <w:tc>
          <w:tcPr>
            <w:tcW w:w="794" w:type="dxa"/>
            <w:tcBorders>
              <w:top w:val="nil"/>
              <w:left w:val="nil"/>
              <w:bottom w:val="nil"/>
              <w:right w:val="single" w:sz="4" w:space="0" w:color="auto"/>
            </w:tcBorders>
            <w:shd w:val="clear" w:color="000000" w:fill="F2F2F2"/>
            <w:noWrap/>
            <w:vAlign w:val="center"/>
            <w:hideMark/>
          </w:tcPr>
          <w:p w14:paraId="5536C167" w14:textId="70F0FD0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-5.64</w:t>
            </w:r>
          </w:p>
        </w:tc>
        <w:tc>
          <w:tcPr>
            <w:tcW w:w="794" w:type="dxa"/>
            <w:tcBorders>
              <w:top w:val="nil"/>
              <w:left w:val="nil"/>
              <w:bottom w:val="nil"/>
              <w:right w:val="nil"/>
            </w:tcBorders>
            <w:shd w:val="clear" w:color="auto" w:fill="auto"/>
            <w:noWrap/>
            <w:vAlign w:val="center"/>
            <w:hideMark/>
          </w:tcPr>
          <w:p w14:paraId="30A67B03" w14:textId="0D4E88E6"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7DC9FFD2" w14:textId="628EF57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-5.97</w:t>
            </w:r>
          </w:p>
        </w:tc>
        <w:tc>
          <w:tcPr>
            <w:tcW w:w="794" w:type="dxa"/>
            <w:tcBorders>
              <w:top w:val="nil"/>
              <w:left w:val="nil"/>
              <w:bottom w:val="nil"/>
              <w:right w:val="nil"/>
            </w:tcBorders>
            <w:shd w:val="clear" w:color="auto" w:fill="auto"/>
            <w:noWrap/>
            <w:vAlign w:val="center"/>
            <w:hideMark/>
          </w:tcPr>
          <w:p w14:paraId="49682468" w14:textId="391DED6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0.01</w:t>
            </w:r>
          </w:p>
        </w:tc>
        <w:tc>
          <w:tcPr>
            <w:tcW w:w="794" w:type="dxa"/>
            <w:tcBorders>
              <w:top w:val="nil"/>
              <w:left w:val="nil"/>
              <w:bottom w:val="nil"/>
              <w:right w:val="single" w:sz="4" w:space="0" w:color="auto"/>
            </w:tcBorders>
            <w:shd w:val="clear" w:color="000000" w:fill="F2F2F2"/>
            <w:noWrap/>
            <w:vAlign w:val="center"/>
            <w:hideMark/>
          </w:tcPr>
          <w:p w14:paraId="3B499335" w14:textId="128AA46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-4.21</w:t>
            </w:r>
          </w:p>
        </w:tc>
        <w:tc>
          <w:tcPr>
            <w:tcW w:w="794" w:type="dxa"/>
            <w:tcBorders>
              <w:top w:val="nil"/>
              <w:left w:val="nil"/>
              <w:bottom w:val="nil"/>
              <w:right w:val="nil"/>
            </w:tcBorders>
            <w:shd w:val="clear" w:color="auto" w:fill="auto"/>
            <w:noWrap/>
            <w:vAlign w:val="center"/>
            <w:hideMark/>
          </w:tcPr>
          <w:p w14:paraId="10A12189" w14:textId="7BB236E9"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09050FA" w14:textId="112D54D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-5.40</w:t>
            </w:r>
          </w:p>
        </w:tc>
        <w:tc>
          <w:tcPr>
            <w:tcW w:w="794" w:type="dxa"/>
            <w:tcBorders>
              <w:top w:val="nil"/>
              <w:left w:val="nil"/>
              <w:bottom w:val="nil"/>
              <w:right w:val="nil"/>
            </w:tcBorders>
            <w:shd w:val="clear" w:color="auto" w:fill="auto"/>
            <w:noWrap/>
            <w:vAlign w:val="center"/>
            <w:hideMark/>
          </w:tcPr>
          <w:p w14:paraId="0B7F2FE2" w14:textId="31ACD6B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295CB942" w14:textId="452D359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-1.91</w:t>
            </w:r>
          </w:p>
        </w:tc>
        <w:tc>
          <w:tcPr>
            <w:tcW w:w="794" w:type="dxa"/>
            <w:tcBorders>
              <w:top w:val="nil"/>
              <w:left w:val="nil"/>
              <w:bottom w:val="nil"/>
              <w:right w:val="nil"/>
            </w:tcBorders>
            <w:shd w:val="clear" w:color="auto" w:fill="auto"/>
            <w:noWrap/>
            <w:vAlign w:val="center"/>
            <w:hideMark/>
          </w:tcPr>
          <w:p w14:paraId="653BEFBE" w14:textId="4F6E327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476932E6" w14:textId="3426EF5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-5.80</w:t>
            </w:r>
          </w:p>
        </w:tc>
        <w:tc>
          <w:tcPr>
            <w:tcW w:w="794" w:type="dxa"/>
            <w:tcBorders>
              <w:top w:val="nil"/>
              <w:left w:val="nil"/>
              <w:bottom w:val="nil"/>
              <w:right w:val="nil"/>
            </w:tcBorders>
            <w:shd w:val="clear" w:color="auto" w:fill="auto"/>
            <w:noWrap/>
            <w:vAlign w:val="center"/>
            <w:hideMark/>
          </w:tcPr>
          <w:p w14:paraId="29D28A75" w14:textId="36AA4908"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0D16695F" w14:textId="1F1A244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-5.02</w:t>
            </w:r>
          </w:p>
        </w:tc>
        <w:tc>
          <w:tcPr>
            <w:tcW w:w="794" w:type="dxa"/>
            <w:tcBorders>
              <w:top w:val="nil"/>
              <w:left w:val="nil"/>
              <w:bottom w:val="nil"/>
              <w:right w:val="nil"/>
            </w:tcBorders>
            <w:shd w:val="clear" w:color="auto" w:fill="auto"/>
            <w:noWrap/>
            <w:vAlign w:val="center"/>
            <w:hideMark/>
          </w:tcPr>
          <w:p w14:paraId="2FD52433" w14:textId="72EB4298"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1EDA8555" w14:textId="6F509B6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-5.66</w:t>
            </w:r>
          </w:p>
        </w:tc>
        <w:tc>
          <w:tcPr>
            <w:tcW w:w="794" w:type="dxa"/>
            <w:tcBorders>
              <w:top w:val="nil"/>
              <w:left w:val="nil"/>
              <w:bottom w:val="nil"/>
              <w:right w:val="nil"/>
            </w:tcBorders>
            <w:shd w:val="clear" w:color="auto" w:fill="auto"/>
            <w:noWrap/>
            <w:vAlign w:val="center"/>
            <w:hideMark/>
          </w:tcPr>
          <w:p w14:paraId="4039C853" w14:textId="298C10C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03C6E5B5" w14:textId="6F1B524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-9.34</w:t>
            </w:r>
          </w:p>
        </w:tc>
      </w:tr>
      <w:tr w:rsidR="002F1955" w:rsidRPr="00A952F7" w14:paraId="0823BC85" w14:textId="77777777" w:rsidTr="002F1955">
        <w:trPr>
          <w:trHeight w:val="227"/>
        </w:trPr>
        <w:tc>
          <w:tcPr>
            <w:tcW w:w="1701" w:type="dxa"/>
            <w:tcBorders>
              <w:top w:val="nil"/>
              <w:left w:val="single" w:sz="4" w:space="0" w:color="auto"/>
              <w:right w:val="single" w:sz="4" w:space="0" w:color="auto"/>
            </w:tcBorders>
            <w:shd w:val="clear" w:color="auto" w:fill="auto"/>
            <w:noWrap/>
            <w:vAlign w:val="bottom"/>
            <w:hideMark/>
          </w:tcPr>
          <w:p w14:paraId="0B173D3D"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Other types of debt</w:t>
            </w:r>
          </w:p>
        </w:tc>
        <w:tc>
          <w:tcPr>
            <w:tcW w:w="794" w:type="dxa"/>
            <w:tcBorders>
              <w:top w:val="nil"/>
              <w:left w:val="nil"/>
              <w:right w:val="nil"/>
            </w:tcBorders>
            <w:shd w:val="clear" w:color="auto" w:fill="auto"/>
            <w:noWrap/>
            <w:vAlign w:val="center"/>
            <w:hideMark/>
          </w:tcPr>
          <w:p w14:paraId="15950450" w14:textId="7C0F4D20" w:rsidR="002F1955" w:rsidRPr="002F1955" w:rsidRDefault="002F1955" w:rsidP="002F1955">
            <w:pPr>
              <w:spacing w:after="0" w:line="240" w:lineRule="auto"/>
              <w:ind w:firstLine="0"/>
              <w:jc w:val="center"/>
              <w:rPr>
                <w:rFonts w:eastAsia="Calibri" w:cs="Times New Roman"/>
                <w:i/>
                <w:iCs/>
                <w:color w:val="000000"/>
                <w:sz w:val="20"/>
                <w:szCs w:val="20"/>
                <w:u w:val="single"/>
              </w:rPr>
            </w:pPr>
            <w:r w:rsidRPr="002F1955">
              <w:rPr>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10D326EE" w14:textId="3AA1F659" w:rsidR="002F1955" w:rsidRPr="002F1955" w:rsidRDefault="002F1955" w:rsidP="002F1955">
            <w:pPr>
              <w:spacing w:after="0" w:line="240" w:lineRule="auto"/>
              <w:ind w:firstLine="0"/>
              <w:jc w:val="center"/>
              <w:rPr>
                <w:rFonts w:eastAsia="Calibri" w:cs="Times New Roman"/>
                <w:i/>
                <w:iCs/>
                <w:color w:val="000000"/>
                <w:sz w:val="20"/>
                <w:szCs w:val="20"/>
                <w:u w:val="single"/>
              </w:rPr>
            </w:pPr>
            <w:r w:rsidRPr="002F1955">
              <w:rPr>
                <w:color w:val="000000"/>
                <w:sz w:val="20"/>
                <w:szCs w:val="20"/>
              </w:rPr>
              <w:t>1.01</w:t>
            </w:r>
          </w:p>
        </w:tc>
        <w:tc>
          <w:tcPr>
            <w:tcW w:w="794" w:type="dxa"/>
            <w:tcBorders>
              <w:top w:val="nil"/>
              <w:left w:val="nil"/>
              <w:right w:val="nil"/>
            </w:tcBorders>
            <w:shd w:val="clear" w:color="auto" w:fill="auto"/>
            <w:noWrap/>
            <w:vAlign w:val="center"/>
            <w:hideMark/>
          </w:tcPr>
          <w:p w14:paraId="0F8933B2" w14:textId="7C008558"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1D90EA7A" w14:textId="4EB2595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0.81</w:t>
            </w:r>
          </w:p>
        </w:tc>
        <w:tc>
          <w:tcPr>
            <w:tcW w:w="794" w:type="dxa"/>
            <w:tcBorders>
              <w:top w:val="nil"/>
              <w:left w:val="nil"/>
              <w:right w:val="nil"/>
            </w:tcBorders>
            <w:shd w:val="clear" w:color="auto" w:fill="auto"/>
            <w:noWrap/>
            <w:vAlign w:val="center"/>
            <w:hideMark/>
          </w:tcPr>
          <w:p w14:paraId="5B800BFE" w14:textId="3CDF6E27" w:rsidR="002F1955" w:rsidRPr="002F1955" w:rsidRDefault="002F1955" w:rsidP="002F1955">
            <w:pPr>
              <w:spacing w:after="0" w:line="240" w:lineRule="auto"/>
              <w:ind w:firstLine="0"/>
              <w:jc w:val="center"/>
              <w:rPr>
                <w:rFonts w:eastAsia="Times New Roman" w:cs="Times New Roman"/>
                <w:i/>
                <w:iCs/>
                <w:color w:val="000000"/>
                <w:sz w:val="20"/>
                <w:szCs w:val="20"/>
                <w:u w:val="single"/>
              </w:rPr>
            </w:pPr>
            <w:r w:rsidRPr="002F1955">
              <w:rPr>
                <w:i/>
                <w:iCs/>
                <w:color w:val="000000"/>
                <w:sz w:val="20"/>
                <w:szCs w:val="20"/>
                <w:u w:val="single"/>
              </w:rPr>
              <w:t>0.00</w:t>
            </w:r>
          </w:p>
        </w:tc>
        <w:tc>
          <w:tcPr>
            <w:tcW w:w="794" w:type="dxa"/>
            <w:tcBorders>
              <w:top w:val="nil"/>
              <w:left w:val="nil"/>
              <w:right w:val="single" w:sz="4" w:space="0" w:color="auto"/>
            </w:tcBorders>
            <w:shd w:val="clear" w:color="000000" w:fill="F2F2F2"/>
            <w:noWrap/>
            <w:vAlign w:val="center"/>
            <w:hideMark/>
          </w:tcPr>
          <w:p w14:paraId="5A590446" w14:textId="081B0F96" w:rsidR="002F1955" w:rsidRPr="002F1955" w:rsidRDefault="002F1955" w:rsidP="002F1955">
            <w:pPr>
              <w:spacing w:after="0" w:line="240" w:lineRule="auto"/>
              <w:ind w:firstLine="0"/>
              <w:jc w:val="center"/>
              <w:rPr>
                <w:rFonts w:eastAsia="Times New Roman" w:cs="Times New Roman"/>
                <w:i/>
                <w:iCs/>
                <w:color w:val="000000"/>
                <w:sz w:val="20"/>
                <w:szCs w:val="20"/>
                <w:u w:val="single"/>
              </w:rPr>
            </w:pPr>
            <w:r w:rsidRPr="002F1955">
              <w:rPr>
                <w:i/>
                <w:iCs/>
                <w:color w:val="000000"/>
                <w:sz w:val="20"/>
                <w:szCs w:val="20"/>
                <w:u w:val="single"/>
              </w:rPr>
              <w:t>0.44</w:t>
            </w:r>
          </w:p>
        </w:tc>
        <w:tc>
          <w:tcPr>
            <w:tcW w:w="794" w:type="dxa"/>
            <w:tcBorders>
              <w:top w:val="nil"/>
              <w:left w:val="nil"/>
              <w:right w:val="nil"/>
            </w:tcBorders>
            <w:shd w:val="clear" w:color="auto" w:fill="auto"/>
            <w:noWrap/>
            <w:vAlign w:val="center"/>
            <w:hideMark/>
          </w:tcPr>
          <w:p w14:paraId="2405D04A" w14:textId="35C2D53E" w:rsidR="002F1955" w:rsidRPr="002F1955" w:rsidRDefault="002F1955" w:rsidP="002F1955">
            <w:pPr>
              <w:spacing w:after="0" w:line="240" w:lineRule="auto"/>
              <w:ind w:firstLine="0"/>
              <w:jc w:val="center"/>
              <w:rPr>
                <w:rFonts w:eastAsia="Times New Roman" w:cs="Times New Roman"/>
                <w:color w:val="000000"/>
                <w:sz w:val="20"/>
                <w:szCs w:val="20"/>
                <w:u w:val="single"/>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0E147F14" w14:textId="34956880" w:rsidR="002F1955" w:rsidRPr="002F1955" w:rsidRDefault="002F1955" w:rsidP="002F1955">
            <w:pPr>
              <w:spacing w:after="0" w:line="240" w:lineRule="auto"/>
              <w:ind w:firstLine="0"/>
              <w:jc w:val="center"/>
              <w:rPr>
                <w:rFonts w:eastAsia="Times New Roman" w:cs="Times New Roman"/>
                <w:i/>
                <w:iCs/>
                <w:color w:val="000000"/>
                <w:sz w:val="20"/>
                <w:szCs w:val="20"/>
                <w:u w:val="single"/>
              </w:rPr>
            </w:pPr>
            <w:r w:rsidRPr="002F1955">
              <w:rPr>
                <w:color w:val="000000"/>
                <w:sz w:val="20"/>
                <w:szCs w:val="20"/>
              </w:rPr>
              <w:t>0.96</w:t>
            </w:r>
          </w:p>
        </w:tc>
        <w:tc>
          <w:tcPr>
            <w:tcW w:w="794" w:type="dxa"/>
            <w:tcBorders>
              <w:top w:val="nil"/>
              <w:left w:val="nil"/>
              <w:right w:val="nil"/>
            </w:tcBorders>
            <w:shd w:val="clear" w:color="auto" w:fill="auto"/>
            <w:noWrap/>
            <w:vAlign w:val="center"/>
            <w:hideMark/>
          </w:tcPr>
          <w:p w14:paraId="435BCDB9" w14:textId="64629E07"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-0.03</w:t>
            </w:r>
          </w:p>
        </w:tc>
        <w:tc>
          <w:tcPr>
            <w:tcW w:w="794" w:type="dxa"/>
            <w:tcBorders>
              <w:top w:val="nil"/>
              <w:left w:val="nil"/>
              <w:right w:val="single" w:sz="4" w:space="0" w:color="auto"/>
            </w:tcBorders>
            <w:shd w:val="clear" w:color="000000" w:fill="F2F2F2"/>
            <w:noWrap/>
            <w:vAlign w:val="center"/>
            <w:hideMark/>
          </w:tcPr>
          <w:p w14:paraId="33F01989" w14:textId="049ED7E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5.51</w:t>
            </w:r>
          </w:p>
        </w:tc>
        <w:tc>
          <w:tcPr>
            <w:tcW w:w="794" w:type="dxa"/>
            <w:tcBorders>
              <w:top w:val="nil"/>
              <w:left w:val="nil"/>
              <w:right w:val="nil"/>
            </w:tcBorders>
            <w:shd w:val="clear" w:color="auto" w:fill="auto"/>
            <w:noWrap/>
            <w:vAlign w:val="center"/>
            <w:hideMark/>
          </w:tcPr>
          <w:p w14:paraId="1D1062C1" w14:textId="4F70D41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18A9529E" w14:textId="56792BB1" w:rsidR="002F1955" w:rsidRPr="002F1955" w:rsidRDefault="002F1955" w:rsidP="002F1955">
            <w:pPr>
              <w:spacing w:after="0" w:line="240" w:lineRule="auto"/>
              <w:ind w:firstLine="0"/>
              <w:jc w:val="center"/>
              <w:rPr>
                <w:rFonts w:eastAsia="Times New Roman" w:cs="Times New Roman"/>
                <w:i/>
                <w:iCs/>
                <w:color w:val="000000"/>
                <w:sz w:val="20"/>
                <w:szCs w:val="20"/>
              </w:rPr>
            </w:pPr>
            <w:r w:rsidRPr="002F1955">
              <w:rPr>
                <w:i/>
                <w:iCs/>
                <w:color w:val="000000"/>
                <w:sz w:val="20"/>
                <w:szCs w:val="20"/>
              </w:rPr>
              <w:t>0.74</w:t>
            </w:r>
          </w:p>
        </w:tc>
        <w:tc>
          <w:tcPr>
            <w:tcW w:w="794" w:type="dxa"/>
            <w:tcBorders>
              <w:top w:val="nil"/>
              <w:left w:val="nil"/>
              <w:right w:val="nil"/>
            </w:tcBorders>
            <w:shd w:val="clear" w:color="auto" w:fill="auto"/>
            <w:noWrap/>
            <w:vAlign w:val="center"/>
            <w:hideMark/>
          </w:tcPr>
          <w:p w14:paraId="32D33C55" w14:textId="4133E639" w:rsidR="002F1955" w:rsidRPr="002F1955" w:rsidRDefault="002F1955" w:rsidP="002F1955">
            <w:pPr>
              <w:spacing w:after="0" w:line="240" w:lineRule="auto"/>
              <w:ind w:firstLine="0"/>
              <w:jc w:val="center"/>
              <w:rPr>
                <w:rFonts w:eastAsia="Times New Roman" w:cs="Times New Roman"/>
                <w:color w:val="000000"/>
                <w:sz w:val="20"/>
                <w:szCs w:val="20"/>
                <w:u w:val="single"/>
              </w:rPr>
            </w:pPr>
            <w:r w:rsidRPr="002F1955">
              <w:rPr>
                <w:color w:val="000000"/>
                <w:sz w:val="20"/>
                <w:szCs w:val="20"/>
                <w:u w:val="single"/>
              </w:rPr>
              <w:t>-0.04</w:t>
            </w:r>
          </w:p>
        </w:tc>
        <w:tc>
          <w:tcPr>
            <w:tcW w:w="794" w:type="dxa"/>
            <w:tcBorders>
              <w:top w:val="nil"/>
              <w:left w:val="nil"/>
              <w:right w:val="single" w:sz="4" w:space="0" w:color="auto"/>
            </w:tcBorders>
            <w:shd w:val="clear" w:color="000000" w:fill="F2F2F2"/>
            <w:noWrap/>
            <w:vAlign w:val="center"/>
            <w:hideMark/>
          </w:tcPr>
          <w:p w14:paraId="6CBE66E9" w14:textId="39F6B163" w:rsidR="002F1955" w:rsidRPr="002F1955" w:rsidRDefault="002F1955" w:rsidP="002F1955">
            <w:pPr>
              <w:spacing w:after="0" w:line="240" w:lineRule="auto"/>
              <w:ind w:firstLine="0"/>
              <w:jc w:val="center"/>
              <w:rPr>
                <w:rFonts w:eastAsia="Times New Roman" w:cs="Times New Roman"/>
                <w:i/>
                <w:iCs/>
                <w:color w:val="000000"/>
                <w:sz w:val="20"/>
                <w:szCs w:val="20"/>
                <w:u w:val="single"/>
              </w:rPr>
            </w:pPr>
            <w:r w:rsidRPr="002F1955">
              <w:rPr>
                <w:i/>
                <w:iCs/>
                <w:color w:val="000000"/>
                <w:sz w:val="20"/>
                <w:szCs w:val="20"/>
                <w:u w:val="single"/>
              </w:rPr>
              <w:t>0.26</w:t>
            </w:r>
          </w:p>
        </w:tc>
        <w:tc>
          <w:tcPr>
            <w:tcW w:w="794" w:type="dxa"/>
            <w:tcBorders>
              <w:top w:val="nil"/>
              <w:left w:val="nil"/>
              <w:right w:val="nil"/>
            </w:tcBorders>
            <w:shd w:val="clear" w:color="auto" w:fill="auto"/>
            <w:noWrap/>
            <w:vAlign w:val="center"/>
            <w:hideMark/>
          </w:tcPr>
          <w:p w14:paraId="5F7EF746" w14:textId="400E597A" w:rsidR="002F1955" w:rsidRPr="002F1955" w:rsidRDefault="002F1955" w:rsidP="002F1955">
            <w:pPr>
              <w:spacing w:after="0" w:line="240" w:lineRule="auto"/>
              <w:ind w:firstLine="0"/>
              <w:jc w:val="center"/>
              <w:rPr>
                <w:rFonts w:eastAsia="Times New Roman" w:cs="Times New Roman"/>
                <w:color w:val="000000"/>
                <w:sz w:val="20"/>
                <w:szCs w:val="20"/>
                <w:u w:val="single"/>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24E1115F" w14:textId="5EB1EE34" w:rsidR="002F1955" w:rsidRPr="002F1955" w:rsidRDefault="002F1955" w:rsidP="002F1955">
            <w:pPr>
              <w:spacing w:after="0" w:line="240" w:lineRule="auto"/>
              <w:ind w:firstLine="0"/>
              <w:jc w:val="center"/>
              <w:rPr>
                <w:rFonts w:eastAsia="Times New Roman" w:cs="Times New Roman"/>
                <w:i/>
                <w:iCs/>
                <w:color w:val="000000"/>
                <w:sz w:val="20"/>
                <w:szCs w:val="20"/>
                <w:u w:val="single"/>
              </w:rPr>
            </w:pPr>
            <w:r w:rsidRPr="002F1955">
              <w:rPr>
                <w:color w:val="000000"/>
                <w:sz w:val="20"/>
                <w:szCs w:val="20"/>
              </w:rPr>
              <w:t>-0.93</w:t>
            </w:r>
          </w:p>
        </w:tc>
        <w:tc>
          <w:tcPr>
            <w:tcW w:w="794" w:type="dxa"/>
            <w:tcBorders>
              <w:top w:val="nil"/>
              <w:left w:val="nil"/>
              <w:right w:val="nil"/>
            </w:tcBorders>
            <w:shd w:val="clear" w:color="auto" w:fill="auto"/>
            <w:noWrap/>
            <w:vAlign w:val="center"/>
            <w:hideMark/>
          </w:tcPr>
          <w:p w14:paraId="6964344A" w14:textId="4B89C82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u w:val="single"/>
              </w:rPr>
              <w:t>-0.04</w:t>
            </w:r>
          </w:p>
        </w:tc>
        <w:tc>
          <w:tcPr>
            <w:tcW w:w="794" w:type="dxa"/>
            <w:tcBorders>
              <w:top w:val="nil"/>
              <w:left w:val="nil"/>
              <w:right w:val="single" w:sz="4" w:space="0" w:color="auto"/>
            </w:tcBorders>
            <w:shd w:val="clear" w:color="000000" w:fill="F2F2F2"/>
            <w:noWrap/>
            <w:vAlign w:val="center"/>
            <w:hideMark/>
          </w:tcPr>
          <w:p w14:paraId="4436DF5D" w14:textId="605456A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u w:val="single"/>
              </w:rPr>
              <w:t>0.00</w:t>
            </w:r>
          </w:p>
        </w:tc>
      </w:tr>
      <w:tr w:rsidR="002F1955" w:rsidRPr="00A952F7" w14:paraId="7A48A137"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E03E39A" w14:textId="77777777" w:rsidR="002F1955" w:rsidRPr="00A952F7"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563F6801" w14:textId="42B0F22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1,091</w:t>
            </w:r>
          </w:p>
        </w:tc>
        <w:tc>
          <w:tcPr>
            <w:tcW w:w="794" w:type="dxa"/>
            <w:tcBorders>
              <w:top w:val="nil"/>
              <w:left w:val="nil"/>
              <w:bottom w:val="single" w:sz="4" w:space="0" w:color="auto"/>
              <w:right w:val="single" w:sz="4" w:space="0" w:color="auto"/>
            </w:tcBorders>
            <w:shd w:val="clear" w:color="000000" w:fill="F2F2F2"/>
            <w:noWrap/>
            <w:vAlign w:val="center"/>
            <w:hideMark/>
          </w:tcPr>
          <w:p w14:paraId="5985DF21" w14:textId="5F335B0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3,578</w:t>
            </w:r>
          </w:p>
        </w:tc>
        <w:tc>
          <w:tcPr>
            <w:tcW w:w="794" w:type="dxa"/>
            <w:tcBorders>
              <w:top w:val="nil"/>
              <w:left w:val="nil"/>
              <w:bottom w:val="single" w:sz="4" w:space="0" w:color="auto"/>
              <w:right w:val="nil"/>
            </w:tcBorders>
            <w:shd w:val="clear" w:color="auto" w:fill="auto"/>
            <w:noWrap/>
            <w:vAlign w:val="center"/>
            <w:hideMark/>
          </w:tcPr>
          <w:p w14:paraId="7FCDDCFC" w14:textId="656CD35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1,403</w:t>
            </w:r>
          </w:p>
        </w:tc>
        <w:tc>
          <w:tcPr>
            <w:tcW w:w="794" w:type="dxa"/>
            <w:tcBorders>
              <w:top w:val="nil"/>
              <w:left w:val="nil"/>
              <w:bottom w:val="single" w:sz="4" w:space="0" w:color="auto"/>
              <w:right w:val="single" w:sz="4" w:space="0" w:color="auto"/>
            </w:tcBorders>
            <w:shd w:val="clear" w:color="000000" w:fill="F2F2F2"/>
            <w:noWrap/>
            <w:vAlign w:val="center"/>
            <w:hideMark/>
          </w:tcPr>
          <w:p w14:paraId="17A3B43F" w14:textId="22C8FD5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4,471</w:t>
            </w:r>
          </w:p>
        </w:tc>
        <w:tc>
          <w:tcPr>
            <w:tcW w:w="794" w:type="dxa"/>
            <w:tcBorders>
              <w:top w:val="nil"/>
              <w:left w:val="nil"/>
              <w:bottom w:val="single" w:sz="4" w:space="0" w:color="auto"/>
              <w:right w:val="nil"/>
            </w:tcBorders>
            <w:shd w:val="clear" w:color="auto" w:fill="auto"/>
            <w:noWrap/>
            <w:vAlign w:val="center"/>
            <w:hideMark/>
          </w:tcPr>
          <w:p w14:paraId="7E46A2BC" w14:textId="6786452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1,570</w:t>
            </w:r>
          </w:p>
        </w:tc>
        <w:tc>
          <w:tcPr>
            <w:tcW w:w="794" w:type="dxa"/>
            <w:tcBorders>
              <w:top w:val="nil"/>
              <w:left w:val="nil"/>
              <w:bottom w:val="single" w:sz="4" w:space="0" w:color="auto"/>
              <w:right w:val="single" w:sz="4" w:space="0" w:color="auto"/>
            </w:tcBorders>
            <w:shd w:val="clear" w:color="000000" w:fill="F2F2F2"/>
            <w:noWrap/>
            <w:vAlign w:val="center"/>
            <w:hideMark/>
          </w:tcPr>
          <w:p w14:paraId="76DDFBEE" w14:textId="360F84F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4,547</w:t>
            </w:r>
          </w:p>
        </w:tc>
        <w:tc>
          <w:tcPr>
            <w:tcW w:w="794" w:type="dxa"/>
            <w:tcBorders>
              <w:top w:val="nil"/>
              <w:left w:val="nil"/>
              <w:bottom w:val="single" w:sz="4" w:space="0" w:color="auto"/>
              <w:right w:val="nil"/>
            </w:tcBorders>
            <w:shd w:val="clear" w:color="auto" w:fill="auto"/>
            <w:noWrap/>
            <w:vAlign w:val="center"/>
            <w:hideMark/>
          </w:tcPr>
          <w:p w14:paraId="3D16E08F" w14:textId="465D17F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1,628</w:t>
            </w:r>
          </w:p>
        </w:tc>
        <w:tc>
          <w:tcPr>
            <w:tcW w:w="794" w:type="dxa"/>
            <w:tcBorders>
              <w:top w:val="nil"/>
              <w:left w:val="nil"/>
              <w:bottom w:val="single" w:sz="4" w:space="0" w:color="auto"/>
              <w:right w:val="single" w:sz="4" w:space="0" w:color="auto"/>
            </w:tcBorders>
            <w:shd w:val="clear" w:color="000000" w:fill="F2F2F2"/>
            <w:noWrap/>
            <w:vAlign w:val="center"/>
            <w:hideMark/>
          </w:tcPr>
          <w:p w14:paraId="31B1949C" w14:textId="71402F9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4,843</w:t>
            </w:r>
          </w:p>
        </w:tc>
        <w:tc>
          <w:tcPr>
            <w:tcW w:w="794" w:type="dxa"/>
            <w:tcBorders>
              <w:top w:val="nil"/>
              <w:left w:val="nil"/>
              <w:bottom w:val="single" w:sz="4" w:space="0" w:color="auto"/>
              <w:right w:val="nil"/>
            </w:tcBorders>
            <w:shd w:val="clear" w:color="auto" w:fill="auto"/>
            <w:noWrap/>
            <w:vAlign w:val="center"/>
            <w:hideMark/>
          </w:tcPr>
          <w:p w14:paraId="049EE32B" w14:textId="4334DFA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1,630</w:t>
            </w:r>
          </w:p>
        </w:tc>
        <w:tc>
          <w:tcPr>
            <w:tcW w:w="794" w:type="dxa"/>
            <w:tcBorders>
              <w:top w:val="nil"/>
              <w:left w:val="nil"/>
              <w:bottom w:val="single" w:sz="4" w:space="0" w:color="auto"/>
              <w:right w:val="single" w:sz="4" w:space="0" w:color="auto"/>
            </w:tcBorders>
            <w:shd w:val="clear" w:color="000000" w:fill="F2F2F2"/>
            <w:noWrap/>
            <w:vAlign w:val="center"/>
            <w:hideMark/>
          </w:tcPr>
          <w:p w14:paraId="5E7D8877" w14:textId="247C5DA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4,644</w:t>
            </w:r>
          </w:p>
        </w:tc>
        <w:tc>
          <w:tcPr>
            <w:tcW w:w="794" w:type="dxa"/>
            <w:tcBorders>
              <w:top w:val="nil"/>
              <w:left w:val="nil"/>
              <w:bottom w:val="single" w:sz="4" w:space="0" w:color="auto"/>
              <w:right w:val="nil"/>
            </w:tcBorders>
            <w:shd w:val="clear" w:color="auto" w:fill="auto"/>
            <w:noWrap/>
            <w:vAlign w:val="center"/>
            <w:hideMark/>
          </w:tcPr>
          <w:p w14:paraId="10E91EA4" w14:textId="7A9A1CD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1,808</w:t>
            </w:r>
          </w:p>
        </w:tc>
        <w:tc>
          <w:tcPr>
            <w:tcW w:w="794" w:type="dxa"/>
            <w:tcBorders>
              <w:top w:val="nil"/>
              <w:left w:val="nil"/>
              <w:bottom w:val="single" w:sz="4" w:space="0" w:color="auto"/>
              <w:right w:val="single" w:sz="4" w:space="0" w:color="auto"/>
            </w:tcBorders>
            <w:shd w:val="clear" w:color="000000" w:fill="F2F2F2"/>
            <w:noWrap/>
            <w:vAlign w:val="center"/>
            <w:hideMark/>
          </w:tcPr>
          <w:p w14:paraId="5A493226" w14:textId="3430A2C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4,730</w:t>
            </w:r>
          </w:p>
        </w:tc>
        <w:tc>
          <w:tcPr>
            <w:tcW w:w="794" w:type="dxa"/>
            <w:tcBorders>
              <w:top w:val="nil"/>
              <w:left w:val="nil"/>
              <w:bottom w:val="single" w:sz="4" w:space="0" w:color="auto"/>
              <w:right w:val="nil"/>
            </w:tcBorders>
            <w:shd w:val="clear" w:color="auto" w:fill="auto"/>
            <w:noWrap/>
            <w:vAlign w:val="center"/>
            <w:hideMark/>
          </w:tcPr>
          <w:p w14:paraId="4515BAF7" w14:textId="256CB478"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1,695</w:t>
            </w:r>
          </w:p>
        </w:tc>
        <w:tc>
          <w:tcPr>
            <w:tcW w:w="794" w:type="dxa"/>
            <w:tcBorders>
              <w:top w:val="nil"/>
              <w:left w:val="nil"/>
              <w:bottom w:val="single" w:sz="4" w:space="0" w:color="auto"/>
              <w:right w:val="single" w:sz="4" w:space="0" w:color="auto"/>
            </w:tcBorders>
            <w:shd w:val="clear" w:color="000000" w:fill="F2F2F2"/>
            <w:noWrap/>
            <w:vAlign w:val="center"/>
            <w:hideMark/>
          </w:tcPr>
          <w:p w14:paraId="6DB2636E" w14:textId="74AE313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5,065</w:t>
            </w:r>
          </w:p>
        </w:tc>
        <w:tc>
          <w:tcPr>
            <w:tcW w:w="794" w:type="dxa"/>
            <w:tcBorders>
              <w:top w:val="nil"/>
              <w:left w:val="nil"/>
              <w:bottom w:val="single" w:sz="4" w:space="0" w:color="auto"/>
              <w:right w:val="nil"/>
            </w:tcBorders>
            <w:shd w:val="clear" w:color="auto" w:fill="auto"/>
            <w:noWrap/>
            <w:vAlign w:val="center"/>
            <w:hideMark/>
          </w:tcPr>
          <w:p w14:paraId="6F9D5AA9" w14:textId="5B78A3D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3,162</w:t>
            </w:r>
          </w:p>
        </w:tc>
        <w:tc>
          <w:tcPr>
            <w:tcW w:w="794" w:type="dxa"/>
            <w:tcBorders>
              <w:top w:val="nil"/>
              <w:left w:val="nil"/>
              <w:bottom w:val="single" w:sz="4" w:space="0" w:color="auto"/>
              <w:right w:val="single" w:sz="4" w:space="0" w:color="auto"/>
            </w:tcBorders>
            <w:shd w:val="clear" w:color="000000" w:fill="F2F2F2"/>
            <w:noWrap/>
            <w:vAlign w:val="center"/>
            <w:hideMark/>
          </w:tcPr>
          <w:p w14:paraId="02ABEE39" w14:textId="444630A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5,093</w:t>
            </w:r>
          </w:p>
        </w:tc>
        <w:tc>
          <w:tcPr>
            <w:tcW w:w="794" w:type="dxa"/>
            <w:tcBorders>
              <w:top w:val="nil"/>
              <w:left w:val="nil"/>
              <w:bottom w:val="single" w:sz="4" w:space="0" w:color="auto"/>
              <w:right w:val="nil"/>
            </w:tcBorders>
            <w:shd w:val="clear" w:color="auto" w:fill="auto"/>
            <w:noWrap/>
            <w:vAlign w:val="center"/>
            <w:hideMark/>
          </w:tcPr>
          <w:p w14:paraId="18DEB8AE" w14:textId="4848C02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2,662</w:t>
            </w:r>
          </w:p>
        </w:tc>
        <w:tc>
          <w:tcPr>
            <w:tcW w:w="794" w:type="dxa"/>
            <w:tcBorders>
              <w:top w:val="nil"/>
              <w:left w:val="nil"/>
              <w:bottom w:val="single" w:sz="4" w:space="0" w:color="auto"/>
              <w:right w:val="single" w:sz="4" w:space="0" w:color="auto"/>
            </w:tcBorders>
            <w:shd w:val="clear" w:color="000000" w:fill="F2F2F2"/>
            <w:noWrap/>
            <w:vAlign w:val="center"/>
            <w:hideMark/>
          </w:tcPr>
          <w:p w14:paraId="335FB8FD" w14:textId="7F81605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5,001</w:t>
            </w:r>
          </w:p>
        </w:tc>
      </w:tr>
      <w:tr w:rsidR="00A952F7" w:rsidRPr="00A952F7" w14:paraId="5A27C8B7" w14:textId="77777777" w:rsidTr="00A952F7">
        <w:trPr>
          <w:trHeight w:val="227"/>
        </w:trPr>
        <w:tc>
          <w:tcPr>
            <w:tcW w:w="1599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BCFB" w14:textId="77777777" w:rsidR="00A952F7" w:rsidRPr="00A952F7" w:rsidRDefault="00A952F7" w:rsidP="00A952F7">
            <w:pPr>
              <w:spacing w:before="80" w:after="2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b/>
                <w:bCs/>
                <w:color w:val="000000"/>
                <w:sz w:val="20"/>
                <w:szCs w:val="20"/>
              </w:rPr>
              <w:t>Leverage measures</w:t>
            </w:r>
          </w:p>
        </w:tc>
      </w:tr>
      <w:tr w:rsidR="002F1955" w:rsidRPr="00A952F7" w14:paraId="10E9E08A"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434C0506"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 xml:space="preserve">Debt-service-to-income ratio </w:t>
            </w:r>
          </w:p>
        </w:tc>
        <w:tc>
          <w:tcPr>
            <w:tcW w:w="794" w:type="dxa"/>
            <w:tcBorders>
              <w:top w:val="single" w:sz="4" w:space="0" w:color="auto"/>
              <w:left w:val="nil"/>
              <w:bottom w:val="nil"/>
              <w:right w:val="nil"/>
            </w:tcBorders>
            <w:shd w:val="clear" w:color="auto" w:fill="auto"/>
            <w:noWrap/>
            <w:vAlign w:val="center"/>
            <w:hideMark/>
          </w:tcPr>
          <w:p w14:paraId="56698A46" w14:textId="1D9BD1DC"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29EA8A21" w14:textId="2A3665A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-503.9</w:t>
            </w:r>
          </w:p>
        </w:tc>
        <w:tc>
          <w:tcPr>
            <w:tcW w:w="794" w:type="dxa"/>
            <w:tcBorders>
              <w:top w:val="single" w:sz="4" w:space="0" w:color="auto"/>
              <w:left w:val="nil"/>
              <w:bottom w:val="nil"/>
              <w:right w:val="nil"/>
            </w:tcBorders>
            <w:shd w:val="clear" w:color="auto" w:fill="auto"/>
            <w:noWrap/>
            <w:vAlign w:val="center"/>
            <w:hideMark/>
          </w:tcPr>
          <w:p w14:paraId="25C1E0A4" w14:textId="1DF04C5F"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-0.54</w:t>
            </w:r>
          </w:p>
        </w:tc>
        <w:tc>
          <w:tcPr>
            <w:tcW w:w="794" w:type="dxa"/>
            <w:tcBorders>
              <w:top w:val="single" w:sz="4" w:space="0" w:color="auto"/>
              <w:left w:val="nil"/>
              <w:bottom w:val="nil"/>
              <w:right w:val="single" w:sz="4" w:space="0" w:color="auto"/>
            </w:tcBorders>
            <w:shd w:val="clear" w:color="000000" w:fill="F2F2F2"/>
            <w:noWrap/>
            <w:vAlign w:val="center"/>
            <w:hideMark/>
          </w:tcPr>
          <w:p w14:paraId="19D3C674" w14:textId="08B585C2" w:rsidR="002F1955" w:rsidRPr="002F1955" w:rsidRDefault="002F1955" w:rsidP="002F1955">
            <w:pPr>
              <w:spacing w:after="0" w:line="240" w:lineRule="auto"/>
              <w:ind w:firstLine="0"/>
              <w:jc w:val="center"/>
              <w:rPr>
                <w:rFonts w:eastAsia="Calibri" w:cs="Times New Roman"/>
                <w:color w:val="000000"/>
                <w:sz w:val="20"/>
                <w:szCs w:val="20"/>
              </w:rPr>
            </w:pPr>
            <w:r>
              <w:rPr>
                <w:color w:val="000000"/>
                <w:sz w:val="20"/>
                <w:szCs w:val="20"/>
              </w:rPr>
              <w:t>-236.4</w:t>
            </w:r>
          </w:p>
        </w:tc>
        <w:tc>
          <w:tcPr>
            <w:tcW w:w="794" w:type="dxa"/>
            <w:tcBorders>
              <w:top w:val="single" w:sz="4" w:space="0" w:color="auto"/>
              <w:left w:val="nil"/>
              <w:bottom w:val="nil"/>
              <w:right w:val="nil"/>
            </w:tcBorders>
            <w:shd w:val="clear" w:color="auto" w:fill="auto"/>
            <w:noWrap/>
            <w:vAlign w:val="center"/>
            <w:hideMark/>
          </w:tcPr>
          <w:p w14:paraId="6C70FF91" w14:textId="0B5BDC5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3.42</w:t>
            </w:r>
          </w:p>
        </w:tc>
        <w:tc>
          <w:tcPr>
            <w:tcW w:w="794" w:type="dxa"/>
            <w:tcBorders>
              <w:top w:val="single" w:sz="4" w:space="0" w:color="auto"/>
              <w:left w:val="nil"/>
              <w:bottom w:val="nil"/>
              <w:right w:val="single" w:sz="4" w:space="0" w:color="auto"/>
            </w:tcBorders>
            <w:shd w:val="clear" w:color="000000" w:fill="F2F2F2"/>
            <w:noWrap/>
            <w:vAlign w:val="center"/>
            <w:hideMark/>
          </w:tcPr>
          <w:p w14:paraId="46095D0E" w14:textId="35F256E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-252.5</w:t>
            </w:r>
          </w:p>
        </w:tc>
        <w:tc>
          <w:tcPr>
            <w:tcW w:w="794" w:type="dxa"/>
            <w:tcBorders>
              <w:top w:val="single" w:sz="4" w:space="0" w:color="auto"/>
              <w:left w:val="nil"/>
              <w:bottom w:val="nil"/>
              <w:right w:val="nil"/>
            </w:tcBorders>
            <w:shd w:val="clear" w:color="auto" w:fill="auto"/>
            <w:noWrap/>
            <w:vAlign w:val="center"/>
            <w:hideMark/>
          </w:tcPr>
          <w:p w14:paraId="7043B3D5" w14:textId="337D042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3.05</w:t>
            </w:r>
          </w:p>
        </w:tc>
        <w:tc>
          <w:tcPr>
            <w:tcW w:w="794" w:type="dxa"/>
            <w:tcBorders>
              <w:top w:val="single" w:sz="4" w:space="0" w:color="auto"/>
              <w:left w:val="nil"/>
              <w:bottom w:val="nil"/>
              <w:right w:val="single" w:sz="4" w:space="0" w:color="auto"/>
            </w:tcBorders>
            <w:shd w:val="clear" w:color="000000" w:fill="F2F2F2"/>
            <w:noWrap/>
            <w:vAlign w:val="center"/>
            <w:hideMark/>
          </w:tcPr>
          <w:p w14:paraId="7056D2BC" w14:textId="0215C55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-268.8</w:t>
            </w:r>
          </w:p>
        </w:tc>
        <w:tc>
          <w:tcPr>
            <w:tcW w:w="794" w:type="dxa"/>
            <w:tcBorders>
              <w:top w:val="single" w:sz="4" w:space="0" w:color="auto"/>
              <w:left w:val="nil"/>
              <w:bottom w:val="nil"/>
              <w:right w:val="nil"/>
            </w:tcBorders>
            <w:shd w:val="clear" w:color="auto" w:fill="auto"/>
            <w:noWrap/>
            <w:vAlign w:val="center"/>
            <w:hideMark/>
          </w:tcPr>
          <w:p w14:paraId="4DDF66EA" w14:textId="7189792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3.24</w:t>
            </w:r>
          </w:p>
        </w:tc>
        <w:tc>
          <w:tcPr>
            <w:tcW w:w="794" w:type="dxa"/>
            <w:tcBorders>
              <w:top w:val="single" w:sz="4" w:space="0" w:color="auto"/>
              <w:left w:val="nil"/>
              <w:bottom w:val="nil"/>
              <w:right w:val="single" w:sz="4" w:space="0" w:color="auto"/>
            </w:tcBorders>
            <w:shd w:val="clear" w:color="000000" w:fill="F2F2F2"/>
            <w:noWrap/>
            <w:vAlign w:val="center"/>
            <w:hideMark/>
          </w:tcPr>
          <w:p w14:paraId="0E7BF926" w14:textId="0D7D2A0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-440.</w:t>
            </w:r>
            <w:r>
              <w:rPr>
                <w:color w:val="000000"/>
                <w:sz w:val="20"/>
                <w:szCs w:val="20"/>
              </w:rPr>
              <w:t>4</w:t>
            </w:r>
          </w:p>
        </w:tc>
        <w:tc>
          <w:tcPr>
            <w:tcW w:w="794" w:type="dxa"/>
            <w:tcBorders>
              <w:top w:val="single" w:sz="4" w:space="0" w:color="auto"/>
              <w:left w:val="nil"/>
              <w:bottom w:val="nil"/>
              <w:right w:val="nil"/>
            </w:tcBorders>
            <w:shd w:val="clear" w:color="auto" w:fill="auto"/>
            <w:noWrap/>
            <w:vAlign w:val="center"/>
            <w:hideMark/>
          </w:tcPr>
          <w:p w14:paraId="4511EDFD" w14:textId="765307D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4.41</w:t>
            </w:r>
          </w:p>
        </w:tc>
        <w:tc>
          <w:tcPr>
            <w:tcW w:w="794" w:type="dxa"/>
            <w:tcBorders>
              <w:top w:val="single" w:sz="4" w:space="0" w:color="auto"/>
              <w:left w:val="nil"/>
              <w:bottom w:val="nil"/>
              <w:right w:val="single" w:sz="4" w:space="0" w:color="auto"/>
            </w:tcBorders>
            <w:shd w:val="clear" w:color="000000" w:fill="F2F2F2"/>
            <w:noWrap/>
            <w:vAlign w:val="center"/>
            <w:hideMark/>
          </w:tcPr>
          <w:p w14:paraId="5BE3CBD0" w14:textId="6BCFCB1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-447.0</w:t>
            </w:r>
          </w:p>
        </w:tc>
        <w:tc>
          <w:tcPr>
            <w:tcW w:w="794" w:type="dxa"/>
            <w:tcBorders>
              <w:top w:val="single" w:sz="4" w:space="0" w:color="auto"/>
              <w:left w:val="nil"/>
              <w:bottom w:val="nil"/>
              <w:right w:val="nil"/>
            </w:tcBorders>
            <w:shd w:val="clear" w:color="auto" w:fill="auto"/>
            <w:noWrap/>
            <w:vAlign w:val="center"/>
            <w:hideMark/>
          </w:tcPr>
          <w:p w14:paraId="4D0EE0A6" w14:textId="602B5E5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4ECD2455" w14:textId="726F848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-555.5</w:t>
            </w:r>
          </w:p>
        </w:tc>
        <w:tc>
          <w:tcPr>
            <w:tcW w:w="794" w:type="dxa"/>
            <w:tcBorders>
              <w:top w:val="single" w:sz="4" w:space="0" w:color="auto"/>
              <w:left w:val="nil"/>
              <w:bottom w:val="nil"/>
              <w:right w:val="nil"/>
            </w:tcBorders>
            <w:shd w:val="clear" w:color="auto" w:fill="auto"/>
            <w:noWrap/>
            <w:vAlign w:val="center"/>
            <w:hideMark/>
          </w:tcPr>
          <w:p w14:paraId="2EF7BD87" w14:textId="357516C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3.26</w:t>
            </w:r>
          </w:p>
        </w:tc>
        <w:tc>
          <w:tcPr>
            <w:tcW w:w="794" w:type="dxa"/>
            <w:tcBorders>
              <w:top w:val="single" w:sz="4" w:space="0" w:color="auto"/>
              <w:left w:val="nil"/>
              <w:bottom w:val="nil"/>
              <w:right w:val="single" w:sz="4" w:space="0" w:color="auto"/>
            </w:tcBorders>
            <w:shd w:val="clear" w:color="000000" w:fill="F2F2F2"/>
            <w:noWrap/>
            <w:vAlign w:val="center"/>
            <w:hideMark/>
          </w:tcPr>
          <w:p w14:paraId="712EA60D" w14:textId="52785E9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-340.0</w:t>
            </w:r>
          </w:p>
        </w:tc>
        <w:tc>
          <w:tcPr>
            <w:tcW w:w="794" w:type="dxa"/>
            <w:tcBorders>
              <w:top w:val="single" w:sz="4" w:space="0" w:color="auto"/>
              <w:left w:val="nil"/>
              <w:bottom w:val="nil"/>
              <w:right w:val="nil"/>
            </w:tcBorders>
            <w:shd w:val="clear" w:color="auto" w:fill="auto"/>
            <w:noWrap/>
            <w:vAlign w:val="center"/>
            <w:hideMark/>
          </w:tcPr>
          <w:p w14:paraId="25A541E7" w14:textId="6078B1B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4FDDF416" w14:textId="20E564F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-72</w:t>
            </w:r>
            <w:r>
              <w:rPr>
                <w:color w:val="000000"/>
                <w:sz w:val="20"/>
                <w:szCs w:val="20"/>
              </w:rPr>
              <w:t>6.0</w:t>
            </w:r>
          </w:p>
        </w:tc>
      </w:tr>
      <w:tr w:rsidR="002F1955" w:rsidRPr="00A952F7" w14:paraId="74E18ACC"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7757BADD"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Debt-to-asset ratio</w:t>
            </w:r>
          </w:p>
        </w:tc>
        <w:tc>
          <w:tcPr>
            <w:tcW w:w="794" w:type="dxa"/>
            <w:tcBorders>
              <w:top w:val="nil"/>
              <w:left w:val="nil"/>
              <w:bottom w:val="nil"/>
              <w:right w:val="nil"/>
            </w:tcBorders>
            <w:shd w:val="clear" w:color="auto" w:fill="auto"/>
            <w:noWrap/>
            <w:vAlign w:val="center"/>
            <w:hideMark/>
          </w:tcPr>
          <w:p w14:paraId="7BA89AFB" w14:textId="23F5BEF7"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0E4E8234" w14:textId="543A4A2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-192.7</w:t>
            </w:r>
          </w:p>
        </w:tc>
        <w:tc>
          <w:tcPr>
            <w:tcW w:w="794" w:type="dxa"/>
            <w:tcBorders>
              <w:top w:val="nil"/>
              <w:left w:val="nil"/>
              <w:bottom w:val="nil"/>
              <w:right w:val="nil"/>
            </w:tcBorders>
            <w:shd w:val="clear" w:color="auto" w:fill="auto"/>
            <w:noWrap/>
            <w:vAlign w:val="center"/>
            <w:hideMark/>
          </w:tcPr>
          <w:p w14:paraId="74E5B178" w14:textId="473F9E98"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2AD64BB8" w14:textId="36C16FF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-111.</w:t>
            </w:r>
            <w:r>
              <w:rPr>
                <w:color w:val="000000"/>
                <w:sz w:val="20"/>
                <w:szCs w:val="20"/>
              </w:rPr>
              <w:t>2</w:t>
            </w:r>
          </w:p>
        </w:tc>
        <w:tc>
          <w:tcPr>
            <w:tcW w:w="794" w:type="dxa"/>
            <w:tcBorders>
              <w:top w:val="nil"/>
              <w:left w:val="nil"/>
              <w:bottom w:val="nil"/>
              <w:right w:val="nil"/>
            </w:tcBorders>
            <w:shd w:val="clear" w:color="auto" w:fill="auto"/>
            <w:noWrap/>
            <w:vAlign w:val="center"/>
            <w:hideMark/>
          </w:tcPr>
          <w:p w14:paraId="7A23A6E2" w14:textId="48E6E05E"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0.93</w:t>
            </w:r>
          </w:p>
        </w:tc>
        <w:tc>
          <w:tcPr>
            <w:tcW w:w="794" w:type="dxa"/>
            <w:tcBorders>
              <w:top w:val="nil"/>
              <w:left w:val="nil"/>
              <w:bottom w:val="nil"/>
              <w:right w:val="single" w:sz="4" w:space="0" w:color="auto"/>
            </w:tcBorders>
            <w:shd w:val="clear" w:color="000000" w:fill="F2F2F2"/>
            <w:noWrap/>
            <w:vAlign w:val="center"/>
            <w:hideMark/>
          </w:tcPr>
          <w:p w14:paraId="44C63286" w14:textId="639FBCA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-104.</w:t>
            </w:r>
            <w:r>
              <w:rPr>
                <w:color w:val="000000"/>
                <w:sz w:val="20"/>
                <w:szCs w:val="20"/>
              </w:rPr>
              <w:t>8</w:t>
            </w:r>
          </w:p>
        </w:tc>
        <w:tc>
          <w:tcPr>
            <w:tcW w:w="794" w:type="dxa"/>
            <w:tcBorders>
              <w:top w:val="nil"/>
              <w:left w:val="nil"/>
              <w:bottom w:val="nil"/>
              <w:right w:val="nil"/>
            </w:tcBorders>
            <w:shd w:val="clear" w:color="auto" w:fill="auto"/>
            <w:noWrap/>
            <w:vAlign w:val="center"/>
            <w:hideMark/>
          </w:tcPr>
          <w:p w14:paraId="028D136D" w14:textId="0F1F54C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0.80</w:t>
            </w:r>
          </w:p>
        </w:tc>
        <w:tc>
          <w:tcPr>
            <w:tcW w:w="794" w:type="dxa"/>
            <w:tcBorders>
              <w:top w:val="nil"/>
              <w:left w:val="nil"/>
              <w:bottom w:val="nil"/>
              <w:right w:val="single" w:sz="4" w:space="0" w:color="auto"/>
            </w:tcBorders>
            <w:shd w:val="clear" w:color="000000" w:fill="F2F2F2"/>
            <w:noWrap/>
            <w:vAlign w:val="center"/>
            <w:hideMark/>
          </w:tcPr>
          <w:p w14:paraId="792F00C7" w14:textId="1A6A49E7" w:rsidR="002F1955" w:rsidRPr="002F1955" w:rsidRDefault="002F1955" w:rsidP="002F1955">
            <w:pPr>
              <w:spacing w:after="0" w:line="240" w:lineRule="auto"/>
              <w:ind w:firstLine="0"/>
              <w:jc w:val="center"/>
              <w:rPr>
                <w:rFonts w:eastAsia="Times New Roman" w:cs="Times New Roman"/>
                <w:color w:val="000000"/>
                <w:sz w:val="20"/>
                <w:szCs w:val="20"/>
              </w:rPr>
            </w:pPr>
            <w:r>
              <w:rPr>
                <w:color w:val="000000"/>
                <w:sz w:val="20"/>
                <w:szCs w:val="20"/>
              </w:rPr>
              <w:t>-137.</w:t>
            </w:r>
            <w:r w:rsidRPr="002F1955">
              <w:rPr>
                <w:color w:val="000000"/>
                <w:sz w:val="20"/>
                <w:szCs w:val="20"/>
              </w:rPr>
              <w:t>7</w:t>
            </w:r>
          </w:p>
        </w:tc>
        <w:tc>
          <w:tcPr>
            <w:tcW w:w="794" w:type="dxa"/>
            <w:tcBorders>
              <w:top w:val="nil"/>
              <w:left w:val="nil"/>
              <w:bottom w:val="nil"/>
              <w:right w:val="nil"/>
            </w:tcBorders>
            <w:shd w:val="clear" w:color="auto" w:fill="auto"/>
            <w:noWrap/>
            <w:vAlign w:val="center"/>
            <w:hideMark/>
          </w:tcPr>
          <w:p w14:paraId="1B3DDDBD" w14:textId="4E7CEBF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0.24</w:t>
            </w:r>
          </w:p>
        </w:tc>
        <w:tc>
          <w:tcPr>
            <w:tcW w:w="794" w:type="dxa"/>
            <w:tcBorders>
              <w:top w:val="nil"/>
              <w:left w:val="nil"/>
              <w:bottom w:val="nil"/>
              <w:right w:val="single" w:sz="4" w:space="0" w:color="auto"/>
            </w:tcBorders>
            <w:shd w:val="clear" w:color="000000" w:fill="F2F2F2"/>
            <w:noWrap/>
            <w:vAlign w:val="center"/>
            <w:hideMark/>
          </w:tcPr>
          <w:p w14:paraId="2F70676A" w14:textId="7DA2DB9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-174.</w:t>
            </w:r>
            <w:r>
              <w:rPr>
                <w:color w:val="000000"/>
                <w:sz w:val="20"/>
                <w:szCs w:val="20"/>
              </w:rPr>
              <w:t>7</w:t>
            </w:r>
          </w:p>
        </w:tc>
        <w:tc>
          <w:tcPr>
            <w:tcW w:w="794" w:type="dxa"/>
            <w:tcBorders>
              <w:top w:val="nil"/>
              <w:left w:val="nil"/>
              <w:bottom w:val="nil"/>
              <w:right w:val="nil"/>
            </w:tcBorders>
            <w:shd w:val="clear" w:color="auto" w:fill="auto"/>
            <w:noWrap/>
            <w:vAlign w:val="center"/>
            <w:hideMark/>
          </w:tcPr>
          <w:p w14:paraId="063C197D" w14:textId="44B1D814"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0.35</w:t>
            </w:r>
          </w:p>
        </w:tc>
        <w:tc>
          <w:tcPr>
            <w:tcW w:w="794" w:type="dxa"/>
            <w:tcBorders>
              <w:top w:val="nil"/>
              <w:left w:val="nil"/>
              <w:bottom w:val="nil"/>
              <w:right w:val="single" w:sz="4" w:space="0" w:color="auto"/>
            </w:tcBorders>
            <w:shd w:val="clear" w:color="000000" w:fill="F2F2F2"/>
            <w:noWrap/>
            <w:vAlign w:val="center"/>
            <w:hideMark/>
          </w:tcPr>
          <w:p w14:paraId="4AAA8AEE" w14:textId="72639C49" w:rsidR="002F1955" w:rsidRPr="002F1955" w:rsidRDefault="002F1955" w:rsidP="002F1955">
            <w:pPr>
              <w:spacing w:after="0" w:line="240" w:lineRule="auto"/>
              <w:ind w:firstLine="0"/>
              <w:jc w:val="center"/>
              <w:rPr>
                <w:rFonts w:eastAsia="Times New Roman" w:cs="Times New Roman"/>
                <w:color w:val="000000"/>
                <w:sz w:val="20"/>
                <w:szCs w:val="20"/>
              </w:rPr>
            </w:pPr>
            <w:r>
              <w:rPr>
                <w:color w:val="000000"/>
                <w:sz w:val="20"/>
                <w:szCs w:val="20"/>
              </w:rPr>
              <w:t>-239.6</w:t>
            </w:r>
          </w:p>
        </w:tc>
        <w:tc>
          <w:tcPr>
            <w:tcW w:w="794" w:type="dxa"/>
            <w:tcBorders>
              <w:top w:val="nil"/>
              <w:left w:val="nil"/>
              <w:bottom w:val="nil"/>
              <w:right w:val="nil"/>
            </w:tcBorders>
            <w:shd w:val="clear" w:color="auto" w:fill="auto"/>
            <w:noWrap/>
            <w:vAlign w:val="center"/>
            <w:hideMark/>
          </w:tcPr>
          <w:p w14:paraId="0BA0A0FC" w14:textId="1455B17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2C4C92D4" w14:textId="7400819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-225.</w:t>
            </w:r>
            <w:r>
              <w:rPr>
                <w:color w:val="000000"/>
                <w:sz w:val="20"/>
                <w:szCs w:val="20"/>
              </w:rPr>
              <w:t>1</w:t>
            </w:r>
          </w:p>
        </w:tc>
        <w:tc>
          <w:tcPr>
            <w:tcW w:w="794" w:type="dxa"/>
            <w:tcBorders>
              <w:top w:val="nil"/>
              <w:left w:val="nil"/>
              <w:bottom w:val="nil"/>
              <w:right w:val="nil"/>
            </w:tcBorders>
            <w:shd w:val="clear" w:color="auto" w:fill="auto"/>
            <w:noWrap/>
            <w:vAlign w:val="center"/>
            <w:hideMark/>
          </w:tcPr>
          <w:p w14:paraId="10A99A19" w14:textId="4C4AB48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558964B5" w14:textId="782EBF71" w:rsidR="002F1955" w:rsidRPr="002F1955" w:rsidRDefault="002F1955" w:rsidP="002F1955">
            <w:pPr>
              <w:spacing w:after="0" w:line="240" w:lineRule="auto"/>
              <w:ind w:firstLine="0"/>
              <w:jc w:val="center"/>
              <w:rPr>
                <w:rFonts w:eastAsia="Times New Roman" w:cs="Times New Roman"/>
                <w:color w:val="000000"/>
                <w:sz w:val="20"/>
                <w:szCs w:val="20"/>
              </w:rPr>
            </w:pPr>
            <w:r>
              <w:rPr>
                <w:color w:val="000000"/>
                <w:sz w:val="20"/>
                <w:szCs w:val="20"/>
              </w:rPr>
              <w:t>-113.</w:t>
            </w:r>
            <w:r w:rsidRPr="002F1955">
              <w:rPr>
                <w:color w:val="000000"/>
                <w:sz w:val="20"/>
                <w:szCs w:val="20"/>
              </w:rPr>
              <w:t>6</w:t>
            </w:r>
          </w:p>
        </w:tc>
        <w:tc>
          <w:tcPr>
            <w:tcW w:w="794" w:type="dxa"/>
            <w:tcBorders>
              <w:top w:val="nil"/>
              <w:left w:val="nil"/>
              <w:bottom w:val="nil"/>
              <w:right w:val="nil"/>
            </w:tcBorders>
            <w:shd w:val="clear" w:color="auto" w:fill="auto"/>
            <w:noWrap/>
            <w:vAlign w:val="center"/>
            <w:hideMark/>
          </w:tcPr>
          <w:p w14:paraId="12E9535E" w14:textId="435CF8D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C2FE7EF" w14:textId="6108940A" w:rsidR="002F1955" w:rsidRPr="002F1955" w:rsidRDefault="002F1955" w:rsidP="002F1955">
            <w:pPr>
              <w:spacing w:after="0" w:line="240" w:lineRule="auto"/>
              <w:ind w:firstLine="0"/>
              <w:jc w:val="center"/>
              <w:rPr>
                <w:rFonts w:eastAsia="Times New Roman" w:cs="Times New Roman"/>
                <w:color w:val="000000"/>
                <w:sz w:val="20"/>
                <w:szCs w:val="20"/>
              </w:rPr>
            </w:pPr>
            <w:r>
              <w:rPr>
                <w:color w:val="000000"/>
                <w:sz w:val="20"/>
                <w:szCs w:val="20"/>
              </w:rPr>
              <w:t>-230.9</w:t>
            </w:r>
          </w:p>
        </w:tc>
      </w:tr>
      <w:tr w:rsidR="002F1955" w:rsidRPr="00A952F7" w14:paraId="21A24F8E"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0B969F2F" w14:textId="77777777" w:rsidR="002F1955" w:rsidRPr="00A952F7" w:rsidRDefault="002F1955" w:rsidP="002F1955">
            <w:pPr>
              <w:spacing w:after="0" w:line="240" w:lineRule="auto"/>
              <w:ind w:firstLine="0"/>
              <w:jc w:val="lef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Debt-to-income ratio</w:t>
            </w:r>
          </w:p>
        </w:tc>
        <w:tc>
          <w:tcPr>
            <w:tcW w:w="794" w:type="dxa"/>
            <w:tcBorders>
              <w:top w:val="nil"/>
              <w:left w:val="nil"/>
              <w:bottom w:val="nil"/>
              <w:right w:val="nil"/>
            </w:tcBorders>
            <w:shd w:val="clear" w:color="auto" w:fill="auto"/>
            <w:noWrap/>
            <w:vAlign w:val="center"/>
            <w:hideMark/>
          </w:tcPr>
          <w:p w14:paraId="2C659748" w14:textId="01B8F23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50696A64" w14:textId="4F27D9D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-50.74</w:t>
            </w:r>
          </w:p>
        </w:tc>
        <w:tc>
          <w:tcPr>
            <w:tcW w:w="794" w:type="dxa"/>
            <w:tcBorders>
              <w:top w:val="nil"/>
              <w:left w:val="nil"/>
              <w:bottom w:val="nil"/>
              <w:right w:val="nil"/>
            </w:tcBorders>
            <w:shd w:val="clear" w:color="auto" w:fill="auto"/>
            <w:noWrap/>
            <w:vAlign w:val="center"/>
            <w:hideMark/>
          </w:tcPr>
          <w:p w14:paraId="772351DF" w14:textId="22EEA85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-0.29</w:t>
            </w:r>
          </w:p>
        </w:tc>
        <w:tc>
          <w:tcPr>
            <w:tcW w:w="794" w:type="dxa"/>
            <w:tcBorders>
              <w:top w:val="nil"/>
              <w:left w:val="nil"/>
              <w:bottom w:val="nil"/>
              <w:right w:val="single" w:sz="4" w:space="0" w:color="auto"/>
            </w:tcBorders>
            <w:shd w:val="clear" w:color="000000" w:fill="F2F2F2"/>
            <w:noWrap/>
            <w:vAlign w:val="center"/>
            <w:hideMark/>
          </w:tcPr>
          <w:p w14:paraId="2108C629" w14:textId="25C2F29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-16.57</w:t>
            </w:r>
          </w:p>
        </w:tc>
        <w:tc>
          <w:tcPr>
            <w:tcW w:w="794" w:type="dxa"/>
            <w:tcBorders>
              <w:top w:val="nil"/>
              <w:left w:val="nil"/>
              <w:bottom w:val="nil"/>
              <w:right w:val="nil"/>
            </w:tcBorders>
            <w:shd w:val="clear" w:color="auto" w:fill="auto"/>
            <w:noWrap/>
            <w:vAlign w:val="center"/>
            <w:hideMark/>
          </w:tcPr>
          <w:p w14:paraId="68A6C6F8" w14:textId="515B6B83"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0.26</w:t>
            </w:r>
          </w:p>
        </w:tc>
        <w:tc>
          <w:tcPr>
            <w:tcW w:w="794" w:type="dxa"/>
            <w:tcBorders>
              <w:top w:val="nil"/>
              <w:left w:val="nil"/>
              <w:bottom w:val="nil"/>
              <w:right w:val="single" w:sz="4" w:space="0" w:color="auto"/>
            </w:tcBorders>
            <w:shd w:val="clear" w:color="000000" w:fill="F2F2F2"/>
            <w:noWrap/>
            <w:vAlign w:val="center"/>
            <w:hideMark/>
          </w:tcPr>
          <w:p w14:paraId="612BFB26" w14:textId="7FA3B51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-20.84</w:t>
            </w:r>
          </w:p>
        </w:tc>
        <w:tc>
          <w:tcPr>
            <w:tcW w:w="794" w:type="dxa"/>
            <w:tcBorders>
              <w:top w:val="nil"/>
              <w:left w:val="nil"/>
              <w:bottom w:val="nil"/>
              <w:right w:val="nil"/>
            </w:tcBorders>
            <w:shd w:val="clear" w:color="auto" w:fill="auto"/>
            <w:noWrap/>
            <w:vAlign w:val="center"/>
            <w:hideMark/>
          </w:tcPr>
          <w:p w14:paraId="6F4EBF96" w14:textId="72AA029B"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3B18D514" w14:textId="5FAD44F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-23.53</w:t>
            </w:r>
          </w:p>
        </w:tc>
        <w:tc>
          <w:tcPr>
            <w:tcW w:w="794" w:type="dxa"/>
            <w:tcBorders>
              <w:top w:val="nil"/>
              <w:left w:val="nil"/>
              <w:bottom w:val="nil"/>
              <w:right w:val="nil"/>
            </w:tcBorders>
            <w:shd w:val="clear" w:color="auto" w:fill="auto"/>
            <w:noWrap/>
            <w:vAlign w:val="center"/>
            <w:hideMark/>
          </w:tcPr>
          <w:p w14:paraId="42B33635" w14:textId="4F6E288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0.63</w:t>
            </w:r>
          </w:p>
        </w:tc>
        <w:tc>
          <w:tcPr>
            <w:tcW w:w="794" w:type="dxa"/>
            <w:tcBorders>
              <w:top w:val="nil"/>
              <w:left w:val="nil"/>
              <w:bottom w:val="nil"/>
              <w:right w:val="single" w:sz="4" w:space="0" w:color="auto"/>
            </w:tcBorders>
            <w:shd w:val="clear" w:color="000000" w:fill="F2F2F2"/>
            <w:noWrap/>
            <w:vAlign w:val="center"/>
            <w:hideMark/>
          </w:tcPr>
          <w:p w14:paraId="70337634" w14:textId="5DBF140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-35.35</w:t>
            </w:r>
          </w:p>
        </w:tc>
        <w:tc>
          <w:tcPr>
            <w:tcW w:w="794" w:type="dxa"/>
            <w:tcBorders>
              <w:top w:val="nil"/>
              <w:left w:val="nil"/>
              <w:bottom w:val="nil"/>
              <w:right w:val="nil"/>
            </w:tcBorders>
            <w:shd w:val="clear" w:color="auto" w:fill="auto"/>
            <w:noWrap/>
            <w:vAlign w:val="center"/>
            <w:hideMark/>
          </w:tcPr>
          <w:p w14:paraId="014A98C3" w14:textId="34347F7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25D32BA9" w14:textId="60B11B3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-32.78</w:t>
            </w:r>
          </w:p>
        </w:tc>
        <w:tc>
          <w:tcPr>
            <w:tcW w:w="794" w:type="dxa"/>
            <w:tcBorders>
              <w:top w:val="nil"/>
              <w:left w:val="nil"/>
              <w:bottom w:val="nil"/>
              <w:right w:val="nil"/>
            </w:tcBorders>
            <w:shd w:val="clear" w:color="auto" w:fill="auto"/>
            <w:noWrap/>
            <w:vAlign w:val="center"/>
            <w:hideMark/>
          </w:tcPr>
          <w:p w14:paraId="313EBC6D" w14:textId="0B2D977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4ECF7242" w14:textId="128B4CE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-32.31</w:t>
            </w:r>
          </w:p>
        </w:tc>
        <w:tc>
          <w:tcPr>
            <w:tcW w:w="794" w:type="dxa"/>
            <w:tcBorders>
              <w:top w:val="nil"/>
              <w:left w:val="nil"/>
              <w:bottom w:val="nil"/>
              <w:right w:val="nil"/>
            </w:tcBorders>
            <w:shd w:val="clear" w:color="auto" w:fill="auto"/>
            <w:noWrap/>
            <w:vAlign w:val="center"/>
            <w:hideMark/>
          </w:tcPr>
          <w:p w14:paraId="075F2935" w14:textId="17AB3CF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68BC7C2A" w14:textId="19897BF5"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-14.28</w:t>
            </w:r>
          </w:p>
        </w:tc>
        <w:tc>
          <w:tcPr>
            <w:tcW w:w="794" w:type="dxa"/>
            <w:tcBorders>
              <w:top w:val="nil"/>
              <w:left w:val="nil"/>
              <w:bottom w:val="nil"/>
              <w:right w:val="nil"/>
            </w:tcBorders>
            <w:shd w:val="clear" w:color="auto" w:fill="auto"/>
            <w:noWrap/>
            <w:vAlign w:val="center"/>
            <w:hideMark/>
          </w:tcPr>
          <w:p w14:paraId="21F45404" w14:textId="25F0B9F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3547E17D" w14:textId="45A23DFD"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-44.56</w:t>
            </w:r>
          </w:p>
        </w:tc>
      </w:tr>
      <w:tr w:rsidR="002F1955" w:rsidRPr="00A952F7" w14:paraId="24FB0F1E"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AD2B793" w14:textId="77777777" w:rsidR="002F1955" w:rsidRPr="00A952F7"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A952F7">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30D97D10" w14:textId="7CF4480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2,253</w:t>
            </w:r>
          </w:p>
        </w:tc>
        <w:tc>
          <w:tcPr>
            <w:tcW w:w="794" w:type="dxa"/>
            <w:tcBorders>
              <w:top w:val="nil"/>
              <w:left w:val="nil"/>
              <w:bottom w:val="single" w:sz="4" w:space="0" w:color="auto"/>
              <w:right w:val="single" w:sz="4" w:space="0" w:color="auto"/>
            </w:tcBorders>
            <w:shd w:val="clear" w:color="000000" w:fill="F2F2F2"/>
            <w:noWrap/>
            <w:vAlign w:val="center"/>
            <w:hideMark/>
          </w:tcPr>
          <w:p w14:paraId="229F8FA1" w14:textId="40992D0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4,523</w:t>
            </w:r>
          </w:p>
        </w:tc>
        <w:tc>
          <w:tcPr>
            <w:tcW w:w="794" w:type="dxa"/>
            <w:tcBorders>
              <w:top w:val="nil"/>
              <w:left w:val="nil"/>
              <w:bottom w:val="single" w:sz="4" w:space="0" w:color="auto"/>
              <w:right w:val="nil"/>
            </w:tcBorders>
            <w:shd w:val="clear" w:color="auto" w:fill="auto"/>
            <w:noWrap/>
            <w:vAlign w:val="center"/>
            <w:hideMark/>
          </w:tcPr>
          <w:p w14:paraId="5E55CB88" w14:textId="470A2CD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2,746</w:t>
            </w:r>
          </w:p>
        </w:tc>
        <w:tc>
          <w:tcPr>
            <w:tcW w:w="794" w:type="dxa"/>
            <w:tcBorders>
              <w:top w:val="nil"/>
              <w:left w:val="nil"/>
              <w:bottom w:val="single" w:sz="4" w:space="0" w:color="auto"/>
              <w:right w:val="single" w:sz="4" w:space="0" w:color="auto"/>
            </w:tcBorders>
            <w:shd w:val="clear" w:color="000000" w:fill="F2F2F2"/>
            <w:noWrap/>
            <w:vAlign w:val="center"/>
            <w:hideMark/>
          </w:tcPr>
          <w:p w14:paraId="1C6E1B84" w14:textId="27D3A79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6,137</w:t>
            </w:r>
          </w:p>
        </w:tc>
        <w:tc>
          <w:tcPr>
            <w:tcW w:w="794" w:type="dxa"/>
            <w:tcBorders>
              <w:top w:val="nil"/>
              <w:left w:val="nil"/>
              <w:bottom w:val="single" w:sz="4" w:space="0" w:color="auto"/>
              <w:right w:val="nil"/>
            </w:tcBorders>
            <w:shd w:val="clear" w:color="auto" w:fill="auto"/>
            <w:noWrap/>
            <w:vAlign w:val="center"/>
            <w:hideMark/>
          </w:tcPr>
          <w:p w14:paraId="47225B23" w14:textId="3F993222"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2,988</w:t>
            </w:r>
          </w:p>
        </w:tc>
        <w:tc>
          <w:tcPr>
            <w:tcW w:w="794" w:type="dxa"/>
            <w:tcBorders>
              <w:top w:val="nil"/>
              <w:left w:val="nil"/>
              <w:bottom w:val="single" w:sz="4" w:space="0" w:color="auto"/>
              <w:right w:val="single" w:sz="4" w:space="0" w:color="auto"/>
            </w:tcBorders>
            <w:shd w:val="clear" w:color="000000" w:fill="F2F2F2"/>
            <w:noWrap/>
            <w:vAlign w:val="center"/>
            <w:hideMark/>
          </w:tcPr>
          <w:p w14:paraId="0C0F32CC" w14:textId="7263CDB6"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6,438</w:t>
            </w:r>
          </w:p>
        </w:tc>
        <w:tc>
          <w:tcPr>
            <w:tcW w:w="794" w:type="dxa"/>
            <w:tcBorders>
              <w:top w:val="nil"/>
              <w:left w:val="nil"/>
              <w:bottom w:val="single" w:sz="4" w:space="0" w:color="auto"/>
              <w:right w:val="nil"/>
            </w:tcBorders>
            <w:shd w:val="clear" w:color="auto" w:fill="auto"/>
            <w:noWrap/>
            <w:vAlign w:val="center"/>
            <w:hideMark/>
          </w:tcPr>
          <w:p w14:paraId="3E1C70DC" w14:textId="62389C8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3,322</w:t>
            </w:r>
          </w:p>
        </w:tc>
        <w:tc>
          <w:tcPr>
            <w:tcW w:w="794" w:type="dxa"/>
            <w:tcBorders>
              <w:top w:val="nil"/>
              <w:left w:val="nil"/>
              <w:bottom w:val="single" w:sz="4" w:space="0" w:color="auto"/>
              <w:right w:val="single" w:sz="4" w:space="0" w:color="auto"/>
            </w:tcBorders>
            <w:shd w:val="clear" w:color="000000" w:fill="F2F2F2"/>
            <w:noWrap/>
            <w:vAlign w:val="center"/>
            <w:hideMark/>
          </w:tcPr>
          <w:p w14:paraId="64227CF7" w14:textId="3E92A2EC"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6,451</w:t>
            </w:r>
          </w:p>
        </w:tc>
        <w:tc>
          <w:tcPr>
            <w:tcW w:w="794" w:type="dxa"/>
            <w:tcBorders>
              <w:top w:val="nil"/>
              <w:left w:val="nil"/>
              <w:bottom w:val="single" w:sz="4" w:space="0" w:color="auto"/>
              <w:right w:val="nil"/>
            </w:tcBorders>
            <w:shd w:val="clear" w:color="auto" w:fill="auto"/>
            <w:noWrap/>
            <w:vAlign w:val="center"/>
            <w:hideMark/>
          </w:tcPr>
          <w:p w14:paraId="1A20EFCB" w14:textId="6394D132"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3,348</w:t>
            </w:r>
          </w:p>
        </w:tc>
        <w:tc>
          <w:tcPr>
            <w:tcW w:w="794" w:type="dxa"/>
            <w:tcBorders>
              <w:top w:val="nil"/>
              <w:left w:val="nil"/>
              <w:bottom w:val="single" w:sz="4" w:space="0" w:color="auto"/>
              <w:right w:val="single" w:sz="4" w:space="0" w:color="auto"/>
            </w:tcBorders>
            <w:shd w:val="clear" w:color="000000" w:fill="F2F2F2"/>
            <w:noWrap/>
            <w:vAlign w:val="center"/>
            <w:hideMark/>
          </w:tcPr>
          <w:p w14:paraId="7C9BECF9" w14:textId="74F37A08"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6,548</w:t>
            </w:r>
          </w:p>
        </w:tc>
        <w:tc>
          <w:tcPr>
            <w:tcW w:w="794" w:type="dxa"/>
            <w:tcBorders>
              <w:top w:val="nil"/>
              <w:left w:val="nil"/>
              <w:bottom w:val="single" w:sz="4" w:space="0" w:color="auto"/>
              <w:right w:val="nil"/>
            </w:tcBorders>
            <w:shd w:val="clear" w:color="auto" w:fill="auto"/>
            <w:noWrap/>
            <w:vAlign w:val="center"/>
            <w:hideMark/>
          </w:tcPr>
          <w:p w14:paraId="04DF0F70" w14:textId="2250B438"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3,384</w:t>
            </w:r>
          </w:p>
        </w:tc>
        <w:tc>
          <w:tcPr>
            <w:tcW w:w="794" w:type="dxa"/>
            <w:tcBorders>
              <w:top w:val="nil"/>
              <w:left w:val="nil"/>
              <w:bottom w:val="single" w:sz="4" w:space="0" w:color="auto"/>
              <w:right w:val="single" w:sz="4" w:space="0" w:color="auto"/>
            </w:tcBorders>
            <w:shd w:val="clear" w:color="000000" w:fill="F2F2F2"/>
            <w:noWrap/>
            <w:vAlign w:val="center"/>
            <w:hideMark/>
          </w:tcPr>
          <w:p w14:paraId="7C5FDC47" w14:textId="66754DF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6,800</w:t>
            </w:r>
          </w:p>
        </w:tc>
        <w:tc>
          <w:tcPr>
            <w:tcW w:w="794" w:type="dxa"/>
            <w:tcBorders>
              <w:top w:val="nil"/>
              <w:left w:val="nil"/>
              <w:bottom w:val="single" w:sz="4" w:space="0" w:color="auto"/>
              <w:right w:val="nil"/>
            </w:tcBorders>
            <w:shd w:val="clear" w:color="auto" w:fill="auto"/>
            <w:noWrap/>
            <w:vAlign w:val="center"/>
            <w:hideMark/>
          </w:tcPr>
          <w:p w14:paraId="04929086" w14:textId="66EE57EF"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3,169</w:t>
            </w:r>
          </w:p>
        </w:tc>
        <w:tc>
          <w:tcPr>
            <w:tcW w:w="794" w:type="dxa"/>
            <w:tcBorders>
              <w:top w:val="nil"/>
              <w:left w:val="nil"/>
              <w:bottom w:val="single" w:sz="4" w:space="0" w:color="auto"/>
              <w:right w:val="single" w:sz="4" w:space="0" w:color="auto"/>
            </w:tcBorders>
            <w:shd w:val="clear" w:color="000000" w:fill="F2F2F2"/>
            <w:noWrap/>
            <w:vAlign w:val="center"/>
            <w:hideMark/>
          </w:tcPr>
          <w:p w14:paraId="05BF1A8F" w14:textId="6A330577"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7,001</w:t>
            </w:r>
          </w:p>
        </w:tc>
        <w:tc>
          <w:tcPr>
            <w:tcW w:w="794" w:type="dxa"/>
            <w:tcBorders>
              <w:top w:val="nil"/>
              <w:left w:val="nil"/>
              <w:bottom w:val="single" w:sz="4" w:space="0" w:color="auto"/>
              <w:right w:val="nil"/>
            </w:tcBorders>
            <w:shd w:val="clear" w:color="auto" w:fill="auto"/>
            <w:noWrap/>
            <w:vAlign w:val="center"/>
            <w:hideMark/>
          </w:tcPr>
          <w:p w14:paraId="0F6A8411" w14:textId="4CDA8E19"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5,804</w:t>
            </w:r>
          </w:p>
        </w:tc>
        <w:tc>
          <w:tcPr>
            <w:tcW w:w="794" w:type="dxa"/>
            <w:tcBorders>
              <w:top w:val="nil"/>
              <w:left w:val="nil"/>
              <w:bottom w:val="single" w:sz="4" w:space="0" w:color="auto"/>
              <w:right w:val="single" w:sz="4" w:space="0" w:color="auto"/>
            </w:tcBorders>
            <w:shd w:val="clear" w:color="000000" w:fill="F2F2F2"/>
            <w:noWrap/>
            <w:vAlign w:val="center"/>
            <w:hideMark/>
          </w:tcPr>
          <w:p w14:paraId="045948C9" w14:textId="09065EA1"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7,096</w:t>
            </w:r>
          </w:p>
        </w:tc>
        <w:tc>
          <w:tcPr>
            <w:tcW w:w="794" w:type="dxa"/>
            <w:tcBorders>
              <w:top w:val="nil"/>
              <w:left w:val="nil"/>
              <w:bottom w:val="single" w:sz="4" w:space="0" w:color="auto"/>
              <w:right w:val="nil"/>
            </w:tcBorders>
            <w:shd w:val="clear" w:color="auto" w:fill="auto"/>
            <w:noWrap/>
            <w:vAlign w:val="center"/>
            <w:hideMark/>
          </w:tcPr>
          <w:p w14:paraId="7049FADE" w14:textId="59EE4E8A"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5,024</w:t>
            </w:r>
          </w:p>
        </w:tc>
        <w:tc>
          <w:tcPr>
            <w:tcW w:w="794" w:type="dxa"/>
            <w:tcBorders>
              <w:top w:val="nil"/>
              <w:left w:val="nil"/>
              <w:bottom w:val="single" w:sz="4" w:space="0" w:color="auto"/>
              <w:right w:val="single" w:sz="4" w:space="0" w:color="auto"/>
            </w:tcBorders>
            <w:shd w:val="clear" w:color="000000" w:fill="F2F2F2"/>
            <w:noWrap/>
            <w:vAlign w:val="center"/>
            <w:hideMark/>
          </w:tcPr>
          <w:p w14:paraId="612A0B29" w14:textId="308E0EF0" w:rsidR="002F1955" w:rsidRPr="002F1955" w:rsidRDefault="002F1955" w:rsidP="002F1955">
            <w:pPr>
              <w:spacing w:after="0" w:line="240" w:lineRule="auto"/>
              <w:ind w:firstLine="0"/>
              <w:jc w:val="center"/>
              <w:rPr>
                <w:rFonts w:eastAsia="Times New Roman" w:cs="Times New Roman"/>
                <w:color w:val="000000"/>
                <w:sz w:val="20"/>
                <w:szCs w:val="20"/>
              </w:rPr>
            </w:pPr>
            <w:r w:rsidRPr="002F1955">
              <w:rPr>
                <w:color w:val="000000"/>
                <w:sz w:val="20"/>
                <w:szCs w:val="20"/>
              </w:rPr>
              <w:t>7,078</w:t>
            </w:r>
          </w:p>
        </w:tc>
      </w:tr>
    </w:tbl>
    <w:p w14:paraId="7BF3941B" w14:textId="4E7FC8F7" w:rsidR="00A952F7" w:rsidRPr="00E56B73" w:rsidRDefault="00A952F7" w:rsidP="00A952F7">
      <w:pPr>
        <w:spacing w:after="200" w:line="240" w:lineRule="auto"/>
        <w:ind w:firstLine="0"/>
        <w:jc w:val="center"/>
        <w:rPr>
          <w:rFonts w:ascii="Times New Roman" w:eastAsia="Calibri" w:hAnsi="Times New Roman" w:cs="Times New Roman"/>
          <w:b/>
          <w:iCs/>
          <w:color w:val="000000"/>
          <w:szCs w:val="23"/>
        </w:rPr>
      </w:pPr>
      <w:r w:rsidRPr="00A952F7">
        <w:rPr>
          <w:rFonts w:ascii="Times New Roman" w:eastAsia="Calibri" w:hAnsi="Times New Roman" w:cs="Times New Roman"/>
          <w:iCs/>
          <w:color w:val="000000"/>
          <w:sz w:val="24"/>
        </w:rPr>
        <w:t xml:space="preserve"> </w:t>
      </w:r>
      <w:r w:rsidRPr="00E56B73">
        <w:rPr>
          <w:rFonts w:ascii="Times New Roman" w:eastAsia="Calibri" w:hAnsi="Times New Roman" w:cs="Times New Roman"/>
          <w:iCs/>
          <w:color w:val="000000"/>
          <w:szCs w:val="23"/>
        </w:rPr>
        <w:t>(source: own calculations based on the U.S. Survey of Consumer Finances)</w:t>
      </w:r>
    </w:p>
    <w:p w14:paraId="7A2522FF" w14:textId="4F63E4AB" w:rsidR="00A952F7" w:rsidRPr="00A952F7" w:rsidRDefault="00A952F7" w:rsidP="00A952F7">
      <w:pPr>
        <w:jc w:val="center"/>
        <w:rPr>
          <w:rFonts w:ascii="Times New Roman" w:hAnsi="Times New Roman" w:cs="Times New Roman"/>
          <w:sz w:val="20"/>
          <w:szCs w:val="20"/>
        </w:rPr>
      </w:pPr>
      <w:r w:rsidRPr="00051E1D">
        <w:rPr>
          <w:rFonts w:ascii="Times New Roman" w:hAnsi="Times New Roman" w:cs="Times New Roman"/>
          <w:b/>
          <w:sz w:val="20"/>
          <w:szCs w:val="20"/>
        </w:rPr>
        <w:t>Notes</w:t>
      </w:r>
      <w:r w:rsidRPr="00051E1D">
        <w:rPr>
          <w:rFonts w:ascii="Times New Roman" w:hAnsi="Times New Roman" w:cs="Times New Roman"/>
          <w:sz w:val="20"/>
          <w:szCs w:val="20"/>
        </w:rPr>
        <w:t>: Italics indicate that the Theil-Sen median slope is not statistically different from zero.</w:t>
      </w:r>
      <w:r>
        <w:rPr>
          <w:rFonts w:ascii="Times New Roman" w:hAnsi="Times New Roman" w:cs="Times New Roman"/>
          <w:sz w:val="20"/>
          <w:szCs w:val="20"/>
        </w:rPr>
        <w:t xml:space="preserve"> Underlined estimates indicate overlapping confidence intervals.</w:t>
      </w:r>
    </w:p>
    <w:p w14:paraId="5E70605B" w14:textId="77777777" w:rsidR="00A952F7" w:rsidRDefault="00A952F7" w:rsidP="00CA0E44">
      <w:pPr>
        <w:ind w:firstLine="0"/>
        <w:rPr>
          <w:rFonts w:ascii="Times New Roman" w:hAnsi="Times New Roman" w:cs="Times New Roman"/>
        </w:rPr>
        <w:sectPr w:rsidR="00A952F7" w:rsidSect="00A952F7">
          <w:pgSz w:w="16840" w:h="11900" w:orient="landscape"/>
          <w:pgMar w:top="720" w:right="720" w:bottom="720" w:left="720" w:header="708" w:footer="708" w:gutter="0"/>
          <w:cols w:space="708"/>
          <w:docGrid w:linePitch="360"/>
        </w:sectPr>
      </w:pPr>
    </w:p>
    <w:p w14:paraId="76FF2A40" w14:textId="36D4C644" w:rsidR="00401C40" w:rsidRPr="006E4364" w:rsidRDefault="00401C40" w:rsidP="00401C40">
      <w:pPr>
        <w:pStyle w:val="MyHeading2"/>
        <w:numPr>
          <w:ilvl w:val="1"/>
          <w:numId w:val="2"/>
        </w:numPr>
        <w:ind w:left="426"/>
        <w:rPr>
          <w:sz w:val="23"/>
          <w:szCs w:val="23"/>
        </w:rPr>
      </w:pPr>
      <w:r w:rsidRPr="006E4364">
        <w:rPr>
          <w:sz w:val="23"/>
          <w:szCs w:val="23"/>
        </w:rPr>
        <w:lastRenderedPageBreak/>
        <w:t xml:space="preserve">Results by </w:t>
      </w:r>
      <w:r>
        <w:rPr>
          <w:sz w:val="23"/>
          <w:szCs w:val="23"/>
        </w:rPr>
        <w:t xml:space="preserve">gender </w:t>
      </w:r>
    </w:p>
    <w:p w14:paraId="7DEAC3D5" w14:textId="7C4D8100" w:rsidR="004E0D0F" w:rsidRPr="004E0D0F" w:rsidRDefault="004E0D0F" w:rsidP="004E0D0F">
      <w:pPr>
        <w:ind w:firstLine="0"/>
        <w:rPr>
          <w:rFonts w:ascii="Times New Roman" w:hAnsi="Times New Roman" w:cs="Times New Roman"/>
        </w:rPr>
      </w:pPr>
      <w:r w:rsidRPr="004E0D0F">
        <w:rPr>
          <w:rFonts w:ascii="Times New Roman" w:hAnsi="Times New Roman" w:cs="Times New Roman"/>
        </w:rPr>
        <w:t xml:space="preserve">The primary economic unit (PEU) of SCF is a household, defined as economically dominant single individual or a couple (married or unmarried) over 18 years old, together with all </w:t>
      </w:r>
      <w:r w:rsidR="00B63954" w:rsidRPr="004E0D0F">
        <w:rPr>
          <w:rFonts w:ascii="Times New Roman" w:hAnsi="Times New Roman" w:cs="Times New Roman"/>
        </w:rPr>
        <w:t xml:space="preserve">financially dependent </w:t>
      </w:r>
      <w:r w:rsidRPr="004E0D0F">
        <w:rPr>
          <w:rFonts w:ascii="Times New Roman" w:hAnsi="Times New Roman" w:cs="Times New Roman"/>
        </w:rPr>
        <w:t xml:space="preserve">individuals. All responses are given by the head of a household, who is taken to be either male in a mixed-sex couple or the older individual in a same-sex couple. </w:t>
      </w:r>
      <w:r w:rsidR="009F5905">
        <w:rPr>
          <w:rFonts w:ascii="Times New Roman" w:hAnsi="Times New Roman" w:cs="Times New Roman"/>
        </w:rPr>
        <w:t>T</w:t>
      </w:r>
      <w:r w:rsidRPr="004E0D0F">
        <w:rPr>
          <w:rFonts w:ascii="Times New Roman" w:hAnsi="Times New Roman" w:cs="Times New Roman"/>
        </w:rPr>
        <w:t xml:space="preserve">his </w:t>
      </w:r>
      <w:r w:rsidR="009F5905">
        <w:rPr>
          <w:rFonts w:ascii="Times New Roman" w:hAnsi="Times New Roman" w:cs="Times New Roman"/>
        </w:rPr>
        <w:t xml:space="preserve">design implies that </w:t>
      </w:r>
      <w:r w:rsidRPr="004E0D0F">
        <w:rPr>
          <w:rFonts w:ascii="Times New Roman" w:hAnsi="Times New Roman" w:cs="Times New Roman"/>
        </w:rPr>
        <w:t>no information can be inferred about the intra-household distribution of the analysed variables</w:t>
      </w:r>
      <w:r w:rsidR="009F5905">
        <w:rPr>
          <w:rFonts w:ascii="Times New Roman" w:hAnsi="Times New Roman" w:cs="Times New Roman"/>
        </w:rPr>
        <w:t xml:space="preserve">, and that </w:t>
      </w:r>
      <w:r w:rsidRPr="004E0D0F">
        <w:rPr>
          <w:rFonts w:ascii="Times New Roman" w:hAnsi="Times New Roman" w:cs="Times New Roman"/>
        </w:rPr>
        <w:t xml:space="preserve">all female </w:t>
      </w:r>
      <w:r w:rsidR="009F5905">
        <w:rPr>
          <w:rFonts w:ascii="Times New Roman" w:hAnsi="Times New Roman" w:cs="Times New Roman"/>
        </w:rPr>
        <w:t>households</w:t>
      </w:r>
      <w:r w:rsidRPr="004E0D0F">
        <w:rPr>
          <w:rFonts w:ascii="Times New Roman" w:hAnsi="Times New Roman" w:cs="Times New Roman"/>
        </w:rPr>
        <w:t xml:space="preserve"> are either single or in </w:t>
      </w:r>
      <w:r w:rsidR="00B63954">
        <w:rPr>
          <w:rFonts w:ascii="Times New Roman" w:hAnsi="Times New Roman" w:cs="Times New Roman"/>
        </w:rPr>
        <w:t xml:space="preserve">a </w:t>
      </w:r>
      <w:r w:rsidRPr="004E0D0F">
        <w:rPr>
          <w:rFonts w:ascii="Times New Roman" w:hAnsi="Times New Roman" w:cs="Times New Roman"/>
        </w:rPr>
        <w:t xml:space="preserve">same-sex relationship. This necessitates that analyses across gender consider the asymmetries in the number of female and male respondents by their marital status. It is common practice to conduct separate analyses </w:t>
      </w:r>
      <w:r w:rsidR="009F5905">
        <w:rPr>
          <w:rFonts w:ascii="Times New Roman" w:hAnsi="Times New Roman" w:cs="Times New Roman"/>
        </w:rPr>
        <w:t xml:space="preserve">of gender differentials </w:t>
      </w:r>
      <w:r w:rsidRPr="004E0D0F">
        <w:rPr>
          <w:rFonts w:ascii="Times New Roman" w:hAnsi="Times New Roman" w:cs="Times New Roman"/>
        </w:rPr>
        <w:t xml:space="preserve">for single and non-single households (Doss </w:t>
      </w:r>
      <w:r w:rsidR="00011822" w:rsidRPr="00011822">
        <w:rPr>
          <w:rFonts w:ascii="Times New Roman" w:hAnsi="Times New Roman" w:cs="Times New Roman"/>
          <w:i/>
        </w:rPr>
        <w:t>et al</w:t>
      </w:r>
      <w:r w:rsidR="00011822">
        <w:rPr>
          <w:rFonts w:ascii="Times New Roman" w:hAnsi="Times New Roman" w:cs="Times New Roman"/>
        </w:rPr>
        <w:t>.</w:t>
      </w:r>
      <w:r w:rsidRPr="004E0D0F">
        <w:rPr>
          <w:rFonts w:ascii="Times New Roman" w:hAnsi="Times New Roman" w:cs="Times New Roman"/>
        </w:rPr>
        <w:t xml:space="preserve"> 2008). In SCF, comparison of married female and married male households is highly problematic due to imbalances in the number of observations</w:t>
      </w:r>
      <w:r w:rsidR="009F5905">
        <w:rPr>
          <w:rStyle w:val="FootnoteReference"/>
        </w:rPr>
        <w:footnoteReference w:id="18"/>
      </w:r>
      <w:r w:rsidRPr="004E0D0F">
        <w:rPr>
          <w:rFonts w:ascii="Times New Roman" w:hAnsi="Times New Roman" w:cs="Times New Roman"/>
        </w:rPr>
        <w:t>. For this reason, analysis across gender in this paper is restricted to single households only, as this ensures a more balanced distribution of observations between male and female households.</w:t>
      </w:r>
    </w:p>
    <w:p w14:paraId="314D84AC" w14:textId="60BFD55B" w:rsidR="009F5905" w:rsidRPr="00BB5C37" w:rsidRDefault="00774966" w:rsidP="00BB5C37">
      <w:pPr>
        <w:rPr>
          <w:rFonts w:ascii="Times New Roman" w:hAnsi="Times New Roman" w:cs="Times New Roman"/>
        </w:rPr>
      </w:pPr>
      <w:r>
        <w:rPr>
          <w:rFonts w:ascii="Times New Roman" w:hAnsi="Times New Roman" w:cs="Times New Roman"/>
        </w:rPr>
        <w:t xml:space="preserve">Table </w:t>
      </w:r>
      <w:r w:rsidR="004E0D0F">
        <w:rPr>
          <w:rFonts w:ascii="Times New Roman" w:hAnsi="Times New Roman" w:cs="Times New Roman"/>
        </w:rPr>
        <w:t>3</w:t>
      </w:r>
      <w:r w:rsidR="00CA0E44" w:rsidRPr="00E92972">
        <w:rPr>
          <w:rFonts w:ascii="Times New Roman" w:hAnsi="Times New Roman" w:cs="Times New Roman"/>
        </w:rPr>
        <w:t xml:space="preserve"> presents </w:t>
      </w:r>
      <w:r w:rsidR="009F5905">
        <w:rPr>
          <w:rFonts w:ascii="Times New Roman" w:hAnsi="Times New Roman" w:cs="Times New Roman"/>
        </w:rPr>
        <w:t>results of the Theil Sen median slope estimation for single female and single male households between 1989 and 2013. In the majority of cases, there are significant differences in the estimates across gender over time</w:t>
      </w:r>
      <w:r w:rsidR="00E56B73">
        <w:rPr>
          <w:rFonts w:ascii="Times New Roman" w:hAnsi="Times New Roman" w:cs="Times New Roman"/>
        </w:rPr>
        <w:t>, particularly so in the run up to the Great Recession</w:t>
      </w:r>
      <w:r w:rsidR="009F5905">
        <w:rPr>
          <w:rFonts w:ascii="Times New Roman" w:hAnsi="Times New Roman" w:cs="Times New Roman"/>
        </w:rPr>
        <w:t xml:space="preserve">. </w:t>
      </w:r>
      <w:r w:rsidR="005D5AB1">
        <w:t>Apart from 2004, t</w:t>
      </w:r>
      <w:r w:rsidR="009F5905">
        <w:t>he median slope</w:t>
      </w:r>
      <w:r w:rsidR="009F5905" w:rsidRPr="007F3CBD">
        <w:t xml:space="preserve"> </w:t>
      </w:r>
      <w:r w:rsidR="009F5905">
        <w:t>of relative holdings of primary residence was significantly higher for mal</w:t>
      </w:r>
      <w:r w:rsidR="005D5AB1">
        <w:t xml:space="preserve">e households than for females. </w:t>
      </w:r>
      <w:r w:rsidR="009F5905">
        <w:t xml:space="preserve">For single female households, the median slope of relative holdings of primary residence increased from 0.09 in </w:t>
      </w:r>
      <w:r w:rsidR="00A6208A">
        <w:t>1989</w:t>
      </w:r>
      <w:r w:rsidR="009F5905">
        <w:t xml:space="preserve"> to 0.</w:t>
      </w:r>
      <w:r w:rsidR="005D5AB1">
        <w:t xml:space="preserve">14 in 2013 </w:t>
      </w:r>
      <w:r w:rsidR="009F5905">
        <w:t xml:space="preserve">and was not statistically significant in </w:t>
      </w:r>
      <w:r w:rsidR="005D5AB1">
        <w:t>2001</w:t>
      </w:r>
      <w:r w:rsidR="009F5905">
        <w:t>. For single male household</w:t>
      </w:r>
      <w:r w:rsidR="00426BD0">
        <w:t>s the estimate declined from 0.46</w:t>
      </w:r>
      <w:r w:rsidR="009F5905">
        <w:t xml:space="preserve"> in 1989 to </w:t>
      </w:r>
      <w:r w:rsidR="00426BD0">
        <w:t>0.09</w:t>
      </w:r>
      <w:r w:rsidR="009F5905">
        <w:t xml:space="preserve"> in 2001, rising to 0.</w:t>
      </w:r>
      <w:r w:rsidR="00426BD0">
        <w:t>24</w:t>
      </w:r>
      <w:r w:rsidR="009F5905">
        <w:t xml:space="preserve"> in 2010 and reachin</w:t>
      </w:r>
      <w:r w:rsidR="00426BD0">
        <w:t>g 0.20</w:t>
      </w:r>
      <w:r w:rsidR="009F5905">
        <w:t xml:space="preserve"> in 2013. Similarly, the median slope of relative holdings of other real estate was significantly lower for single female households than for</w:t>
      </w:r>
      <w:r w:rsidR="00426BD0">
        <w:t xml:space="preserve"> single male households in 1989, </w:t>
      </w:r>
      <w:r w:rsidR="009F5905">
        <w:t xml:space="preserve">1992, </w:t>
      </w:r>
      <w:r w:rsidR="00426BD0">
        <w:t>1998, and</w:t>
      </w:r>
      <w:r w:rsidR="009F5905">
        <w:t xml:space="preserve"> 2007. In the remaining years, the estimate for female households was either higher or not statistically different compared to male households, fluctuating between 0.5 and 1.</w:t>
      </w:r>
      <w:r w:rsidR="00426BD0">
        <w:t>7</w:t>
      </w:r>
      <w:r w:rsidR="009F5905">
        <w:t xml:space="preserve"> percentage points</w:t>
      </w:r>
      <w:r w:rsidR="009F5905" w:rsidRPr="00973CDE">
        <w:t xml:space="preserve"> </w:t>
      </w:r>
      <w:r w:rsidR="009F5905">
        <w:t>for female households and between 0.6 and 1.</w:t>
      </w:r>
      <w:r w:rsidR="00426BD0">
        <w:t>8</w:t>
      </w:r>
      <w:r w:rsidR="009F5905">
        <w:t xml:space="preserve"> for male households. In contrast, the median slope of relative holdings of vehicles and other non-financial assets was significantly higher for female households in the period. The estimate was negative for male households between 1989 and 2013, rising in absolu</w:t>
      </w:r>
      <w:r w:rsidR="008D6639">
        <w:t>te terms from -0.29 in 1989 to -0.37 in 2004 and 2007</w:t>
      </w:r>
      <w:r w:rsidR="009F5905">
        <w:t>, reaching -0.</w:t>
      </w:r>
      <w:r w:rsidR="008D6639">
        <w:t>22</w:t>
      </w:r>
      <w:r w:rsidR="009F5905">
        <w:t xml:space="preserve"> in 2013. For female households, the estimate was positive between 1989 and 1998, turning negative thereafter, which led to an overall decline from 0.0</w:t>
      </w:r>
      <w:r w:rsidR="008D6639">
        <w:t>7 in 1989 to -0.05</w:t>
      </w:r>
      <w:r w:rsidR="009F5905">
        <w:t xml:space="preserve"> in 2010</w:t>
      </w:r>
      <w:r w:rsidR="008D6639">
        <w:t xml:space="preserve"> (the estimate is not statistically significant in 2013)</w:t>
      </w:r>
      <w:r w:rsidR="009F5905">
        <w:t>.</w:t>
      </w:r>
    </w:p>
    <w:p w14:paraId="1C2FD3FF" w14:textId="5CAEF287" w:rsidR="009F5905" w:rsidRDefault="00E56B73" w:rsidP="00E56B73">
      <w:r>
        <w:lastRenderedPageBreak/>
        <w:t>B</w:t>
      </w:r>
      <w:r w:rsidR="009F5905">
        <w:t xml:space="preserve">usiness equity </w:t>
      </w:r>
      <w:r w:rsidR="00BB5C37">
        <w:t>is</w:t>
      </w:r>
      <w:r w:rsidR="009F5905">
        <w:t xml:space="preserve"> found to have the highest positive association with improvements in the income distribution for single female households. The median slope of relative holdings of business equity tended to be significantly higher for female than for male</w:t>
      </w:r>
      <w:r w:rsidR="009F5905" w:rsidRPr="00973CDE">
        <w:t xml:space="preserve"> </w:t>
      </w:r>
      <w:r w:rsidR="009F5905">
        <w:t>households in the period, except for 1992</w:t>
      </w:r>
      <w:r w:rsidR="00EA26D4">
        <w:t xml:space="preserve"> and </w:t>
      </w:r>
      <w:r w:rsidR="009F5905">
        <w:t xml:space="preserve">2010. The estimate for female households fluctuated between 0.6 and </w:t>
      </w:r>
      <w:r w:rsidR="00EA26D4">
        <w:t>4.6</w:t>
      </w:r>
      <w:r w:rsidR="009F5905">
        <w:t xml:space="preserve"> for female households and between 0.</w:t>
      </w:r>
      <w:r w:rsidR="00EA26D4">
        <w:t>4</w:t>
      </w:r>
      <w:r w:rsidR="009F5905">
        <w:t xml:space="preserve"> and 1.</w:t>
      </w:r>
      <w:r w:rsidR="00EA26D4">
        <w:t>6</w:t>
      </w:r>
      <w:r w:rsidR="009F5905">
        <w:t xml:space="preserve"> for male households. For both groups the estimate experienced a </w:t>
      </w:r>
      <w:r w:rsidR="00EA26D4">
        <w:t xml:space="preserve">rise in the subprime period, </w:t>
      </w:r>
      <w:r w:rsidR="009F5905">
        <w:t>a fall after the Great Recession</w:t>
      </w:r>
      <w:r w:rsidR="00EA26D4">
        <w:t>, and a rebound in 2013</w:t>
      </w:r>
      <w:r w:rsidR="009F5905">
        <w:t xml:space="preserve">. Moreover, the median slope of relative holdings of transaction accounts was higher for female households than for males in the pre-subprime period in 1989, 1992, and 1998 as well as in </w:t>
      </w:r>
      <w:r w:rsidR="00EA26D4">
        <w:t>2004 and 2007</w:t>
      </w:r>
      <w:r w:rsidR="009F5905">
        <w:t xml:space="preserve">. </w:t>
      </w:r>
      <w:r w:rsidR="00EA26D4">
        <w:t xml:space="preserve">The estimate for single female households declined from the values of 0.17 and 0.3 in 1989 and 1992 respectively to 0.08 in 2007 (estimates in 2010 and 2013 are not statistically significant). For single male households, the estimate fluctuated between positive and negative values in the pre-subprime period are stood around zero in the remainder of the period. </w:t>
      </w:r>
    </w:p>
    <w:p w14:paraId="6A9120D5" w14:textId="5C6A1499" w:rsidR="009F5905" w:rsidRPr="00D568FA" w:rsidRDefault="009F5905" w:rsidP="00E56B73">
      <w:r>
        <w:t xml:space="preserve">In contrast, the median slope of relative holdings of financial investment assets was significantly higher for male households than for female households in all years except for 1989, 2004, 2010, and 2013. After an initial </w:t>
      </w:r>
      <w:r w:rsidR="00D210AE">
        <w:t>fall in the pre-subprime period</w:t>
      </w:r>
      <w:r>
        <w:t xml:space="preserve">, the estimate for </w:t>
      </w:r>
      <w:r w:rsidR="00D210AE">
        <w:t>female</w:t>
      </w:r>
      <w:r>
        <w:t xml:space="preserve"> households rose from </w:t>
      </w:r>
      <w:r w:rsidR="00D210AE">
        <w:t>0.74</w:t>
      </w:r>
      <w:r>
        <w:t xml:space="preserve"> in 1989 to </w:t>
      </w:r>
      <w:r w:rsidR="00D210AE">
        <w:t>1.07</w:t>
      </w:r>
      <w:r>
        <w:t xml:space="preserve"> in 200</w:t>
      </w:r>
      <w:r w:rsidR="00D210AE">
        <w:t>4</w:t>
      </w:r>
      <w:r>
        <w:t xml:space="preserve">, reaching </w:t>
      </w:r>
      <w:r w:rsidR="00D210AE">
        <w:t>0.83</w:t>
      </w:r>
      <w:r>
        <w:t xml:space="preserve"> in 2013, while the estimate for male households increased from 0.</w:t>
      </w:r>
      <w:r w:rsidR="00D210AE">
        <w:t>82</w:t>
      </w:r>
      <w:r>
        <w:t xml:space="preserve"> in 1989 to 1.</w:t>
      </w:r>
      <w:r w:rsidR="00D210AE">
        <w:t>68</w:t>
      </w:r>
      <w:r>
        <w:t xml:space="preserve"> in 200</w:t>
      </w:r>
      <w:r w:rsidR="00D210AE">
        <w:t>7</w:t>
      </w:r>
      <w:r>
        <w:t xml:space="preserve">, </w:t>
      </w:r>
      <w:r w:rsidR="00D210AE">
        <w:t>declining to</w:t>
      </w:r>
      <w:r>
        <w:t xml:space="preserve"> </w:t>
      </w:r>
      <w:r w:rsidR="00D210AE">
        <w:t>0.88</w:t>
      </w:r>
      <w:r>
        <w:t xml:space="preserve"> in 2013. Similarly, the median slope of relative holdings of retirement and insurance assets was significantly higher for male households in all years except for </w:t>
      </w:r>
      <w:r w:rsidR="00D07FC8">
        <w:t>1995 and 2007</w:t>
      </w:r>
      <w:r>
        <w:t>. The estimate fell from 2.</w:t>
      </w:r>
      <w:r w:rsidR="00D07FC8">
        <w:t>62</w:t>
      </w:r>
      <w:r>
        <w:t xml:space="preserve"> in 1989 to </w:t>
      </w:r>
      <w:r w:rsidR="00D07FC8">
        <w:t>0.86</w:t>
      </w:r>
      <w:r>
        <w:t xml:space="preserve"> in 1995 for male households, rising to 1.</w:t>
      </w:r>
      <w:r w:rsidR="00D07FC8">
        <w:t>7</w:t>
      </w:r>
      <w:r>
        <w:t>3 in 2007 and reaching 1.</w:t>
      </w:r>
      <w:r w:rsidR="00D07FC8">
        <w:t>46</w:t>
      </w:r>
      <w:r>
        <w:t xml:space="preserve"> in 2013. For female households, the estimate declined from 2.</w:t>
      </w:r>
      <w:r w:rsidR="00D07FC8">
        <w:t>27</w:t>
      </w:r>
      <w:r>
        <w:t xml:space="preserve"> in 1989 to 0.9</w:t>
      </w:r>
      <w:r w:rsidR="00D07FC8">
        <w:t>8</w:t>
      </w:r>
      <w:r>
        <w:t xml:space="preserve"> in </w:t>
      </w:r>
      <w:r w:rsidR="00D07FC8">
        <w:t>1998</w:t>
      </w:r>
      <w:r>
        <w:t xml:space="preserve"> and rose to 1.3</w:t>
      </w:r>
      <w:r w:rsidR="00D07FC8">
        <w:t>3</w:t>
      </w:r>
      <w:r>
        <w:t xml:space="preserve"> in 2013</w:t>
      </w:r>
      <w:r w:rsidR="005D5814">
        <w:t>,</w:t>
      </w:r>
      <w:r>
        <w:t xml:space="preserve"> with a peak of 1.5</w:t>
      </w:r>
      <w:r w:rsidR="00D07FC8">
        <w:t>9</w:t>
      </w:r>
      <w:r>
        <w:t xml:space="preserve"> in 200</w:t>
      </w:r>
      <w:r w:rsidR="00D07FC8">
        <w:t>4</w:t>
      </w:r>
      <w:r>
        <w:t>.</w:t>
      </w:r>
    </w:p>
    <w:p w14:paraId="527ECC1D" w14:textId="2E72AD5C" w:rsidR="009F5905" w:rsidRDefault="009F5905" w:rsidP="00E56B73">
      <w:r>
        <w:t>The median slope of relative holdings of debt secured by main residence was significantly higher for male households compared to females in all years other than 1995</w:t>
      </w:r>
      <w:r w:rsidR="00A75165">
        <w:t xml:space="preserve"> and 2013</w:t>
      </w:r>
      <w:r>
        <w:t>. The median slope of relative holdings of debt secured by main residence fell from 0.</w:t>
      </w:r>
      <w:r w:rsidR="00A75165">
        <w:t>51</w:t>
      </w:r>
      <w:r>
        <w:t xml:space="preserve"> percentage points in 1989 to 0.</w:t>
      </w:r>
      <w:r w:rsidR="00A75165">
        <w:t>28</w:t>
      </w:r>
      <w:r>
        <w:t xml:space="preserve"> in 2004 for females, rising to 0.</w:t>
      </w:r>
      <w:r w:rsidR="00A75165">
        <w:t>41</w:t>
      </w:r>
      <w:r>
        <w:t xml:space="preserve"> in 2007 before falling to 0.</w:t>
      </w:r>
      <w:r w:rsidR="00A75165">
        <w:t>36</w:t>
      </w:r>
      <w:r>
        <w:t xml:space="preserve"> in 2013. For males, </w:t>
      </w:r>
      <w:r w:rsidR="00A75165">
        <w:t xml:space="preserve">following a brief decline </w:t>
      </w:r>
      <w:r>
        <w:t>the estimate increased from 0.</w:t>
      </w:r>
      <w:r w:rsidR="00A75165">
        <w:t>6</w:t>
      </w:r>
      <w:r>
        <w:t xml:space="preserve"> in 1989 to 0.</w:t>
      </w:r>
      <w:r w:rsidR="00A75165">
        <w:t>61 in 1998, falling to 0.39</w:t>
      </w:r>
      <w:r>
        <w:t xml:space="preserve"> in 2013. Moreover, the median slope of relative holdings of debt secured by other real estate was significantly higher for male households in 1992, 1995, and 2007, and significantly lower than for female households in 2001, 2004, and 2010. The median slope of relative holdings of debt secured by other real estate declined initially from for female households, but it rose </w:t>
      </w:r>
      <w:r w:rsidR="00A75165">
        <w:t xml:space="preserve">from 0.91 in 1989 </w:t>
      </w:r>
      <w:r>
        <w:t xml:space="preserve">to </w:t>
      </w:r>
      <w:r w:rsidR="00A75165">
        <w:t>2.02</w:t>
      </w:r>
      <w:r>
        <w:t xml:space="preserve"> by 2004, falling thereafter to </w:t>
      </w:r>
      <w:r w:rsidR="00A75165">
        <w:t>1</w:t>
      </w:r>
      <w:r>
        <w:t xml:space="preserve"> in 2013. The estimate peaked at </w:t>
      </w:r>
      <w:r w:rsidR="00A75165">
        <w:t>3.28</w:t>
      </w:r>
      <w:r>
        <w:t xml:space="preserve"> percentage points in 1992 for male households, reaching </w:t>
      </w:r>
      <w:r w:rsidR="00A75165">
        <w:t>1.06</w:t>
      </w:r>
      <w:r>
        <w:t xml:space="preserve"> in 2013. The estimates were not statistically different across both groups in 1989, 1998, and 2013.</w:t>
      </w:r>
    </w:p>
    <w:p w14:paraId="65696719" w14:textId="674CDAA1" w:rsidR="009F5905" w:rsidRDefault="009F5905" w:rsidP="009F5905">
      <w:r>
        <w:lastRenderedPageBreak/>
        <w:t>The median slope of relative holdings of instalment debt was negative for both groups, with the values significantly more negative for male households in all years. For female households, the estimate declined in absolute terms from -0.2</w:t>
      </w:r>
      <w:r w:rsidR="000B071A">
        <w:t>4</w:t>
      </w:r>
      <w:r>
        <w:t xml:space="preserve"> in 1989 to -0.0</w:t>
      </w:r>
      <w:r w:rsidR="000B071A">
        <w:t>7</w:t>
      </w:r>
      <w:r>
        <w:t xml:space="preserve"> in 2004, reaching </w:t>
      </w:r>
      <w:r w:rsidR="000B071A">
        <w:t>-0.20</w:t>
      </w:r>
      <w:r>
        <w:t xml:space="preserve"> in 2013. The estimate fell in absolute terms from -0.5</w:t>
      </w:r>
      <w:r w:rsidR="000B071A">
        <w:t>7</w:t>
      </w:r>
      <w:r>
        <w:t xml:space="preserve"> in 1989 to -0.</w:t>
      </w:r>
      <w:r w:rsidR="000B071A">
        <w:t>13</w:t>
      </w:r>
      <w:r>
        <w:t xml:space="preserve"> in 2001 for males, rising to -0.4</w:t>
      </w:r>
      <w:r w:rsidR="000B071A">
        <w:t>4</w:t>
      </w:r>
      <w:r>
        <w:t xml:space="preserve"> in</w:t>
      </w:r>
      <w:r w:rsidR="000B071A">
        <w:t xml:space="preserve"> 2007 and reaching -0.33</w:t>
      </w:r>
      <w:r>
        <w:t xml:space="preserve"> in 2013.</w:t>
      </w:r>
    </w:p>
    <w:p w14:paraId="34C4762B" w14:textId="5EA22810" w:rsidR="009F5905" w:rsidRDefault="009F5905" w:rsidP="00E56B73">
      <w:r>
        <w:t>Moreover, the median slope of relative holdings of credit card debt was significantly higher for female households in 1992, 1998, 2001, and 2004, being lower from the estimates for males in 1995 and not significantly different in the remaining years. For female households, the median slope of relative holdings of credit card debt declined from 0.</w:t>
      </w:r>
      <w:r w:rsidR="000A1A0D">
        <w:t>16</w:t>
      </w:r>
      <w:r>
        <w:t xml:space="preserve"> in 1989 to -0.</w:t>
      </w:r>
      <w:r w:rsidR="000A1A0D">
        <w:t>11</w:t>
      </w:r>
      <w:r>
        <w:t xml:space="preserve"> in 2001 and 2004, rising to 0.</w:t>
      </w:r>
      <w:r w:rsidR="000A1A0D">
        <w:t>07</w:t>
      </w:r>
      <w:r>
        <w:t xml:space="preserve"> percentage points in 2013. For male households, the estimate was positive in 1989 1995,</w:t>
      </w:r>
      <w:r w:rsidR="000A1A0D">
        <w:t xml:space="preserve"> and 2013, falling</w:t>
      </w:r>
      <w:r>
        <w:t xml:space="preserve"> from 0.</w:t>
      </w:r>
      <w:r w:rsidR="000A1A0D">
        <w:t>16</w:t>
      </w:r>
      <w:r>
        <w:t xml:space="preserve"> in 1989 to -0.</w:t>
      </w:r>
      <w:r w:rsidR="000A1A0D">
        <w:t xml:space="preserve">32 in 1998 and </w:t>
      </w:r>
      <w:r>
        <w:t>rising to +0.</w:t>
      </w:r>
      <w:r w:rsidR="000A1A0D">
        <w:t>09</w:t>
      </w:r>
      <w:r>
        <w:t xml:space="preserve"> in 2013. The median slope estimates for relative holdings of other types of debt fluctuated between positive and negative values for both groups, with absolute values of less than 0.4 in the period. The estimate was significantly higher for males in 1992, 2004, and 2013, and was significantly higher for female households in 1995, 1998, </w:t>
      </w:r>
      <w:r w:rsidR="00B63C43">
        <w:t xml:space="preserve">and </w:t>
      </w:r>
      <w:r>
        <w:t>2007. In 1989</w:t>
      </w:r>
      <w:r w:rsidR="00B63C43">
        <w:t>, 2001, and 2010</w:t>
      </w:r>
      <w:r>
        <w:t xml:space="preserve"> the estimates were not statistically different.</w:t>
      </w:r>
    </w:p>
    <w:p w14:paraId="2003C82B" w14:textId="2EA1CCA1" w:rsidR="004E0D0F" w:rsidRDefault="009F5905" w:rsidP="009A040F">
      <w:pPr>
        <w:rPr>
          <w:rFonts w:ascii="Times New Roman" w:hAnsi="Times New Roman" w:cs="Times New Roman"/>
        </w:rPr>
      </w:pPr>
      <w:r>
        <w:t xml:space="preserve">The median slope estimates of leverage measures </w:t>
      </w:r>
      <w:r w:rsidR="00C71D4D">
        <w:t>were</w:t>
      </w:r>
      <w:r>
        <w:t xml:space="preserve"> positive for both groups </w:t>
      </w:r>
      <w:r w:rsidR="00C71D4D">
        <w:t>in the period</w:t>
      </w:r>
      <w:r>
        <w:t xml:space="preserve">, with the largest positive contribution coming from increases in debt-service-to-income ratio. The </w:t>
      </w:r>
      <w:r w:rsidR="009A040F">
        <w:t>estimate</w:t>
      </w:r>
      <w:r>
        <w:t xml:space="preserve"> of the debt-service-to-income ratio was significantly higher in absolute terms for male households in </w:t>
      </w:r>
      <w:r w:rsidR="00C71D4D">
        <w:t xml:space="preserve">all years other than 1992 and 2004, </w:t>
      </w:r>
      <w:r>
        <w:t xml:space="preserve">falling from </w:t>
      </w:r>
      <w:r w:rsidR="00C71D4D">
        <w:t>161.56</w:t>
      </w:r>
      <w:r>
        <w:t xml:space="preserve"> in 1989 to</w:t>
      </w:r>
      <w:r w:rsidR="00C71D4D">
        <w:t xml:space="preserve"> 57.9</w:t>
      </w:r>
      <w:r>
        <w:t xml:space="preserve"> in 2004 </w:t>
      </w:r>
      <w:r w:rsidR="00C71D4D">
        <w:t>and increasing to 107.9 in 2007 before reaching 77.21 in 2013.</w:t>
      </w:r>
      <w:r>
        <w:t xml:space="preserve"> </w:t>
      </w:r>
      <w:r w:rsidR="00C71D4D">
        <w:t>For female households, the estimate decreased from 77.67 in 1989 to 67.78 percentage points in 2013.</w:t>
      </w:r>
      <w:r>
        <w:t xml:space="preserve"> Similar patterns are observed for the median slope of the debt-to-asset ratio, except for 199</w:t>
      </w:r>
      <w:r w:rsidR="00C71D4D">
        <w:t>5</w:t>
      </w:r>
      <w:r>
        <w:t xml:space="preserve"> (when the estimates were not statistically different)</w:t>
      </w:r>
      <w:r w:rsidR="00C71D4D">
        <w:t xml:space="preserve"> as well as 1998 and 2013 (</w:t>
      </w:r>
      <w:r>
        <w:t xml:space="preserve">when the estimate for males was significantly </w:t>
      </w:r>
      <w:r w:rsidR="00C71D4D">
        <w:t>lower)</w:t>
      </w:r>
      <w:r>
        <w:t xml:space="preserve">. The estimate for females </w:t>
      </w:r>
      <w:proofErr w:type="gramStart"/>
      <w:r w:rsidR="00C71D4D">
        <w:t>fell</w:t>
      </w:r>
      <w:proofErr w:type="gramEnd"/>
      <w:r>
        <w:t xml:space="preserve"> from </w:t>
      </w:r>
      <w:r w:rsidR="00C71D4D">
        <w:t>17.39</w:t>
      </w:r>
      <w:r>
        <w:t xml:space="preserve"> in 1989 to </w:t>
      </w:r>
      <w:r w:rsidR="00C71D4D">
        <w:t xml:space="preserve">4.07 in 2013, with a peak of 29.46 in 1992. For males, the estimate decreased over all from 45.11 in 1989 to 2.87 in 2013. </w:t>
      </w:r>
      <w:r>
        <w:t>Moreover, the median slope of debt-to-income ratio was significantly higher for male</w:t>
      </w:r>
      <w:r w:rsidR="009A040F">
        <w:t xml:space="preserve">s </w:t>
      </w:r>
      <w:r>
        <w:t xml:space="preserve">in 1989, 1998, </w:t>
      </w:r>
      <w:r w:rsidR="00C71D4D">
        <w:t xml:space="preserve">2001, </w:t>
      </w:r>
      <w:r>
        <w:t xml:space="preserve">2007, and 2010, declining from </w:t>
      </w:r>
      <w:r w:rsidR="00C71D4D">
        <w:t xml:space="preserve">43.71 in 1989 to 5.17 </w:t>
      </w:r>
      <w:r>
        <w:t>in 2013.</w:t>
      </w:r>
      <w:r w:rsidR="00C71D4D">
        <w:t xml:space="preserve"> </w:t>
      </w:r>
      <w:r>
        <w:t xml:space="preserve"> In 1992, 1995, and 2013 the estimate was significantly higher for females, </w:t>
      </w:r>
      <w:r w:rsidR="009A040F">
        <w:t>falling</w:t>
      </w:r>
      <w:r>
        <w:t xml:space="preserve"> from </w:t>
      </w:r>
      <w:r w:rsidR="00C71D4D">
        <w:t>24.4</w:t>
      </w:r>
      <w:r>
        <w:t xml:space="preserve"> in 1989 to </w:t>
      </w:r>
      <w:r w:rsidR="00C71D4D">
        <w:t>7.94</w:t>
      </w:r>
      <w:r>
        <w:t xml:space="preserve"> in 2013.</w:t>
      </w:r>
    </w:p>
    <w:p w14:paraId="00312C8A" w14:textId="20E751A2" w:rsidR="009A040F" w:rsidRDefault="009A040F" w:rsidP="009A040F">
      <w:r>
        <w:t xml:space="preserve">In sum, the most substantial differences in the estimates </w:t>
      </w:r>
      <w:r w:rsidR="00557B9D">
        <w:t>in favour of male households</w:t>
      </w:r>
      <w:r>
        <w:t xml:space="preserve"> are observed for</w:t>
      </w:r>
      <w:r w:rsidR="005A5AFC">
        <w:t xml:space="preserve"> relative holdings of primary residence, financial investment assets,</w:t>
      </w:r>
      <w:r>
        <w:t xml:space="preserve"> retirement and insurance assets, transaction accounts in the subprime </w:t>
      </w:r>
      <w:r w:rsidR="005A5AFC">
        <w:t xml:space="preserve">and post-crisis </w:t>
      </w:r>
      <w:r w:rsidR="00946D83">
        <w:t>period</w:t>
      </w:r>
      <w:r>
        <w:t xml:space="preserve">, and debt secured by main residence. Conversely, higher estimates of business equity for female households indicate that greater relative holdings of this asset are more conducive to gains in relative income and thus </w:t>
      </w:r>
      <w:r>
        <w:lastRenderedPageBreak/>
        <w:t>potential reductions in gender income inequality</w:t>
      </w:r>
      <w:r w:rsidR="00557B9D">
        <w:t>, although, together with relative holdings of debt secured by other property, the positive impact of these types of wealth became weaker after the Great Recession.</w:t>
      </w:r>
    </w:p>
    <w:p w14:paraId="70BC2460" w14:textId="7DF97BE5" w:rsidR="00E56B73" w:rsidRDefault="00E56B73" w:rsidP="00CA0E44">
      <w:pPr>
        <w:rPr>
          <w:rFonts w:ascii="Times New Roman" w:hAnsi="Times New Roman" w:cs="Times New Roman"/>
          <w:highlight w:val="lightGray"/>
        </w:rPr>
        <w:sectPr w:rsidR="00E56B73" w:rsidSect="005634A0">
          <w:pgSz w:w="11900" w:h="16840"/>
          <w:pgMar w:top="1440" w:right="1440" w:bottom="1440" w:left="1440" w:header="708" w:footer="708" w:gutter="0"/>
          <w:cols w:space="708"/>
          <w:docGrid w:linePitch="360"/>
        </w:sectPr>
      </w:pPr>
    </w:p>
    <w:p w14:paraId="07FB3DEE" w14:textId="6DC6D796" w:rsidR="00E56B73" w:rsidRPr="00E56B73" w:rsidRDefault="00E56B73" w:rsidP="00E56B73">
      <w:pPr>
        <w:spacing w:after="0" w:line="240" w:lineRule="auto"/>
        <w:ind w:firstLine="0"/>
        <w:jc w:val="center"/>
        <w:rPr>
          <w:rFonts w:ascii="Times New Roman" w:eastAsia="Calibri" w:hAnsi="Times New Roman" w:cs="Times New Roman"/>
          <w:iCs/>
          <w:color w:val="000000"/>
          <w:szCs w:val="23"/>
        </w:rPr>
      </w:pPr>
      <w:r w:rsidRPr="00E56B73">
        <w:rPr>
          <w:rFonts w:ascii="Times New Roman" w:eastAsia="Calibri" w:hAnsi="Times New Roman" w:cs="Times New Roman"/>
          <w:b/>
          <w:iCs/>
          <w:color w:val="000000"/>
          <w:szCs w:val="23"/>
        </w:rPr>
        <w:lastRenderedPageBreak/>
        <w:t xml:space="preserve">Table </w:t>
      </w:r>
      <w:r w:rsidRPr="00E56B73">
        <w:rPr>
          <w:rFonts w:ascii="Times New Roman" w:eastAsia="Calibri" w:hAnsi="Times New Roman" w:cs="Times New Roman"/>
          <w:b/>
          <w:iCs/>
          <w:color w:val="000000"/>
          <w:szCs w:val="23"/>
        </w:rPr>
        <w:fldChar w:fldCharType="begin"/>
      </w:r>
      <w:r w:rsidRPr="00E56B73">
        <w:rPr>
          <w:rFonts w:ascii="Times New Roman" w:eastAsia="Calibri" w:hAnsi="Times New Roman" w:cs="Times New Roman"/>
          <w:b/>
          <w:iCs/>
          <w:color w:val="000000"/>
          <w:szCs w:val="23"/>
        </w:rPr>
        <w:instrText xml:space="preserve"> SEQ Table \* ARABIC </w:instrText>
      </w:r>
      <w:r w:rsidRPr="00E56B73">
        <w:rPr>
          <w:rFonts w:ascii="Times New Roman" w:eastAsia="Calibri" w:hAnsi="Times New Roman" w:cs="Times New Roman"/>
          <w:b/>
          <w:iCs/>
          <w:color w:val="000000"/>
          <w:szCs w:val="23"/>
        </w:rPr>
        <w:fldChar w:fldCharType="separate"/>
      </w:r>
      <w:r w:rsidRPr="00E56B73">
        <w:rPr>
          <w:rFonts w:ascii="Times New Roman" w:eastAsia="Calibri" w:hAnsi="Times New Roman" w:cs="Times New Roman"/>
          <w:b/>
          <w:iCs/>
          <w:noProof/>
          <w:color w:val="000000"/>
          <w:szCs w:val="23"/>
        </w:rPr>
        <w:t>3</w:t>
      </w:r>
      <w:r w:rsidRPr="00E56B73">
        <w:rPr>
          <w:rFonts w:ascii="Times New Roman" w:eastAsia="Calibri" w:hAnsi="Times New Roman" w:cs="Times New Roman"/>
          <w:b/>
          <w:iCs/>
          <w:color w:val="000000"/>
          <w:szCs w:val="23"/>
        </w:rPr>
        <w:fldChar w:fldCharType="end"/>
      </w:r>
      <w:r w:rsidRPr="00E56B73">
        <w:rPr>
          <w:rFonts w:ascii="Times New Roman" w:eastAsia="Calibri" w:hAnsi="Times New Roman" w:cs="Times New Roman"/>
          <w:b/>
          <w:iCs/>
          <w:color w:val="000000"/>
          <w:szCs w:val="23"/>
        </w:rPr>
        <w:t xml:space="preserve">. </w:t>
      </w:r>
      <w:r w:rsidRPr="00E56B73">
        <w:rPr>
          <w:rFonts w:ascii="Times New Roman" w:eastAsia="Calibri" w:hAnsi="Times New Roman" w:cs="Times New Roman"/>
          <w:iCs/>
          <w:color w:val="000000"/>
          <w:szCs w:val="23"/>
        </w:rPr>
        <w:t xml:space="preserve">Theil-Sen median slope for the </w:t>
      </w:r>
      <w:r w:rsidR="00AE300C">
        <w:rPr>
          <w:rFonts w:ascii="Times New Roman" w:eastAsia="Calibri" w:hAnsi="Times New Roman" w:cs="Times New Roman"/>
          <w:iCs/>
          <w:color w:val="000000"/>
          <w:szCs w:val="23"/>
        </w:rPr>
        <w:t>median income ratio</w:t>
      </w:r>
      <w:r w:rsidRPr="00E56B73">
        <w:rPr>
          <w:rFonts w:ascii="Times New Roman" w:eastAsia="Calibri" w:hAnsi="Times New Roman" w:cs="Times New Roman"/>
          <w:iCs/>
          <w:color w:val="000000"/>
          <w:szCs w:val="23"/>
        </w:rPr>
        <w:t>, by gender of household head, 1989-2013</w:t>
      </w:r>
    </w:p>
    <w:p w14:paraId="70600E81" w14:textId="77777777" w:rsidR="00E56B73" w:rsidRPr="00E56B73" w:rsidRDefault="00E56B73" w:rsidP="00E56B73">
      <w:pPr>
        <w:spacing w:after="200" w:line="240" w:lineRule="auto"/>
        <w:ind w:firstLine="0"/>
        <w:jc w:val="center"/>
        <w:rPr>
          <w:rFonts w:ascii="Times New Roman" w:eastAsia="Calibri" w:hAnsi="Times New Roman" w:cs="Times New Roman"/>
          <w:iCs/>
          <w:color w:val="000000"/>
          <w:szCs w:val="23"/>
        </w:rPr>
      </w:pPr>
      <w:r w:rsidRPr="00E56B73">
        <w:rPr>
          <w:rFonts w:ascii="Times New Roman" w:eastAsia="Calibri" w:hAnsi="Times New Roman" w:cs="Times New Roman"/>
          <w:iCs/>
          <w:color w:val="000000"/>
          <w:szCs w:val="23"/>
        </w:rPr>
        <w:t>(source: own calculations based on the U.S. Survey of Consumer Finances)</w:t>
      </w:r>
    </w:p>
    <w:p w14:paraId="52F14131" w14:textId="77777777" w:rsidR="00E56B73" w:rsidRPr="00E56B73" w:rsidRDefault="00E56B73" w:rsidP="00E56B73">
      <w:pPr>
        <w:spacing w:after="0" w:line="240" w:lineRule="auto"/>
        <w:ind w:firstLine="0"/>
        <w:jc w:val="center"/>
        <w:rPr>
          <w:rFonts w:ascii="Times New Roman" w:eastAsia="Calibri" w:hAnsi="Times New Roman" w:cs="Times New Roman"/>
          <w:sz w:val="20"/>
          <w:szCs w:val="20"/>
        </w:rPr>
      </w:pPr>
      <w:r w:rsidRPr="00E56B73">
        <w:rPr>
          <w:rFonts w:ascii="Times New Roman" w:eastAsia="Calibri" w:hAnsi="Times New Roman" w:cs="Times New Roman"/>
          <w:b/>
          <w:sz w:val="20"/>
          <w:szCs w:val="20"/>
        </w:rPr>
        <w:t>Notes</w:t>
      </w:r>
      <w:r w:rsidRPr="00E56B73">
        <w:rPr>
          <w:rFonts w:ascii="Times New Roman" w:eastAsia="Calibri" w:hAnsi="Times New Roman" w:cs="Times New Roman"/>
          <w:sz w:val="20"/>
          <w:szCs w:val="20"/>
        </w:rPr>
        <w:t>: Single households only. Italics indicate that the Theil-Sen median slope is not statistically different from zero. Underlined estimates indicate overlapping confidence intervals.</w:t>
      </w:r>
    </w:p>
    <w:p w14:paraId="5C8EAE59" w14:textId="591AB5C5" w:rsidR="00CA0E44" w:rsidRDefault="00CA0E44" w:rsidP="00CA0E44">
      <w:pPr>
        <w:rPr>
          <w:rFonts w:ascii="Times New Roman" w:hAnsi="Times New Roman" w:cs="Times New Roman"/>
        </w:rPr>
      </w:pPr>
    </w:p>
    <w:tbl>
      <w:tblPr>
        <w:tblpPr w:leftFromText="180" w:rightFromText="180" w:vertAnchor="page" w:horzAnchor="margin" w:tblpXSpec="center" w:tblpY="2221"/>
        <w:tblW w:w="15993" w:type="dxa"/>
        <w:tblLayout w:type="fixed"/>
        <w:tblLook w:val="04A0" w:firstRow="1" w:lastRow="0" w:firstColumn="1" w:lastColumn="0" w:noHBand="0" w:noVBand="1"/>
      </w:tblPr>
      <w:tblGrid>
        <w:gridCol w:w="1701"/>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E56B73" w:rsidRPr="00E56B73" w14:paraId="4E59D0C1" w14:textId="77777777" w:rsidTr="00E56B73">
        <w:trPr>
          <w:trHeight w:val="227"/>
        </w:trPr>
        <w:tc>
          <w:tcPr>
            <w:tcW w:w="1701" w:type="dxa"/>
            <w:vMerge w:val="restart"/>
            <w:tcBorders>
              <w:top w:val="single" w:sz="4" w:space="0" w:color="auto"/>
              <w:left w:val="single" w:sz="4" w:space="0" w:color="auto"/>
              <w:right w:val="single" w:sz="4" w:space="0" w:color="auto"/>
            </w:tcBorders>
            <w:shd w:val="clear" w:color="auto" w:fill="auto"/>
            <w:noWrap/>
            <w:vAlign w:val="bottom"/>
            <w:hideMark/>
          </w:tcPr>
          <w:p w14:paraId="50559877" w14:textId="1F65BD6B" w:rsidR="00E56B73" w:rsidRPr="00E56B73" w:rsidRDefault="00AE300C" w:rsidP="00E56B73">
            <w:pPr>
              <w:spacing w:after="0" w:line="240" w:lineRule="auto"/>
              <w:ind w:firstLine="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Median income ratio</w:t>
            </w:r>
          </w:p>
          <w:p w14:paraId="7EC6FEBE" w14:textId="77777777" w:rsidR="00E56B73" w:rsidRPr="00E56B73" w:rsidRDefault="00E56B73" w:rsidP="00E56B73">
            <w:pPr>
              <w:spacing w:after="0" w:line="240" w:lineRule="auto"/>
              <w:ind w:firstLine="0"/>
              <w:jc w:val="left"/>
              <w:rPr>
                <w:rFonts w:ascii="Times New Roman" w:eastAsia="Times New Roman" w:hAnsi="Times New Roman" w:cs="Times New Roman"/>
                <w:b/>
                <w:bCs/>
                <w:color w:val="000000"/>
                <w:sz w:val="20"/>
                <w:szCs w:val="20"/>
              </w:rPr>
            </w:pPr>
            <w:r w:rsidRPr="00E56B73">
              <w:rPr>
                <w:rFonts w:ascii="Times New Roman" w:eastAsia="Times New Roman" w:hAnsi="Times New Roman" w:cs="Times New Roman"/>
                <w:color w:val="000000"/>
                <w:sz w:val="20"/>
                <w:szCs w:val="20"/>
              </w:rPr>
              <w:t> </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27C658"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1989</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0F99C"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1992</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A48EC5"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1995</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05DEC7"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1998</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404F82"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2001</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37188E"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2004</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B5A965"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2007</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306F2C"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2010</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5988A" w14:textId="77777777" w:rsidR="00E56B73" w:rsidRPr="00E56B73" w:rsidRDefault="00E56B73" w:rsidP="00E56B73">
            <w:pPr>
              <w:spacing w:after="0" w:line="240" w:lineRule="auto"/>
              <w:ind w:firstLine="0"/>
              <w:jc w:val="center"/>
              <w:rPr>
                <w:rFonts w:ascii="Times New Roman" w:eastAsia="Times New Roman" w:hAnsi="Times New Roman" w:cs="Times New Roman"/>
                <w:b/>
                <w:color w:val="000000"/>
                <w:sz w:val="20"/>
                <w:szCs w:val="20"/>
              </w:rPr>
            </w:pPr>
            <w:r w:rsidRPr="00E56B73">
              <w:rPr>
                <w:rFonts w:ascii="Times New Roman" w:eastAsia="Times New Roman" w:hAnsi="Times New Roman" w:cs="Times New Roman"/>
                <w:b/>
                <w:color w:val="000000"/>
                <w:sz w:val="20"/>
                <w:szCs w:val="20"/>
              </w:rPr>
              <w:t>2013</w:t>
            </w:r>
          </w:p>
        </w:tc>
      </w:tr>
      <w:tr w:rsidR="00E56B73" w:rsidRPr="00E56B73" w14:paraId="029254A3" w14:textId="77777777" w:rsidTr="00E56B73">
        <w:trPr>
          <w:trHeight w:val="227"/>
        </w:trPr>
        <w:tc>
          <w:tcPr>
            <w:tcW w:w="1701" w:type="dxa"/>
            <w:vMerge/>
            <w:tcBorders>
              <w:left w:val="single" w:sz="4" w:space="0" w:color="auto"/>
              <w:bottom w:val="single" w:sz="4" w:space="0" w:color="auto"/>
              <w:right w:val="single" w:sz="4" w:space="0" w:color="auto"/>
            </w:tcBorders>
            <w:shd w:val="clear" w:color="auto" w:fill="auto"/>
            <w:noWrap/>
            <w:vAlign w:val="bottom"/>
            <w:hideMark/>
          </w:tcPr>
          <w:p w14:paraId="66AA6828" w14:textId="77777777" w:rsidR="00E56B73" w:rsidRPr="00E56B73" w:rsidRDefault="00E56B73" w:rsidP="00E56B73">
            <w:pPr>
              <w:spacing w:after="0" w:line="240" w:lineRule="auto"/>
              <w:ind w:firstLine="0"/>
              <w:jc w:val="left"/>
              <w:rPr>
                <w:rFonts w:ascii="Times New Roman" w:eastAsia="Times New Roman" w:hAnsi="Times New Roman" w:cs="Times New Roman"/>
                <w:color w:val="000000"/>
                <w:sz w:val="20"/>
                <w:szCs w:val="20"/>
              </w:rPr>
            </w:pPr>
          </w:p>
        </w:tc>
        <w:tc>
          <w:tcPr>
            <w:tcW w:w="794" w:type="dxa"/>
            <w:tcBorders>
              <w:top w:val="single" w:sz="4" w:space="0" w:color="auto"/>
              <w:left w:val="nil"/>
              <w:bottom w:val="single" w:sz="4" w:space="0" w:color="auto"/>
              <w:right w:val="nil"/>
            </w:tcBorders>
            <w:shd w:val="clear" w:color="auto" w:fill="auto"/>
            <w:noWrap/>
            <w:vAlign w:val="center"/>
            <w:hideMark/>
          </w:tcPr>
          <w:p w14:paraId="326AC3E3"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44E9B0E2"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c>
          <w:tcPr>
            <w:tcW w:w="794" w:type="dxa"/>
            <w:tcBorders>
              <w:top w:val="single" w:sz="4" w:space="0" w:color="auto"/>
              <w:left w:val="nil"/>
              <w:bottom w:val="single" w:sz="4" w:space="0" w:color="auto"/>
              <w:right w:val="nil"/>
            </w:tcBorders>
            <w:shd w:val="clear" w:color="auto" w:fill="auto"/>
            <w:noWrap/>
            <w:vAlign w:val="center"/>
            <w:hideMark/>
          </w:tcPr>
          <w:p w14:paraId="5433AAA3"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5D261591"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c>
          <w:tcPr>
            <w:tcW w:w="794" w:type="dxa"/>
            <w:tcBorders>
              <w:top w:val="single" w:sz="4" w:space="0" w:color="auto"/>
              <w:left w:val="nil"/>
              <w:bottom w:val="single" w:sz="4" w:space="0" w:color="auto"/>
              <w:right w:val="nil"/>
            </w:tcBorders>
            <w:shd w:val="clear" w:color="auto" w:fill="auto"/>
            <w:noWrap/>
            <w:vAlign w:val="center"/>
            <w:hideMark/>
          </w:tcPr>
          <w:p w14:paraId="19163A2A"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04C2129C"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c>
          <w:tcPr>
            <w:tcW w:w="794" w:type="dxa"/>
            <w:tcBorders>
              <w:top w:val="single" w:sz="4" w:space="0" w:color="auto"/>
              <w:left w:val="nil"/>
              <w:bottom w:val="single" w:sz="4" w:space="0" w:color="auto"/>
              <w:right w:val="nil"/>
            </w:tcBorders>
            <w:shd w:val="clear" w:color="auto" w:fill="auto"/>
            <w:noWrap/>
            <w:vAlign w:val="center"/>
            <w:hideMark/>
          </w:tcPr>
          <w:p w14:paraId="2450AABD"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45B2D3C0"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c>
          <w:tcPr>
            <w:tcW w:w="794" w:type="dxa"/>
            <w:tcBorders>
              <w:top w:val="single" w:sz="4" w:space="0" w:color="auto"/>
              <w:left w:val="nil"/>
              <w:bottom w:val="single" w:sz="4" w:space="0" w:color="auto"/>
              <w:right w:val="nil"/>
            </w:tcBorders>
            <w:shd w:val="clear" w:color="auto" w:fill="auto"/>
            <w:noWrap/>
            <w:vAlign w:val="center"/>
            <w:hideMark/>
          </w:tcPr>
          <w:p w14:paraId="78724457"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52B4A468"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c>
          <w:tcPr>
            <w:tcW w:w="794" w:type="dxa"/>
            <w:tcBorders>
              <w:top w:val="single" w:sz="4" w:space="0" w:color="auto"/>
              <w:left w:val="nil"/>
              <w:bottom w:val="single" w:sz="4" w:space="0" w:color="auto"/>
              <w:right w:val="nil"/>
            </w:tcBorders>
            <w:shd w:val="clear" w:color="auto" w:fill="auto"/>
            <w:noWrap/>
            <w:vAlign w:val="center"/>
            <w:hideMark/>
          </w:tcPr>
          <w:p w14:paraId="77140BB6"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57122E77"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c>
          <w:tcPr>
            <w:tcW w:w="794" w:type="dxa"/>
            <w:tcBorders>
              <w:top w:val="single" w:sz="4" w:space="0" w:color="auto"/>
              <w:left w:val="nil"/>
              <w:bottom w:val="single" w:sz="4" w:space="0" w:color="auto"/>
              <w:right w:val="nil"/>
            </w:tcBorders>
            <w:shd w:val="clear" w:color="auto" w:fill="auto"/>
            <w:noWrap/>
            <w:vAlign w:val="center"/>
            <w:hideMark/>
          </w:tcPr>
          <w:p w14:paraId="6F8D740D"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20AA1B59"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c>
          <w:tcPr>
            <w:tcW w:w="794" w:type="dxa"/>
            <w:tcBorders>
              <w:top w:val="single" w:sz="4" w:space="0" w:color="auto"/>
              <w:left w:val="nil"/>
              <w:bottom w:val="single" w:sz="4" w:space="0" w:color="auto"/>
              <w:right w:val="nil"/>
            </w:tcBorders>
            <w:shd w:val="clear" w:color="auto" w:fill="auto"/>
            <w:noWrap/>
            <w:vAlign w:val="center"/>
            <w:hideMark/>
          </w:tcPr>
          <w:p w14:paraId="38E7EC4A"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3460AD3F"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c>
          <w:tcPr>
            <w:tcW w:w="794" w:type="dxa"/>
            <w:tcBorders>
              <w:top w:val="single" w:sz="4" w:space="0" w:color="auto"/>
              <w:left w:val="nil"/>
              <w:bottom w:val="single" w:sz="4" w:space="0" w:color="auto"/>
              <w:right w:val="nil"/>
            </w:tcBorders>
            <w:shd w:val="clear" w:color="auto" w:fill="auto"/>
            <w:noWrap/>
            <w:vAlign w:val="center"/>
            <w:hideMark/>
          </w:tcPr>
          <w:p w14:paraId="7BE325F8"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Female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5434A45D" w14:textId="77777777" w:rsidR="00E56B73" w:rsidRPr="00E56B73" w:rsidRDefault="00E56B73" w:rsidP="00E56B73">
            <w:pPr>
              <w:spacing w:after="0" w:line="240" w:lineRule="auto"/>
              <w:ind w:firstLine="0"/>
              <w:jc w:val="center"/>
              <w:rPr>
                <w:rFonts w:ascii="Times New Roman" w:eastAsia="Times New Roman" w:hAnsi="Times New Roman" w:cs="Times New Roman"/>
                <w:color w:val="000000"/>
                <w:sz w:val="19"/>
                <w:szCs w:val="19"/>
              </w:rPr>
            </w:pPr>
            <w:r w:rsidRPr="00E56B73">
              <w:rPr>
                <w:rFonts w:ascii="Times New Roman" w:eastAsia="Times New Roman" w:hAnsi="Times New Roman" w:cs="Times New Roman"/>
                <w:color w:val="000000"/>
                <w:sz w:val="19"/>
                <w:szCs w:val="19"/>
              </w:rPr>
              <w:t>Male</w:t>
            </w:r>
          </w:p>
        </w:tc>
      </w:tr>
      <w:tr w:rsidR="00E56B73" w:rsidRPr="00E56B73" w14:paraId="333D8C9F" w14:textId="77777777" w:rsidTr="00E56B73">
        <w:trPr>
          <w:trHeight w:val="227"/>
        </w:trPr>
        <w:tc>
          <w:tcPr>
            <w:tcW w:w="15993" w:type="dxa"/>
            <w:gridSpan w:val="19"/>
            <w:tcBorders>
              <w:top w:val="nil"/>
              <w:left w:val="single" w:sz="4" w:space="0" w:color="auto"/>
              <w:bottom w:val="single" w:sz="4" w:space="0" w:color="auto"/>
              <w:right w:val="single" w:sz="4" w:space="0" w:color="auto"/>
            </w:tcBorders>
            <w:shd w:val="clear" w:color="auto" w:fill="auto"/>
            <w:noWrap/>
            <w:vAlign w:val="center"/>
            <w:hideMark/>
          </w:tcPr>
          <w:p w14:paraId="42C5A451" w14:textId="77777777" w:rsidR="00E56B73" w:rsidRPr="00E56B73" w:rsidRDefault="00E56B73" w:rsidP="00E56B73">
            <w:pPr>
              <w:spacing w:before="80" w:after="2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b/>
                <w:bCs/>
                <w:color w:val="000000"/>
                <w:sz w:val="20"/>
                <w:szCs w:val="20"/>
              </w:rPr>
              <w:t>Share of total assets</w:t>
            </w:r>
          </w:p>
        </w:tc>
      </w:tr>
      <w:tr w:rsidR="002F1955" w:rsidRPr="00E56B73" w14:paraId="1A0CD64B"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5B488E65"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Primary residence</w:t>
            </w:r>
          </w:p>
        </w:tc>
        <w:tc>
          <w:tcPr>
            <w:tcW w:w="794" w:type="dxa"/>
            <w:tcBorders>
              <w:top w:val="single" w:sz="4" w:space="0" w:color="auto"/>
              <w:left w:val="nil"/>
              <w:bottom w:val="nil"/>
              <w:right w:val="nil"/>
            </w:tcBorders>
            <w:shd w:val="clear" w:color="auto" w:fill="auto"/>
            <w:noWrap/>
            <w:vAlign w:val="center"/>
            <w:hideMark/>
          </w:tcPr>
          <w:p w14:paraId="098BA258" w14:textId="5C423C06"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0.09</w:t>
            </w:r>
          </w:p>
        </w:tc>
        <w:tc>
          <w:tcPr>
            <w:tcW w:w="794" w:type="dxa"/>
            <w:tcBorders>
              <w:top w:val="single" w:sz="4" w:space="0" w:color="auto"/>
              <w:left w:val="nil"/>
              <w:bottom w:val="nil"/>
              <w:right w:val="single" w:sz="4" w:space="0" w:color="auto"/>
            </w:tcBorders>
            <w:shd w:val="clear" w:color="000000" w:fill="F2F2F2"/>
            <w:noWrap/>
            <w:vAlign w:val="center"/>
            <w:hideMark/>
          </w:tcPr>
          <w:p w14:paraId="4CDFC1CA" w14:textId="63DD58F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0.46</w:t>
            </w:r>
          </w:p>
        </w:tc>
        <w:tc>
          <w:tcPr>
            <w:tcW w:w="794" w:type="dxa"/>
            <w:tcBorders>
              <w:top w:val="single" w:sz="4" w:space="0" w:color="auto"/>
              <w:left w:val="nil"/>
              <w:bottom w:val="nil"/>
              <w:right w:val="nil"/>
            </w:tcBorders>
            <w:shd w:val="clear" w:color="auto" w:fill="auto"/>
            <w:noWrap/>
            <w:vAlign w:val="center"/>
            <w:hideMark/>
          </w:tcPr>
          <w:p w14:paraId="3F1A4896" w14:textId="020652A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-0.02</w:t>
            </w:r>
          </w:p>
        </w:tc>
        <w:tc>
          <w:tcPr>
            <w:tcW w:w="794" w:type="dxa"/>
            <w:tcBorders>
              <w:top w:val="single" w:sz="4" w:space="0" w:color="auto"/>
              <w:left w:val="nil"/>
              <w:bottom w:val="nil"/>
              <w:right w:val="single" w:sz="4" w:space="0" w:color="auto"/>
            </w:tcBorders>
            <w:shd w:val="clear" w:color="000000" w:fill="F2F2F2"/>
            <w:noWrap/>
            <w:vAlign w:val="center"/>
            <w:hideMark/>
          </w:tcPr>
          <w:p w14:paraId="6E5F730A" w14:textId="6D11D56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0.16</w:t>
            </w:r>
          </w:p>
        </w:tc>
        <w:tc>
          <w:tcPr>
            <w:tcW w:w="794" w:type="dxa"/>
            <w:tcBorders>
              <w:top w:val="single" w:sz="4" w:space="0" w:color="auto"/>
              <w:left w:val="nil"/>
              <w:bottom w:val="nil"/>
              <w:right w:val="nil"/>
            </w:tcBorders>
            <w:shd w:val="clear" w:color="auto" w:fill="auto"/>
            <w:noWrap/>
            <w:vAlign w:val="center"/>
            <w:hideMark/>
          </w:tcPr>
          <w:p w14:paraId="5ECD2A96" w14:textId="384A3AD0" w:rsidR="002F1955" w:rsidRPr="002F1955" w:rsidRDefault="002F1955" w:rsidP="002F1955">
            <w:pPr>
              <w:spacing w:after="0" w:line="240" w:lineRule="auto"/>
              <w:ind w:firstLine="0"/>
              <w:jc w:val="center"/>
              <w:rPr>
                <w:rFonts w:eastAsia="Calibri" w:cs="Times New Roman"/>
                <w:i/>
                <w:iCs/>
                <w:color w:val="000000"/>
                <w:sz w:val="20"/>
                <w:szCs w:val="20"/>
                <w:u w:val="single"/>
              </w:rPr>
            </w:pPr>
            <w:r w:rsidRPr="002F1955">
              <w:rPr>
                <w:color w:val="000000"/>
                <w:sz w:val="20"/>
                <w:szCs w:val="20"/>
              </w:rPr>
              <w:t>0.08</w:t>
            </w:r>
          </w:p>
        </w:tc>
        <w:tc>
          <w:tcPr>
            <w:tcW w:w="794" w:type="dxa"/>
            <w:tcBorders>
              <w:top w:val="single" w:sz="4" w:space="0" w:color="auto"/>
              <w:left w:val="nil"/>
              <w:bottom w:val="nil"/>
              <w:right w:val="single" w:sz="4" w:space="0" w:color="auto"/>
            </w:tcBorders>
            <w:shd w:val="clear" w:color="000000" w:fill="F2F2F2"/>
            <w:noWrap/>
            <w:vAlign w:val="center"/>
            <w:hideMark/>
          </w:tcPr>
          <w:p w14:paraId="7FE7A251" w14:textId="471FC588" w:rsidR="002F1955" w:rsidRPr="002F1955" w:rsidRDefault="002F1955" w:rsidP="002F1955">
            <w:pPr>
              <w:spacing w:after="0" w:line="240" w:lineRule="auto"/>
              <w:ind w:firstLine="0"/>
              <w:jc w:val="center"/>
              <w:rPr>
                <w:rFonts w:eastAsia="Calibri" w:cs="Times New Roman"/>
                <w:i/>
                <w:iCs/>
                <w:color w:val="000000"/>
                <w:sz w:val="20"/>
                <w:szCs w:val="20"/>
                <w:u w:val="single"/>
              </w:rPr>
            </w:pPr>
            <w:r w:rsidRPr="002F1955">
              <w:rPr>
                <w:color w:val="000000"/>
                <w:sz w:val="20"/>
                <w:szCs w:val="20"/>
              </w:rPr>
              <w:t>0.17</w:t>
            </w:r>
          </w:p>
        </w:tc>
        <w:tc>
          <w:tcPr>
            <w:tcW w:w="794" w:type="dxa"/>
            <w:tcBorders>
              <w:top w:val="single" w:sz="4" w:space="0" w:color="auto"/>
              <w:left w:val="nil"/>
              <w:bottom w:val="nil"/>
              <w:right w:val="nil"/>
            </w:tcBorders>
            <w:shd w:val="clear" w:color="auto" w:fill="auto"/>
            <w:noWrap/>
            <w:vAlign w:val="center"/>
            <w:hideMark/>
          </w:tcPr>
          <w:p w14:paraId="744AF7DB" w14:textId="2B5349D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0.05</w:t>
            </w:r>
          </w:p>
        </w:tc>
        <w:tc>
          <w:tcPr>
            <w:tcW w:w="794" w:type="dxa"/>
            <w:tcBorders>
              <w:top w:val="single" w:sz="4" w:space="0" w:color="auto"/>
              <w:left w:val="nil"/>
              <w:bottom w:val="nil"/>
              <w:right w:val="single" w:sz="4" w:space="0" w:color="auto"/>
            </w:tcBorders>
            <w:shd w:val="clear" w:color="000000" w:fill="F2F2F2"/>
            <w:noWrap/>
            <w:vAlign w:val="center"/>
            <w:hideMark/>
          </w:tcPr>
          <w:p w14:paraId="7B138544" w14:textId="774D2F3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0.26</w:t>
            </w:r>
          </w:p>
        </w:tc>
        <w:tc>
          <w:tcPr>
            <w:tcW w:w="794" w:type="dxa"/>
            <w:tcBorders>
              <w:top w:val="single" w:sz="4" w:space="0" w:color="auto"/>
              <w:left w:val="nil"/>
              <w:bottom w:val="nil"/>
              <w:right w:val="nil"/>
            </w:tcBorders>
            <w:shd w:val="clear" w:color="auto" w:fill="auto"/>
            <w:noWrap/>
            <w:vAlign w:val="center"/>
            <w:hideMark/>
          </w:tcPr>
          <w:p w14:paraId="36EC7385" w14:textId="26DD9278"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28188BDC" w14:textId="0F519B4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0.09</w:t>
            </w:r>
          </w:p>
        </w:tc>
        <w:tc>
          <w:tcPr>
            <w:tcW w:w="794" w:type="dxa"/>
            <w:tcBorders>
              <w:top w:val="single" w:sz="4" w:space="0" w:color="auto"/>
              <w:left w:val="nil"/>
              <w:bottom w:val="nil"/>
              <w:right w:val="nil"/>
            </w:tcBorders>
            <w:shd w:val="clear" w:color="auto" w:fill="auto"/>
            <w:noWrap/>
            <w:vAlign w:val="center"/>
            <w:hideMark/>
          </w:tcPr>
          <w:p w14:paraId="50BA48E5" w14:textId="46CEFA14"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u w:val="single"/>
              </w:rPr>
              <w:t>0.12</w:t>
            </w:r>
          </w:p>
        </w:tc>
        <w:tc>
          <w:tcPr>
            <w:tcW w:w="794" w:type="dxa"/>
            <w:tcBorders>
              <w:top w:val="single" w:sz="4" w:space="0" w:color="auto"/>
              <w:left w:val="nil"/>
              <w:bottom w:val="nil"/>
              <w:right w:val="single" w:sz="4" w:space="0" w:color="auto"/>
            </w:tcBorders>
            <w:shd w:val="clear" w:color="000000" w:fill="F2F2F2"/>
            <w:noWrap/>
            <w:vAlign w:val="center"/>
            <w:hideMark/>
          </w:tcPr>
          <w:p w14:paraId="158B4818" w14:textId="352BB2D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0.11</w:t>
            </w:r>
          </w:p>
        </w:tc>
        <w:tc>
          <w:tcPr>
            <w:tcW w:w="794" w:type="dxa"/>
            <w:tcBorders>
              <w:top w:val="single" w:sz="4" w:space="0" w:color="auto"/>
              <w:left w:val="nil"/>
              <w:bottom w:val="nil"/>
              <w:right w:val="nil"/>
            </w:tcBorders>
            <w:shd w:val="clear" w:color="auto" w:fill="auto"/>
            <w:noWrap/>
            <w:vAlign w:val="center"/>
            <w:hideMark/>
          </w:tcPr>
          <w:p w14:paraId="1B597E76" w14:textId="0F58780D"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0.12</w:t>
            </w:r>
          </w:p>
        </w:tc>
        <w:tc>
          <w:tcPr>
            <w:tcW w:w="794" w:type="dxa"/>
            <w:tcBorders>
              <w:top w:val="single" w:sz="4" w:space="0" w:color="auto"/>
              <w:left w:val="nil"/>
              <w:bottom w:val="nil"/>
              <w:right w:val="single" w:sz="4" w:space="0" w:color="auto"/>
            </w:tcBorders>
            <w:shd w:val="clear" w:color="000000" w:fill="F2F2F2"/>
            <w:noWrap/>
            <w:vAlign w:val="center"/>
            <w:hideMark/>
          </w:tcPr>
          <w:p w14:paraId="5355421E" w14:textId="040CFA3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0.22</w:t>
            </w:r>
          </w:p>
        </w:tc>
        <w:tc>
          <w:tcPr>
            <w:tcW w:w="794" w:type="dxa"/>
            <w:tcBorders>
              <w:top w:val="single" w:sz="4" w:space="0" w:color="auto"/>
              <w:left w:val="nil"/>
              <w:bottom w:val="nil"/>
              <w:right w:val="nil"/>
            </w:tcBorders>
            <w:shd w:val="clear" w:color="auto" w:fill="auto"/>
            <w:noWrap/>
            <w:vAlign w:val="center"/>
            <w:hideMark/>
          </w:tcPr>
          <w:p w14:paraId="08D65D28" w14:textId="323FAFE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0.16</w:t>
            </w:r>
          </w:p>
        </w:tc>
        <w:tc>
          <w:tcPr>
            <w:tcW w:w="794" w:type="dxa"/>
            <w:tcBorders>
              <w:top w:val="single" w:sz="4" w:space="0" w:color="auto"/>
              <w:left w:val="nil"/>
              <w:bottom w:val="nil"/>
              <w:right w:val="single" w:sz="4" w:space="0" w:color="auto"/>
            </w:tcBorders>
            <w:shd w:val="clear" w:color="000000" w:fill="F2F2F2"/>
            <w:noWrap/>
            <w:vAlign w:val="center"/>
            <w:hideMark/>
          </w:tcPr>
          <w:p w14:paraId="22C07C5C" w14:textId="2FD5C61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0.24</w:t>
            </w:r>
          </w:p>
        </w:tc>
        <w:tc>
          <w:tcPr>
            <w:tcW w:w="794" w:type="dxa"/>
            <w:tcBorders>
              <w:top w:val="single" w:sz="4" w:space="0" w:color="auto"/>
              <w:left w:val="nil"/>
              <w:bottom w:val="nil"/>
              <w:right w:val="nil"/>
            </w:tcBorders>
            <w:shd w:val="clear" w:color="auto" w:fill="auto"/>
            <w:noWrap/>
            <w:vAlign w:val="center"/>
            <w:hideMark/>
          </w:tcPr>
          <w:p w14:paraId="4D6F8B12" w14:textId="1C259985"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0.14</w:t>
            </w:r>
          </w:p>
        </w:tc>
        <w:tc>
          <w:tcPr>
            <w:tcW w:w="794" w:type="dxa"/>
            <w:tcBorders>
              <w:top w:val="single" w:sz="4" w:space="0" w:color="auto"/>
              <w:left w:val="nil"/>
              <w:bottom w:val="nil"/>
              <w:right w:val="single" w:sz="4" w:space="0" w:color="auto"/>
            </w:tcBorders>
            <w:shd w:val="clear" w:color="000000" w:fill="F2F2F2"/>
            <w:noWrap/>
            <w:vAlign w:val="center"/>
            <w:hideMark/>
          </w:tcPr>
          <w:p w14:paraId="4B370D7A" w14:textId="537C57DA"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0.20</w:t>
            </w:r>
          </w:p>
        </w:tc>
      </w:tr>
      <w:tr w:rsidR="002F1955" w:rsidRPr="00E56B73" w14:paraId="160F55CD"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7985ADF8"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Other property</w:t>
            </w:r>
          </w:p>
        </w:tc>
        <w:tc>
          <w:tcPr>
            <w:tcW w:w="794" w:type="dxa"/>
            <w:tcBorders>
              <w:top w:val="nil"/>
              <w:left w:val="nil"/>
              <w:bottom w:val="nil"/>
              <w:right w:val="nil"/>
            </w:tcBorders>
            <w:shd w:val="clear" w:color="auto" w:fill="auto"/>
            <w:noWrap/>
            <w:vAlign w:val="center"/>
            <w:hideMark/>
          </w:tcPr>
          <w:p w14:paraId="1870022D" w14:textId="00C30D5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0.53</w:t>
            </w:r>
          </w:p>
        </w:tc>
        <w:tc>
          <w:tcPr>
            <w:tcW w:w="794" w:type="dxa"/>
            <w:tcBorders>
              <w:top w:val="nil"/>
              <w:left w:val="nil"/>
              <w:bottom w:val="nil"/>
              <w:right w:val="single" w:sz="4" w:space="0" w:color="auto"/>
            </w:tcBorders>
            <w:shd w:val="clear" w:color="000000" w:fill="F2F2F2"/>
            <w:noWrap/>
            <w:vAlign w:val="center"/>
            <w:hideMark/>
          </w:tcPr>
          <w:p w14:paraId="1C102E39" w14:textId="0332A23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1.84</w:t>
            </w:r>
          </w:p>
        </w:tc>
        <w:tc>
          <w:tcPr>
            <w:tcW w:w="794" w:type="dxa"/>
            <w:tcBorders>
              <w:top w:val="nil"/>
              <w:left w:val="nil"/>
              <w:bottom w:val="nil"/>
              <w:right w:val="nil"/>
            </w:tcBorders>
            <w:shd w:val="clear" w:color="auto" w:fill="auto"/>
            <w:noWrap/>
            <w:vAlign w:val="center"/>
            <w:hideMark/>
          </w:tcPr>
          <w:p w14:paraId="33CA0B30" w14:textId="4F56DF2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0.89</w:t>
            </w:r>
          </w:p>
        </w:tc>
        <w:tc>
          <w:tcPr>
            <w:tcW w:w="794" w:type="dxa"/>
            <w:tcBorders>
              <w:top w:val="nil"/>
              <w:left w:val="nil"/>
              <w:bottom w:val="nil"/>
              <w:right w:val="single" w:sz="4" w:space="0" w:color="auto"/>
            </w:tcBorders>
            <w:shd w:val="clear" w:color="000000" w:fill="F2F2F2"/>
            <w:noWrap/>
            <w:vAlign w:val="center"/>
            <w:hideMark/>
          </w:tcPr>
          <w:p w14:paraId="691BF90A" w14:textId="60E8ABD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1.52</w:t>
            </w:r>
          </w:p>
        </w:tc>
        <w:tc>
          <w:tcPr>
            <w:tcW w:w="794" w:type="dxa"/>
            <w:tcBorders>
              <w:top w:val="nil"/>
              <w:left w:val="nil"/>
              <w:bottom w:val="nil"/>
              <w:right w:val="nil"/>
            </w:tcBorders>
            <w:shd w:val="clear" w:color="auto" w:fill="auto"/>
            <w:noWrap/>
            <w:vAlign w:val="center"/>
            <w:hideMark/>
          </w:tcPr>
          <w:p w14:paraId="712DF535" w14:textId="334D64E0"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0.61</w:t>
            </w:r>
          </w:p>
        </w:tc>
        <w:tc>
          <w:tcPr>
            <w:tcW w:w="794" w:type="dxa"/>
            <w:tcBorders>
              <w:top w:val="nil"/>
              <w:left w:val="nil"/>
              <w:bottom w:val="nil"/>
              <w:right w:val="single" w:sz="4" w:space="0" w:color="auto"/>
            </w:tcBorders>
            <w:shd w:val="clear" w:color="000000" w:fill="F2F2F2"/>
            <w:noWrap/>
            <w:vAlign w:val="center"/>
            <w:hideMark/>
          </w:tcPr>
          <w:p w14:paraId="0B24E6C5" w14:textId="640422D1"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0.61</w:t>
            </w:r>
          </w:p>
        </w:tc>
        <w:tc>
          <w:tcPr>
            <w:tcW w:w="794" w:type="dxa"/>
            <w:tcBorders>
              <w:top w:val="nil"/>
              <w:left w:val="nil"/>
              <w:bottom w:val="nil"/>
              <w:right w:val="nil"/>
            </w:tcBorders>
            <w:shd w:val="clear" w:color="auto" w:fill="auto"/>
            <w:noWrap/>
            <w:vAlign w:val="center"/>
            <w:hideMark/>
          </w:tcPr>
          <w:p w14:paraId="21B5D86D" w14:textId="7D54C653"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1.24</w:t>
            </w:r>
          </w:p>
        </w:tc>
        <w:tc>
          <w:tcPr>
            <w:tcW w:w="794" w:type="dxa"/>
            <w:tcBorders>
              <w:top w:val="nil"/>
              <w:left w:val="nil"/>
              <w:bottom w:val="nil"/>
              <w:right w:val="single" w:sz="4" w:space="0" w:color="auto"/>
            </w:tcBorders>
            <w:shd w:val="clear" w:color="000000" w:fill="F2F2F2"/>
            <w:noWrap/>
            <w:vAlign w:val="center"/>
            <w:hideMark/>
          </w:tcPr>
          <w:p w14:paraId="583CA4AA" w14:textId="7253B3C4"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1.79</w:t>
            </w:r>
          </w:p>
        </w:tc>
        <w:tc>
          <w:tcPr>
            <w:tcW w:w="794" w:type="dxa"/>
            <w:tcBorders>
              <w:top w:val="nil"/>
              <w:left w:val="nil"/>
              <w:bottom w:val="nil"/>
              <w:right w:val="nil"/>
            </w:tcBorders>
            <w:shd w:val="clear" w:color="auto" w:fill="auto"/>
            <w:noWrap/>
            <w:vAlign w:val="center"/>
            <w:hideMark/>
          </w:tcPr>
          <w:p w14:paraId="2985EA25" w14:textId="5C463A76"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1.30</w:t>
            </w:r>
          </w:p>
        </w:tc>
        <w:tc>
          <w:tcPr>
            <w:tcW w:w="794" w:type="dxa"/>
            <w:tcBorders>
              <w:top w:val="nil"/>
              <w:left w:val="nil"/>
              <w:bottom w:val="nil"/>
              <w:right w:val="single" w:sz="4" w:space="0" w:color="auto"/>
            </w:tcBorders>
            <w:shd w:val="clear" w:color="000000" w:fill="F2F2F2"/>
            <w:noWrap/>
            <w:vAlign w:val="center"/>
            <w:hideMark/>
          </w:tcPr>
          <w:p w14:paraId="117465DC" w14:textId="0F3405A1"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1.40</w:t>
            </w:r>
          </w:p>
        </w:tc>
        <w:tc>
          <w:tcPr>
            <w:tcW w:w="794" w:type="dxa"/>
            <w:tcBorders>
              <w:top w:val="nil"/>
              <w:left w:val="nil"/>
              <w:bottom w:val="nil"/>
              <w:right w:val="nil"/>
            </w:tcBorders>
            <w:shd w:val="clear" w:color="auto" w:fill="auto"/>
            <w:noWrap/>
            <w:vAlign w:val="center"/>
            <w:hideMark/>
          </w:tcPr>
          <w:p w14:paraId="39746949" w14:textId="005C55B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1.64</w:t>
            </w:r>
          </w:p>
        </w:tc>
        <w:tc>
          <w:tcPr>
            <w:tcW w:w="794" w:type="dxa"/>
            <w:tcBorders>
              <w:top w:val="nil"/>
              <w:left w:val="nil"/>
              <w:bottom w:val="nil"/>
              <w:right w:val="single" w:sz="4" w:space="0" w:color="auto"/>
            </w:tcBorders>
            <w:shd w:val="clear" w:color="000000" w:fill="F2F2F2"/>
            <w:noWrap/>
            <w:vAlign w:val="center"/>
            <w:hideMark/>
          </w:tcPr>
          <w:p w14:paraId="41F7F07C" w14:textId="2A3CA92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0.98</w:t>
            </w:r>
          </w:p>
        </w:tc>
        <w:tc>
          <w:tcPr>
            <w:tcW w:w="794" w:type="dxa"/>
            <w:tcBorders>
              <w:top w:val="nil"/>
              <w:left w:val="nil"/>
              <w:bottom w:val="nil"/>
              <w:right w:val="nil"/>
            </w:tcBorders>
            <w:shd w:val="clear" w:color="auto" w:fill="auto"/>
            <w:noWrap/>
            <w:vAlign w:val="center"/>
            <w:hideMark/>
          </w:tcPr>
          <w:p w14:paraId="5FD18C27" w14:textId="505C049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0.79</w:t>
            </w:r>
          </w:p>
        </w:tc>
        <w:tc>
          <w:tcPr>
            <w:tcW w:w="794" w:type="dxa"/>
            <w:tcBorders>
              <w:top w:val="nil"/>
              <w:left w:val="nil"/>
              <w:bottom w:val="nil"/>
              <w:right w:val="single" w:sz="4" w:space="0" w:color="auto"/>
            </w:tcBorders>
            <w:shd w:val="clear" w:color="000000" w:fill="F2F2F2"/>
            <w:noWrap/>
            <w:vAlign w:val="center"/>
            <w:hideMark/>
          </w:tcPr>
          <w:p w14:paraId="04FA9C79" w14:textId="4E853A1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0.95</w:t>
            </w:r>
          </w:p>
        </w:tc>
        <w:tc>
          <w:tcPr>
            <w:tcW w:w="794" w:type="dxa"/>
            <w:tcBorders>
              <w:top w:val="nil"/>
              <w:left w:val="nil"/>
              <w:bottom w:val="nil"/>
              <w:right w:val="nil"/>
            </w:tcBorders>
            <w:shd w:val="clear" w:color="auto" w:fill="auto"/>
            <w:noWrap/>
            <w:vAlign w:val="center"/>
            <w:hideMark/>
          </w:tcPr>
          <w:p w14:paraId="1D517B71" w14:textId="3C73D8CD"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1.02</w:t>
            </w:r>
          </w:p>
        </w:tc>
        <w:tc>
          <w:tcPr>
            <w:tcW w:w="794" w:type="dxa"/>
            <w:tcBorders>
              <w:top w:val="nil"/>
              <w:left w:val="nil"/>
              <w:bottom w:val="nil"/>
              <w:right w:val="single" w:sz="4" w:space="0" w:color="auto"/>
            </w:tcBorders>
            <w:shd w:val="clear" w:color="000000" w:fill="F2F2F2"/>
            <w:noWrap/>
            <w:vAlign w:val="center"/>
            <w:hideMark/>
          </w:tcPr>
          <w:p w14:paraId="59F95B57" w14:textId="1858A17A"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1.09</w:t>
            </w:r>
          </w:p>
        </w:tc>
        <w:tc>
          <w:tcPr>
            <w:tcW w:w="794" w:type="dxa"/>
            <w:tcBorders>
              <w:top w:val="nil"/>
              <w:left w:val="nil"/>
              <w:bottom w:val="nil"/>
              <w:right w:val="nil"/>
            </w:tcBorders>
            <w:shd w:val="clear" w:color="auto" w:fill="auto"/>
            <w:noWrap/>
            <w:vAlign w:val="center"/>
            <w:hideMark/>
          </w:tcPr>
          <w:p w14:paraId="4E3208C6" w14:textId="3BEDE717"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1.72</w:t>
            </w:r>
          </w:p>
        </w:tc>
        <w:tc>
          <w:tcPr>
            <w:tcW w:w="794" w:type="dxa"/>
            <w:tcBorders>
              <w:top w:val="nil"/>
              <w:left w:val="nil"/>
              <w:bottom w:val="nil"/>
              <w:right w:val="single" w:sz="4" w:space="0" w:color="auto"/>
            </w:tcBorders>
            <w:shd w:val="clear" w:color="000000" w:fill="F2F2F2"/>
            <w:noWrap/>
            <w:vAlign w:val="center"/>
            <w:hideMark/>
          </w:tcPr>
          <w:p w14:paraId="70876A8B" w14:textId="64781806"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1.50</w:t>
            </w:r>
          </w:p>
        </w:tc>
      </w:tr>
      <w:tr w:rsidR="002F1955" w:rsidRPr="00E56B73" w14:paraId="26F4FC66"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655B6453"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Vehicles and other non-financial assets</w:t>
            </w:r>
          </w:p>
        </w:tc>
        <w:tc>
          <w:tcPr>
            <w:tcW w:w="794" w:type="dxa"/>
            <w:tcBorders>
              <w:top w:val="nil"/>
              <w:left w:val="nil"/>
              <w:bottom w:val="nil"/>
              <w:right w:val="nil"/>
            </w:tcBorders>
            <w:shd w:val="clear" w:color="auto" w:fill="auto"/>
            <w:noWrap/>
            <w:vAlign w:val="center"/>
            <w:hideMark/>
          </w:tcPr>
          <w:p w14:paraId="7E24AF99" w14:textId="72FE6AE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0.07</w:t>
            </w:r>
          </w:p>
        </w:tc>
        <w:tc>
          <w:tcPr>
            <w:tcW w:w="794" w:type="dxa"/>
            <w:tcBorders>
              <w:top w:val="nil"/>
              <w:left w:val="nil"/>
              <w:bottom w:val="nil"/>
              <w:right w:val="single" w:sz="4" w:space="0" w:color="auto"/>
            </w:tcBorders>
            <w:shd w:val="clear" w:color="000000" w:fill="F2F2F2"/>
            <w:noWrap/>
            <w:vAlign w:val="center"/>
            <w:hideMark/>
          </w:tcPr>
          <w:p w14:paraId="60716C8D" w14:textId="2F95DDA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-0.29</w:t>
            </w:r>
          </w:p>
        </w:tc>
        <w:tc>
          <w:tcPr>
            <w:tcW w:w="794" w:type="dxa"/>
            <w:tcBorders>
              <w:top w:val="nil"/>
              <w:left w:val="nil"/>
              <w:bottom w:val="nil"/>
              <w:right w:val="nil"/>
            </w:tcBorders>
            <w:shd w:val="clear" w:color="auto" w:fill="auto"/>
            <w:noWrap/>
            <w:vAlign w:val="center"/>
            <w:hideMark/>
          </w:tcPr>
          <w:p w14:paraId="7A5E53AE" w14:textId="7BF046A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0.18</w:t>
            </w:r>
          </w:p>
        </w:tc>
        <w:tc>
          <w:tcPr>
            <w:tcW w:w="794" w:type="dxa"/>
            <w:tcBorders>
              <w:top w:val="nil"/>
              <w:left w:val="nil"/>
              <w:bottom w:val="nil"/>
              <w:right w:val="single" w:sz="4" w:space="0" w:color="auto"/>
            </w:tcBorders>
            <w:shd w:val="clear" w:color="000000" w:fill="F2F2F2"/>
            <w:noWrap/>
            <w:vAlign w:val="center"/>
            <w:hideMark/>
          </w:tcPr>
          <w:p w14:paraId="0FBD4116" w14:textId="7CA9DCC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-0.09</w:t>
            </w:r>
          </w:p>
        </w:tc>
        <w:tc>
          <w:tcPr>
            <w:tcW w:w="794" w:type="dxa"/>
            <w:tcBorders>
              <w:top w:val="nil"/>
              <w:left w:val="nil"/>
              <w:bottom w:val="nil"/>
              <w:right w:val="nil"/>
            </w:tcBorders>
            <w:shd w:val="clear" w:color="auto" w:fill="auto"/>
            <w:noWrap/>
            <w:vAlign w:val="center"/>
            <w:hideMark/>
          </w:tcPr>
          <w:p w14:paraId="6A769AAB" w14:textId="3F9B975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0.12</w:t>
            </w:r>
          </w:p>
        </w:tc>
        <w:tc>
          <w:tcPr>
            <w:tcW w:w="794" w:type="dxa"/>
            <w:tcBorders>
              <w:top w:val="nil"/>
              <w:left w:val="nil"/>
              <w:bottom w:val="nil"/>
              <w:right w:val="single" w:sz="4" w:space="0" w:color="auto"/>
            </w:tcBorders>
            <w:shd w:val="clear" w:color="000000" w:fill="F2F2F2"/>
            <w:noWrap/>
            <w:vAlign w:val="center"/>
            <w:hideMark/>
          </w:tcPr>
          <w:p w14:paraId="63187C5E" w14:textId="6AEC4B2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-0.19</w:t>
            </w:r>
          </w:p>
        </w:tc>
        <w:tc>
          <w:tcPr>
            <w:tcW w:w="794" w:type="dxa"/>
            <w:tcBorders>
              <w:top w:val="nil"/>
              <w:left w:val="nil"/>
              <w:bottom w:val="nil"/>
              <w:right w:val="nil"/>
            </w:tcBorders>
            <w:shd w:val="clear" w:color="auto" w:fill="auto"/>
            <w:noWrap/>
            <w:vAlign w:val="center"/>
            <w:hideMark/>
          </w:tcPr>
          <w:p w14:paraId="3D6811B8" w14:textId="2032F54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0.08</w:t>
            </w:r>
          </w:p>
        </w:tc>
        <w:tc>
          <w:tcPr>
            <w:tcW w:w="794" w:type="dxa"/>
            <w:tcBorders>
              <w:top w:val="nil"/>
              <w:left w:val="nil"/>
              <w:bottom w:val="nil"/>
              <w:right w:val="single" w:sz="4" w:space="0" w:color="auto"/>
            </w:tcBorders>
            <w:shd w:val="clear" w:color="000000" w:fill="F2F2F2"/>
            <w:noWrap/>
            <w:vAlign w:val="center"/>
            <w:hideMark/>
          </w:tcPr>
          <w:p w14:paraId="5C7C8513" w14:textId="7A703C0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-0.39</w:t>
            </w:r>
          </w:p>
        </w:tc>
        <w:tc>
          <w:tcPr>
            <w:tcW w:w="794" w:type="dxa"/>
            <w:tcBorders>
              <w:top w:val="nil"/>
              <w:left w:val="nil"/>
              <w:bottom w:val="nil"/>
              <w:right w:val="nil"/>
            </w:tcBorders>
            <w:shd w:val="clear" w:color="auto" w:fill="auto"/>
            <w:noWrap/>
            <w:vAlign w:val="center"/>
            <w:hideMark/>
          </w:tcPr>
          <w:p w14:paraId="300A23D0" w14:textId="6488FA3B"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00CAA59" w14:textId="4561CC4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-0.22</w:t>
            </w:r>
          </w:p>
        </w:tc>
        <w:tc>
          <w:tcPr>
            <w:tcW w:w="794" w:type="dxa"/>
            <w:tcBorders>
              <w:top w:val="nil"/>
              <w:left w:val="nil"/>
              <w:bottom w:val="nil"/>
              <w:right w:val="nil"/>
            </w:tcBorders>
            <w:shd w:val="clear" w:color="auto" w:fill="auto"/>
            <w:noWrap/>
            <w:vAlign w:val="center"/>
            <w:hideMark/>
          </w:tcPr>
          <w:p w14:paraId="50EFCC42" w14:textId="67776679"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A7BD519" w14:textId="0E90083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-0.37</w:t>
            </w:r>
          </w:p>
        </w:tc>
        <w:tc>
          <w:tcPr>
            <w:tcW w:w="794" w:type="dxa"/>
            <w:tcBorders>
              <w:top w:val="nil"/>
              <w:left w:val="nil"/>
              <w:bottom w:val="nil"/>
              <w:right w:val="nil"/>
            </w:tcBorders>
            <w:shd w:val="clear" w:color="auto" w:fill="auto"/>
            <w:noWrap/>
            <w:vAlign w:val="center"/>
            <w:hideMark/>
          </w:tcPr>
          <w:p w14:paraId="1BAAE0BF" w14:textId="2D46BFA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-0.02</w:t>
            </w:r>
          </w:p>
        </w:tc>
        <w:tc>
          <w:tcPr>
            <w:tcW w:w="794" w:type="dxa"/>
            <w:tcBorders>
              <w:top w:val="nil"/>
              <w:left w:val="nil"/>
              <w:bottom w:val="nil"/>
              <w:right w:val="single" w:sz="4" w:space="0" w:color="auto"/>
            </w:tcBorders>
            <w:shd w:val="clear" w:color="000000" w:fill="F2F2F2"/>
            <w:noWrap/>
            <w:vAlign w:val="center"/>
            <w:hideMark/>
          </w:tcPr>
          <w:p w14:paraId="057CCFDD" w14:textId="0ACFB34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-0.37</w:t>
            </w:r>
          </w:p>
        </w:tc>
        <w:tc>
          <w:tcPr>
            <w:tcW w:w="794" w:type="dxa"/>
            <w:tcBorders>
              <w:top w:val="nil"/>
              <w:left w:val="nil"/>
              <w:bottom w:val="nil"/>
              <w:right w:val="nil"/>
            </w:tcBorders>
            <w:shd w:val="clear" w:color="auto" w:fill="auto"/>
            <w:noWrap/>
            <w:vAlign w:val="center"/>
            <w:hideMark/>
          </w:tcPr>
          <w:p w14:paraId="203F07E9" w14:textId="5EC427C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-0.05</w:t>
            </w:r>
          </w:p>
        </w:tc>
        <w:tc>
          <w:tcPr>
            <w:tcW w:w="794" w:type="dxa"/>
            <w:tcBorders>
              <w:top w:val="nil"/>
              <w:left w:val="nil"/>
              <w:bottom w:val="nil"/>
              <w:right w:val="single" w:sz="4" w:space="0" w:color="auto"/>
            </w:tcBorders>
            <w:shd w:val="clear" w:color="000000" w:fill="F2F2F2"/>
            <w:noWrap/>
            <w:vAlign w:val="center"/>
            <w:hideMark/>
          </w:tcPr>
          <w:p w14:paraId="2D1F3915" w14:textId="0AAC851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-0.21</w:t>
            </w:r>
          </w:p>
        </w:tc>
        <w:tc>
          <w:tcPr>
            <w:tcW w:w="794" w:type="dxa"/>
            <w:tcBorders>
              <w:top w:val="nil"/>
              <w:left w:val="nil"/>
              <w:bottom w:val="nil"/>
              <w:right w:val="nil"/>
            </w:tcBorders>
            <w:shd w:val="clear" w:color="auto" w:fill="auto"/>
            <w:noWrap/>
            <w:vAlign w:val="center"/>
            <w:hideMark/>
          </w:tcPr>
          <w:p w14:paraId="21DDA064" w14:textId="541BADC9"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4E5ED3ED" w14:textId="684C9CB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-0.22</w:t>
            </w:r>
          </w:p>
        </w:tc>
      </w:tr>
      <w:tr w:rsidR="002F1955" w:rsidRPr="00E56B73" w14:paraId="74A0A795"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1F838B9B"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Business equity</w:t>
            </w:r>
          </w:p>
        </w:tc>
        <w:tc>
          <w:tcPr>
            <w:tcW w:w="794" w:type="dxa"/>
            <w:tcBorders>
              <w:top w:val="nil"/>
              <w:left w:val="nil"/>
              <w:bottom w:val="nil"/>
              <w:right w:val="nil"/>
            </w:tcBorders>
            <w:shd w:val="clear" w:color="auto" w:fill="auto"/>
            <w:noWrap/>
            <w:vAlign w:val="center"/>
            <w:hideMark/>
          </w:tcPr>
          <w:p w14:paraId="148F75C7" w14:textId="5E95DD7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3.34</w:t>
            </w:r>
          </w:p>
        </w:tc>
        <w:tc>
          <w:tcPr>
            <w:tcW w:w="794" w:type="dxa"/>
            <w:tcBorders>
              <w:top w:val="nil"/>
              <w:left w:val="nil"/>
              <w:bottom w:val="nil"/>
              <w:right w:val="single" w:sz="4" w:space="0" w:color="auto"/>
            </w:tcBorders>
            <w:shd w:val="clear" w:color="000000" w:fill="F2F2F2"/>
            <w:noWrap/>
            <w:vAlign w:val="center"/>
            <w:hideMark/>
          </w:tcPr>
          <w:p w14:paraId="5EA61D2C" w14:textId="389612F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0.59</w:t>
            </w:r>
          </w:p>
        </w:tc>
        <w:tc>
          <w:tcPr>
            <w:tcW w:w="794" w:type="dxa"/>
            <w:tcBorders>
              <w:top w:val="nil"/>
              <w:left w:val="nil"/>
              <w:bottom w:val="nil"/>
              <w:right w:val="nil"/>
            </w:tcBorders>
            <w:shd w:val="clear" w:color="auto" w:fill="auto"/>
            <w:noWrap/>
            <w:vAlign w:val="center"/>
            <w:hideMark/>
          </w:tcPr>
          <w:p w14:paraId="25B9FE92" w14:textId="09E16114"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0.63</w:t>
            </w:r>
          </w:p>
        </w:tc>
        <w:tc>
          <w:tcPr>
            <w:tcW w:w="794" w:type="dxa"/>
            <w:tcBorders>
              <w:top w:val="nil"/>
              <w:left w:val="nil"/>
              <w:bottom w:val="nil"/>
              <w:right w:val="single" w:sz="4" w:space="0" w:color="auto"/>
            </w:tcBorders>
            <w:shd w:val="clear" w:color="000000" w:fill="F2F2F2"/>
            <w:noWrap/>
            <w:vAlign w:val="center"/>
            <w:hideMark/>
          </w:tcPr>
          <w:p w14:paraId="6B67FBDB" w14:textId="48992C2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0.54</w:t>
            </w:r>
          </w:p>
        </w:tc>
        <w:tc>
          <w:tcPr>
            <w:tcW w:w="794" w:type="dxa"/>
            <w:tcBorders>
              <w:top w:val="nil"/>
              <w:left w:val="nil"/>
              <w:bottom w:val="nil"/>
              <w:right w:val="nil"/>
            </w:tcBorders>
            <w:shd w:val="clear" w:color="auto" w:fill="auto"/>
            <w:noWrap/>
            <w:vAlign w:val="center"/>
            <w:hideMark/>
          </w:tcPr>
          <w:p w14:paraId="0F35F214" w14:textId="495E439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1.40</w:t>
            </w:r>
          </w:p>
        </w:tc>
        <w:tc>
          <w:tcPr>
            <w:tcW w:w="794" w:type="dxa"/>
            <w:tcBorders>
              <w:top w:val="nil"/>
              <w:left w:val="nil"/>
              <w:bottom w:val="nil"/>
              <w:right w:val="single" w:sz="4" w:space="0" w:color="auto"/>
            </w:tcBorders>
            <w:shd w:val="clear" w:color="000000" w:fill="F2F2F2"/>
            <w:noWrap/>
            <w:vAlign w:val="center"/>
            <w:hideMark/>
          </w:tcPr>
          <w:p w14:paraId="2394A3F0" w14:textId="7B612A6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0.41</w:t>
            </w:r>
          </w:p>
        </w:tc>
        <w:tc>
          <w:tcPr>
            <w:tcW w:w="794" w:type="dxa"/>
            <w:tcBorders>
              <w:top w:val="nil"/>
              <w:left w:val="nil"/>
              <w:bottom w:val="nil"/>
              <w:right w:val="nil"/>
            </w:tcBorders>
            <w:shd w:val="clear" w:color="auto" w:fill="auto"/>
            <w:noWrap/>
            <w:vAlign w:val="center"/>
            <w:hideMark/>
          </w:tcPr>
          <w:p w14:paraId="1861EA48" w14:textId="7A1CD2A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2.00</w:t>
            </w:r>
          </w:p>
        </w:tc>
        <w:tc>
          <w:tcPr>
            <w:tcW w:w="794" w:type="dxa"/>
            <w:tcBorders>
              <w:top w:val="nil"/>
              <w:left w:val="nil"/>
              <w:bottom w:val="nil"/>
              <w:right w:val="single" w:sz="4" w:space="0" w:color="auto"/>
            </w:tcBorders>
            <w:shd w:val="clear" w:color="000000" w:fill="F2F2F2"/>
            <w:noWrap/>
            <w:vAlign w:val="center"/>
            <w:hideMark/>
          </w:tcPr>
          <w:p w14:paraId="7F65998E" w14:textId="1434291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1.20</w:t>
            </w:r>
          </w:p>
        </w:tc>
        <w:tc>
          <w:tcPr>
            <w:tcW w:w="794" w:type="dxa"/>
            <w:tcBorders>
              <w:top w:val="nil"/>
              <w:left w:val="nil"/>
              <w:bottom w:val="nil"/>
              <w:right w:val="nil"/>
            </w:tcBorders>
            <w:shd w:val="clear" w:color="auto" w:fill="auto"/>
            <w:noWrap/>
            <w:vAlign w:val="center"/>
            <w:hideMark/>
          </w:tcPr>
          <w:p w14:paraId="77C0CEC6" w14:textId="5782F7A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1.57</w:t>
            </w:r>
          </w:p>
        </w:tc>
        <w:tc>
          <w:tcPr>
            <w:tcW w:w="794" w:type="dxa"/>
            <w:tcBorders>
              <w:top w:val="nil"/>
              <w:left w:val="nil"/>
              <w:bottom w:val="nil"/>
              <w:right w:val="single" w:sz="4" w:space="0" w:color="auto"/>
            </w:tcBorders>
            <w:shd w:val="clear" w:color="000000" w:fill="F2F2F2"/>
            <w:noWrap/>
            <w:vAlign w:val="center"/>
            <w:hideMark/>
          </w:tcPr>
          <w:p w14:paraId="3AC97B3D" w14:textId="3DCBDE0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0.84</w:t>
            </w:r>
          </w:p>
        </w:tc>
        <w:tc>
          <w:tcPr>
            <w:tcW w:w="794" w:type="dxa"/>
            <w:tcBorders>
              <w:top w:val="nil"/>
              <w:left w:val="nil"/>
              <w:bottom w:val="nil"/>
              <w:right w:val="nil"/>
            </w:tcBorders>
            <w:shd w:val="clear" w:color="auto" w:fill="auto"/>
            <w:noWrap/>
            <w:vAlign w:val="center"/>
            <w:hideMark/>
          </w:tcPr>
          <w:p w14:paraId="5E89AFFF" w14:textId="54810B3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0.71</w:t>
            </w:r>
          </w:p>
        </w:tc>
        <w:tc>
          <w:tcPr>
            <w:tcW w:w="794" w:type="dxa"/>
            <w:tcBorders>
              <w:top w:val="nil"/>
              <w:left w:val="nil"/>
              <w:bottom w:val="nil"/>
              <w:right w:val="single" w:sz="4" w:space="0" w:color="auto"/>
            </w:tcBorders>
            <w:shd w:val="clear" w:color="000000" w:fill="F2F2F2"/>
            <w:noWrap/>
            <w:vAlign w:val="center"/>
            <w:hideMark/>
          </w:tcPr>
          <w:p w14:paraId="6331A57F" w14:textId="0AF2065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1.24</w:t>
            </w:r>
          </w:p>
        </w:tc>
        <w:tc>
          <w:tcPr>
            <w:tcW w:w="794" w:type="dxa"/>
            <w:tcBorders>
              <w:top w:val="nil"/>
              <w:left w:val="nil"/>
              <w:bottom w:val="nil"/>
              <w:right w:val="nil"/>
            </w:tcBorders>
            <w:shd w:val="clear" w:color="auto" w:fill="auto"/>
            <w:noWrap/>
            <w:vAlign w:val="center"/>
            <w:hideMark/>
          </w:tcPr>
          <w:p w14:paraId="02A6ED81" w14:textId="34A23C4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4.61</w:t>
            </w:r>
          </w:p>
        </w:tc>
        <w:tc>
          <w:tcPr>
            <w:tcW w:w="794" w:type="dxa"/>
            <w:tcBorders>
              <w:top w:val="nil"/>
              <w:left w:val="nil"/>
              <w:bottom w:val="nil"/>
              <w:right w:val="single" w:sz="4" w:space="0" w:color="auto"/>
            </w:tcBorders>
            <w:shd w:val="clear" w:color="000000" w:fill="F2F2F2"/>
            <w:noWrap/>
            <w:vAlign w:val="center"/>
            <w:hideMark/>
          </w:tcPr>
          <w:p w14:paraId="58F224B6" w14:textId="75CD9D8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1.43</w:t>
            </w:r>
          </w:p>
        </w:tc>
        <w:tc>
          <w:tcPr>
            <w:tcW w:w="794" w:type="dxa"/>
            <w:tcBorders>
              <w:top w:val="nil"/>
              <w:left w:val="nil"/>
              <w:bottom w:val="nil"/>
              <w:right w:val="nil"/>
            </w:tcBorders>
            <w:shd w:val="clear" w:color="auto" w:fill="auto"/>
            <w:noWrap/>
            <w:vAlign w:val="center"/>
            <w:hideMark/>
          </w:tcPr>
          <w:p w14:paraId="5C773275" w14:textId="45043AD3"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1.32</w:t>
            </w:r>
          </w:p>
        </w:tc>
        <w:tc>
          <w:tcPr>
            <w:tcW w:w="794" w:type="dxa"/>
            <w:tcBorders>
              <w:top w:val="nil"/>
              <w:left w:val="nil"/>
              <w:bottom w:val="nil"/>
              <w:right w:val="single" w:sz="4" w:space="0" w:color="auto"/>
            </w:tcBorders>
            <w:shd w:val="clear" w:color="000000" w:fill="F2F2F2"/>
            <w:noWrap/>
            <w:vAlign w:val="center"/>
            <w:hideMark/>
          </w:tcPr>
          <w:p w14:paraId="63D7A943" w14:textId="2757EB2D"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1.23</w:t>
            </w:r>
          </w:p>
        </w:tc>
        <w:tc>
          <w:tcPr>
            <w:tcW w:w="794" w:type="dxa"/>
            <w:tcBorders>
              <w:top w:val="nil"/>
              <w:left w:val="nil"/>
              <w:bottom w:val="nil"/>
              <w:right w:val="nil"/>
            </w:tcBorders>
            <w:shd w:val="clear" w:color="auto" w:fill="auto"/>
            <w:noWrap/>
            <w:vAlign w:val="center"/>
            <w:hideMark/>
          </w:tcPr>
          <w:p w14:paraId="63856BB8" w14:textId="75BCBDF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1.93</w:t>
            </w:r>
          </w:p>
        </w:tc>
        <w:tc>
          <w:tcPr>
            <w:tcW w:w="794" w:type="dxa"/>
            <w:tcBorders>
              <w:top w:val="nil"/>
              <w:left w:val="nil"/>
              <w:bottom w:val="nil"/>
              <w:right w:val="single" w:sz="4" w:space="0" w:color="auto"/>
            </w:tcBorders>
            <w:shd w:val="clear" w:color="000000" w:fill="F2F2F2"/>
            <w:noWrap/>
            <w:vAlign w:val="center"/>
            <w:hideMark/>
          </w:tcPr>
          <w:p w14:paraId="10825FC4" w14:textId="5D15CB72"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1.61</w:t>
            </w:r>
          </w:p>
        </w:tc>
      </w:tr>
      <w:tr w:rsidR="002F1955" w:rsidRPr="00E56B73" w14:paraId="51603EC1"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524A06F9"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Financial investment assets</w:t>
            </w:r>
          </w:p>
        </w:tc>
        <w:tc>
          <w:tcPr>
            <w:tcW w:w="794" w:type="dxa"/>
            <w:tcBorders>
              <w:top w:val="nil"/>
              <w:left w:val="nil"/>
              <w:bottom w:val="nil"/>
              <w:right w:val="nil"/>
            </w:tcBorders>
            <w:shd w:val="clear" w:color="auto" w:fill="auto"/>
            <w:noWrap/>
            <w:vAlign w:val="center"/>
            <w:hideMark/>
          </w:tcPr>
          <w:p w14:paraId="7CFA646E" w14:textId="095A5A8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0.74</w:t>
            </w:r>
          </w:p>
        </w:tc>
        <w:tc>
          <w:tcPr>
            <w:tcW w:w="794" w:type="dxa"/>
            <w:tcBorders>
              <w:top w:val="nil"/>
              <w:left w:val="nil"/>
              <w:bottom w:val="nil"/>
              <w:right w:val="single" w:sz="4" w:space="0" w:color="auto"/>
            </w:tcBorders>
            <w:shd w:val="clear" w:color="000000" w:fill="F2F2F2"/>
            <w:noWrap/>
            <w:vAlign w:val="center"/>
            <w:hideMark/>
          </w:tcPr>
          <w:p w14:paraId="2CEBD855" w14:textId="34766BB3"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0.82</w:t>
            </w:r>
          </w:p>
        </w:tc>
        <w:tc>
          <w:tcPr>
            <w:tcW w:w="794" w:type="dxa"/>
            <w:tcBorders>
              <w:top w:val="nil"/>
              <w:left w:val="nil"/>
              <w:bottom w:val="nil"/>
              <w:right w:val="nil"/>
            </w:tcBorders>
            <w:shd w:val="clear" w:color="auto" w:fill="auto"/>
            <w:noWrap/>
            <w:vAlign w:val="center"/>
            <w:hideMark/>
          </w:tcPr>
          <w:p w14:paraId="6ED6FED5" w14:textId="4F2CB46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0.52</w:t>
            </w:r>
          </w:p>
        </w:tc>
        <w:tc>
          <w:tcPr>
            <w:tcW w:w="794" w:type="dxa"/>
            <w:tcBorders>
              <w:top w:val="nil"/>
              <w:left w:val="nil"/>
              <w:bottom w:val="nil"/>
              <w:right w:val="single" w:sz="4" w:space="0" w:color="auto"/>
            </w:tcBorders>
            <w:shd w:val="clear" w:color="000000" w:fill="F2F2F2"/>
            <w:noWrap/>
            <w:vAlign w:val="center"/>
            <w:hideMark/>
          </w:tcPr>
          <w:p w14:paraId="48FB15EF" w14:textId="30CB985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1.25</w:t>
            </w:r>
          </w:p>
        </w:tc>
        <w:tc>
          <w:tcPr>
            <w:tcW w:w="794" w:type="dxa"/>
            <w:tcBorders>
              <w:top w:val="nil"/>
              <w:left w:val="nil"/>
              <w:bottom w:val="nil"/>
              <w:right w:val="nil"/>
            </w:tcBorders>
            <w:shd w:val="clear" w:color="auto" w:fill="auto"/>
            <w:noWrap/>
            <w:vAlign w:val="center"/>
            <w:hideMark/>
          </w:tcPr>
          <w:p w14:paraId="638542AC" w14:textId="693A595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0.62</w:t>
            </w:r>
          </w:p>
        </w:tc>
        <w:tc>
          <w:tcPr>
            <w:tcW w:w="794" w:type="dxa"/>
            <w:tcBorders>
              <w:top w:val="nil"/>
              <w:left w:val="nil"/>
              <w:bottom w:val="nil"/>
              <w:right w:val="single" w:sz="4" w:space="0" w:color="auto"/>
            </w:tcBorders>
            <w:shd w:val="clear" w:color="000000" w:fill="F2F2F2"/>
            <w:noWrap/>
            <w:vAlign w:val="center"/>
            <w:hideMark/>
          </w:tcPr>
          <w:p w14:paraId="0A5B99F4" w14:textId="17F1614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0.99</w:t>
            </w:r>
          </w:p>
        </w:tc>
        <w:tc>
          <w:tcPr>
            <w:tcW w:w="794" w:type="dxa"/>
            <w:tcBorders>
              <w:top w:val="nil"/>
              <w:left w:val="nil"/>
              <w:bottom w:val="nil"/>
              <w:right w:val="nil"/>
            </w:tcBorders>
            <w:shd w:val="clear" w:color="auto" w:fill="auto"/>
            <w:noWrap/>
            <w:vAlign w:val="center"/>
            <w:hideMark/>
          </w:tcPr>
          <w:p w14:paraId="772DD478" w14:textId="329EF59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0.79</w:t>
            </w:r>
          </w:p>
        </w:tc>
        <w:tc>
          <w:tcPr>
            <w:tcW w:w="794" w:type="dxa"/>
            <w:tcBorders>
              <w:top w:val="nil"/>
              <w:left w:val="nil"/>
              <w:bottom w:val="nil"/>
              <w:right w:val="single" w:sz="4" w:space="0" w:color="auto"/>
            </w:tcBorders>
            <w:shd w:val="clear" w:color="000000" w:fill="F2F2F2"/>
            <w:noWrap/>
            <w:vAlign w:val="center"/>
            <w:hideMark/>
          </w:tcPr>
          <w:p w14:paraId="343CED97" w14:textId="2B4469A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1.06</w:t>
            </w:r>
          </w:p>
        </w:tc>
        <w:tc>
          <w:tcPr>
            <w:tcW w:w="794" w:type="dxa"/>
            <w:tcBorders>
              <w:top w:val="nil"/>
              <w:left w:val="nil"/>
              <w:bottom w:val="nil"/>
              <w:right w:val="nil"/>
            </w:tcBorders>
            <w:shd w:val="clear" w:color="auto" w:fill="auto"/>
            <w:noWrap/>
            <w:vAlign w:val="center"/>
            <w:hideMark/>
          </w:tcPr>
          <w:p w14:paraId="20738636" w14:textId="143FA47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0.89</w:t>
            </w:r>
          </w:p>
        </w:tc>
        <w:tc>
          <w:tcPr>
            <w:tcW w:w="794" w:type="dxa"/>
            <w:tcBorders>
              <w:top w:val="nil"/>
              <w:left w:val="nil"/>
              <w:bottom w:val="nil"/>
              <w:right w:val="single" w:sz="4" w:space="0" w:color="auto"/>
            </w:tcBorders>
            <w:shd w:val="clear" w:color="000000" w:fill="F2F2F2"/>
            <w:noWrap/>
            <w:vAlign w:val="center"/>
            <w:hideMark/>
          </w:tcPr>
          <w:p w14:paraId="0AF07C9E" w14:textId="6A8CFF4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1.33</w:t>
            </w:r>
          </w:p>
        </w:tc>
        <w:tc>
          <w:tcPr>
            <w:tcW w:w="794" w:type="dxa"/>
            <w:tcBorders>
              <w:top w:val="nil"/>
              <w:left w:val="nil"/>
              <w:bottom w:val="nil"/>
              <w:right w:val="nil"/>
            </w:tcBorders>
            <w:shd w:val="clear" w:color="auto" w:fill="auto"/>
            <w:noWrap/>
            <w:vAlign w:val="center"/>
            <w:hideMark/>
          </w:tcPr>
          <w:p w14:paraId="46E97950" w14:textId="06548523"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1.07</w:t>
            </w:r>
          </w:p>
        </w:tc>
        <w:tc>
          <w:tcPr>
            <w:tcW w:w="794" w:type="dxa"/>
            <w:tcBorders>
              <w:top w:val="nil"/>
              <w:left w:val="nil"/>
              <w:bottom w:val="nil"/>
              <w:right w:val="single" w:sz="4" w:space="0" w:color="auto"/>
            </w:tcBorders>
            <w:shd w:val="clear" w:color="000000" w:fill="F2F2F2"/>
            <w:noWrap/>
            <w:vAlign w:val="center"/>
            <w:hideMark/>
          </w:tcPr>
          <w:p w14:paraId="05DFC995" w14:textId="330A0C5F"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1.06</w:t>
            </w:r>
          </w:p>
        </w:tc>
        <w:tc>
          <w:tcPr>
            <w:tcW w:w="794" w:type="dxa"/>
            <w:tcBorders>
              <w:top w:val="nil"/>
              <w:left w:val="nil"/>
              <w:bottom w:val="nil"/>
              <w:right w:val="nil"/>
            </w:tcBorders>
            <w:shd w:val="clear" w:color="auto" w:fill="auto"/>
            <w:noWrap/>
            <w:vAlign w:val="center"/>
            <w:hideMark/>
          </w:tcPr>
          <w:p w14:paraId="75451299" w14:textId="6A3CC0A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0.73</w:t>
            </w:r>
          </w:p>
        </w:tc>
        <w:tc>
          <w:tcPr>
            <w:tcW w:w="794" w:type="dxa"/>
            <w:tcBorders>
              <w:top w:val="nil"/>
              <w:left w:val="nil"/>
              <w:bottom w:val="nil"/>
              <w:right w:val="single" w:sz="4" w:space="0" w:color="auto"/>
            </w:tcBorders>
            <w:shd w:val="clear" w:color="000000" w:fill="F2F2F2"/>
            <w:noWrap/>
            <w:vAlign w:val="center"/>
            <w:hideMark/>
          </w:tcPr>
          <w:p w14:paraId="75E75DA2" w14:textId="0E4CBA6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1.68</w:t>
            </w:r>
          </w:p>
        </w:tc>
        <w:tc>
          <w:tcPr>
            <w:tcW w:w="794" w:type="dxa"/>
            <w:tcBorders>
              <w:top w:val="nil"/>
              <w:left w:val="nil"/>
              <w:bottom w:val="nil"/>
              <w:right w:val="nil"/>
            </w:tcBorders>
            <w:shd w:val="clear" w:color="auto" w:fill="auto"/>
            <w:noWrap/>
            <w:vAlign w:val="center"/>
            <w:hideMark/>
          </w:tcPr>
          <w:p w14:paraId="47FFF8FA" w14:textId="2D303050"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1.05</w:t>
            </w:r>
          </w:p>
        </w:tc>
        <w:tc>
          <w:tcPr>
            <w:tcW w:w="794" w:type="dxa"/>
            <w:tcBorders>
              <w:top w:val="nil"/>
              <w:left w:val="nil"/>
              <w:bottom w:val="nil"/>
              <w:right w:val="single" w:sz="4" w:space="0" w:color="auto"/>
            </w:tcBorders>
            <w:shd w:val="clear" w:color="000000" w:fill="F2F2F2"/>
            <w:noWrap/>
            <w:vAlign w:val="center"/>
            <w:hideMark/>
          </w:tcPr>
          <w:p w14:paraId="41FF62AA" w14:textId="019519B7"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1.08</w:t>
            </w:r>
          </w:p>
        </w:tc>
        <w:tc>
          <w:tcPr>
            <w:tcW w:w="794" w:type="dxa"/>
            <w:tcBorders>
              <w:top w:val="nil"/>
              <w:left w:val="nil"/>
              <w:bottom w:val="nil"/>
              <w:right w:val="nil"/>
            </w:tcBorders>
            <w:shd w:val="clear" w:color="auto" w:fill="auto"/>
            <w:noWrap/>
            <w:vAlign w:val="center"/>
            <w:hideMark/>
          </w:tcPr>
          <w:p w14:paraId="7D78F769" w14:textId="648B7C32"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0.83</w:t>
            </w:r>
          </w:p>
        </w:tc>
        <w:tc>
          <w:tcPr>
            <w:tcW w:w="794" w:type="dxa"/>
            <w:tcBorders>
              <w:top w:val="nil"/>
              <w:left w:val="nil"/>
              <w:bottom w:val="nil"/>
              <w:right w:val="single" w:sz="4" w:space="0" w:color="auto"/>
            </w:tcBorders>
            <w:shd w:val="clear" w:color="000000" w:fill="F2F2F2"/>
            <w:noWrap/>
            <w:vAlign w:val="center"/>
            <w:hideMark/>
          </w:tcPr>
          <w:p w14:paraId="24B86750" w14:textId="6796E044"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0.88</w:t>
            </w:r>
          </w:p>
        </w:tc>
      </w:tr>
      <w:tr w:rsidR="002F1955" w:rsidRPr="00E56B73" w14:paraId="13F68F32"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74545205"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Transaction accounts</w:t>
            </w:r>
          </w:p>
        </w:tc>
        <w:tc>
          <w:tcPr>
            <w:tcW w:w="794" w:type="dxa"/>
            <w:tcBorders>
              <w:top w:val="nil"/>
              <w:left w:val="nil"/>
              <w:bottom w:val="nil"/>
              <w:right w:val="nil"/>
            </w:tcBorders>
            <w:shd w:val="clear" w:color="auto" w:fill="auto"/>
            <w:noWrap/>
            <w:vAlign w:val="center"/>
            <w:hideMark/>
          </w:tcPr>
          <w:p w14:paraId="61DB76D6" w14:textId="380B7A1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0.17</w:t>
            </w:r>
          </w:p>
        </w:tc>
        <w:tc>
          <w:tcPr>
            <w:tcW w:w="794" w:type="dxa"/>
            <w:tcBorders>
              <w:top w:val="nil"/>
              <w:left w:val="nil"/>
              <w:bottom w:val="nil"/>
              <w:right w:val="single" w:sz="4" w:space="0" w:color="auto"/>
            </w:tcBorders>
            <w:shd w:val="clear" w:color="000000" w:fill="F2F2F2"/>
            <w:noWrap/>
            <w:vAlign w:val="center"/>
            <w:hideMark/>
          </w:tcPr>
          <w:p w14:paraId="3B6AD4AC" w14:textId="40390E6B"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rPr>
              <w:t>-0.08</w:t>
            </w:r>
          </w:p>
        </w:tc>
        <w:tc>
          <w:tcPr>
            <w:tcW w:w="794" w:type="dxa"/>
            <w:tcBorders>
              <w:top w:val="nil"/>
              <w:left w:val="nil"/>
              <w:bottom w:val="nil"/>
              <w:right w:val="nil"/>
            </w:tcBorders>
            <w:shd w:val="clear" w:color="auto" w:fill="auto"/>
            <w:noWrap/>
            <w:vAlign w:val="center"/>
            <w:hideMark/>
          </w:tcPr>
          <w:p w14:paraId="0C6D97AA" w14:textId="3A2F287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0.30</w:t>
            </w:r>
          </w:p>
        </w:tc>
        <w:tc>
          <w:tcPr>
            <w:tcW w:w="794" w:type="dxa"/>
            <w:tcBorders>
              <w:top w:val="nil"/>
              <w:left w:val="nil"/>
              <w:bottom w:val="nil"/>
              <w:right w:val="single" w:sz="4" w:space="0" w:color="auto"/>
            </w:tcBorders>
            <w:shd w:val="clear" w:color="000000" w:fill="F2F2F2"/>
            <w:noWrap/>
            <w:vAlign w:val="center"/>
            <w:hideMark/>
          </w:tcPr>
          <w:p w14:paraId="63600BAE" w14:textId="0024706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0.10</w:t>
            </w:r>
          </w:p>
        </w:tc>
        <w:tc>
          <w:tcPr>
            <w:tcW w:w="794" w:type="dxa"/>
            <w:tcBorders>
              <w:top w:val="nil"/>
              <w:left w:val="nil"/>
              <w:bottom w:val="nil"/>
              <w:right w:val="nil"/>
            </w:tcBorders>
            <w:shd w:val="clear" w:color="auto" w:fill="auto"/>
            <w:noWrap/>
            <w:vAlign w:val="center"/>
            <w:hideMark/>
          </w:tcPr>
          <w:p w14:paraId="76ACF184" w14:textId="5DF1F25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0.10</w:t>
            </w:r>
          </w:p>
        </w:tc>
        <w:tc>
          <w:tcPr>
            <w:tcW w:w="794" w:type="dxa"/>
            <w:tcBorders>
              <w:top w:val="nil"/>
              <w:left w:val="nil"/>
              <w:bottom w:val="nil"/>
              <w:right w:val="single" w:sz="4" w:space="0" w:color="auto"/>
            </w:tcBorders>
            <w:shd w:val="clear" w:color="000000" w:fill="F2F2F2"/>
            <w:noWrap/>
            <w:vAlign w:val="center"/>
            <w:hideMark/>
          </w:tcPr>
          <w:p w14:paraId="63BA56F4" w14:textId="656BE93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u w:val="single"/>
              </w:rPr>
              <w:t>0.07</w:t>
            </w:r>
          </w:p>
        </w:tc>
        <w:tc>
          <w:tcPr>
            <w:tcW w:w="794" w:type="dxa"/>
            <w:tcBorders>
              <w:top w:val="nil"/>
              <w:left w:val="nil"/>
              <w:bottom w:val="nil"/>
              <w:right w:val="nil"/>
            </w:tcBorders>
            <w:shd w:val="clear" w:color="auto" w:fill="auto"/>
            <w:noWrap/>
            <w:vAlign w:val="center"/>
            <w:hideMark/>
          </w:tcPr>
          <w:p w14:paraId="7EA6AE2C" w14:textId="60D4F41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0.16</w:t>
            </w:r>
          </w:p>
        </w:tc>
        <w:tc>
          <w:tcPr>
            <w:tcW w:w="794" w:type="dxa"/>
            <w:tcBorders>
              <w:top w:val="nil"/>
              <w:left w:val="nil"/>
              <w:bottom w:val="nil"/>
              <w:right w:val="single" w:sz="4" w:space="0" w:color="auto"/>
            </w:tcBorders>
            <w:shd w:val="clear" w:color="000000" w:fill="F2F2F2"/>
            <w:noWrap/>
            <w:vAlign w:val="center"/>
            <w:hideMark/>
          </w:tcPr>
          <w:p w14:paraId="5B74BE86" w14:textId="2AD84F3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-0.14</w:t>
            </w:r>
          </w:p>
        </w:tc>
        <w:tc>
          <w:tcPr>
            <w:tcW w:w="794" w:type="dxa"/>
            <w:tcBorders>
              <w:top w:val="nil"/>
              <w:left w:val="nil"/>
              <w:bottom w:val="nil"/>
              <w:right w:val="nil"/>
            </w:tcBorders>
            <w:shd w:val="clear" w:color="auto" w:fill="auto"/>
            <w:noWrap/>
            <w:vAlign w:val="center"/>
            <w:hideMark/>
          </w:tcPr>
          <w:p w14:paraId="28BE144A" w14:textId="5258C8D1"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u w:val="single"/>
              </w:rPr>
              <w:t>-0.01</w:t>
            </w:r>
          </w:p>
        </w:tc>
        <w:tc>
          <w:tcPr>
            <w:tcW w:w="794" w:type="dxa"/>
            <w:tcBorders>
              <w:top w:val="nil"/>
              <w:left w:val="nil"/>
              <w:bottom w:val="nil"/>
              <w:right w:val="single" w:sz="4" w:space="0" w:color="auto"/>
            </w:tcBorders>
            <w:shd w:val="clear" w:color="000000" w:fill="F2F2F2"/>
            <w:noWrap/>
            <w:vAlign w:val="center"/>
            <w:hideMark/>
          </w:tcPr>
          <w:p w14:paraId="1F1D2D28" w14:textId="74A1501D"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u w:val="single"/>
              </w:rPr>
              <w:t>0.00</w:t>
            </w:r>
          </w:p>
        </w:tc>
        <w:tc>
          <w:tcPr>
            <w:tcW w:w="794" w:type="dxa"/>
            <w:tcBorders>
              <w:top w:val="nil"/>
              <w:left w:val="nil"/>
              <w:bottom w:val="nil"/>
              <w:right w:val="nil"/>
            </w:tcBorders>
            <w:shd w:val="clear" w:color="auto" w:fill="auto"/>
            <w:noWrap/>
            <w:vAlign w:val="center"/>
            <w:hideMark/>
          </w:tcPr>
          <w:p w14:paraId="3D5A1BF1" w14:textId="5B9D4AAB"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44EEC02C" w14:textId="7408E99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0.26</w:t>
            </w:r>
          </w:p>
        </w:tc>
        <w:tc>
          <w:tcPr>
            <w:tcW w:w="794" w:type="dxa"/>
            <w:tcBorders>
              <w:top w:val="nil"/>
              <w:left w:val="nil"/>
              <w:bottom w:val="nil"/>
              <w:right w:val="nil"/>
            </w:tcBorders>
            <w:shd w:val="clear" w:color="auto" w:fill="auto"/>
            <w:noWrap/>
            <w:vAlign w:val="center"/>
            <w:hideMark/>
          </w:tcPr>
          <w:p w14:paraId="164F26BD" w14:textId="5840B784"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0.08</w:t>
            </w:r>
          </w:p>
        </w:tc>
        <w:tc>
          <w:tcPr>
            <w:tcW w:w="794" w:type="dxa"/>
            <w:tcBorders>
              <w:top w:val="nil"/>
              <w:left w:val="nil"/>
              <w:bottom w:val="nil"/>
              <w:right w:val="single" w:sz="4" w:space="0" w:color="auto"/>
            </w:tcBorders>
            <w:shd w:val="clear" w:color="000000" w:fill="F2F2F2"/>
            <w:noWrap/>
            <w:vAlign w:val="center"/>
            <w:hideMark/>
          </w:tcPr>
          <w:p w14:paraId="758DD076" w14:textId="6A9F74DA"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rPr>
              <w:t>0.00</w:t>
            </w:r>
          </w:p>
        </w:tc>
        <w:tc>
          <w:tcPr>
            <w:tcW w:w="794" w:type="dxa"/>
            <w:tcBorders>
              <w:top w:val="nil"/>
              <w:left w:val="nil"/>
              <w:bottom w:val="nil"/>
              <w:right w:val="nil"/>
            </w:tcBorders>
            <w:shd w:val="clear" w:color="auto" w:fill="auto"/>
            <w:noWrap/>
            <w:vAlign w:val="center"/>
            <w:hideMark/>
          </w:tcPr>
          <w:p w14:paraId="5C833AB9" w14:textId="3D6433CE"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u w:val="single"/>
              </w:rPr>
              <w:t>0.00</w:t>
            </w:r>
          </w:p>
        </w:tc>
        <w:tc>
          <w:tcPr>
            <w:tcW w:w="794" w:type="dxa"/>
            <w:tcBorders>
              <w:top w:val="nil"/>
              <w:left w:val="nil"/>
              <w:bottom w:val="nil"/>
              <w:right w:val="single" w:sz="4" w:space="0" w:color="auto"/>
            </w:tcBorders>
            <w:shd w:val="clear" w:color="000000" w:fill="F2F2F2"/>
            <w:noWrap/>
            <w:vAlign w:val="center"/>
            <w:hideMark/>
          </w:tcPr>
          <w:p w14:paraId="3170AECA" w14:textId="31E25611"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u w:val="single"/>
              </w:rPr>
              <w:t>0.00</w:t>
            </w:r>
          </w:p>
        </w:tc>
        <w:tc>
          <w:tcPr>
            <w:tcW w:w="794" w:type="dxa"/>
            <w:tcBorders>
              <w:top w:val="nil"/>
              <w:left w:val="nil"/>
              <w:bottom w:val="nil"/>
              <w:right w:val="nil"/>
            </w:tcBorders>
            <w:shd w:val="clear" w:color="auto" w:fill="auto"/>
            <w:noWrap/>
            <w:vAlign w:val="center"/>
            <w:hideMark/>
          </w:tcPr>
          <w:p w14:paraId="4AEE3E38" w14:textId="25539244"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u w:val="single"/>
              </w:rPr>
              <w:t>0.00</w:t>
            </w:r>
          </w:p>
        </w:tc>
        <w:tc>
          <w:tcPr>
            <w:tcW w:w="794" w:type="dxa"/>
            <w:tcBorders>
              <w:top w:val="nil"/>
              <w:left w:val="nil"/>
              <w:bottom w:val="nil"/>
              <w:right w:val="single" w:sz="4" w:space="0" w:color="auto"/>
            </w:tcBorders>
            <w:shd w:val="clear" w:color="000000" w:fill="F2F2F2"/>
            <w:noWrap/>
            <w:vAlign w:val="center"/>
            <w:hideMark/>
          </w:tcPr>
          <w:p w14:paraId="30D5C515" w14:textId="4CBD31AB"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u w:val="single"/>
              </w:rPr>
              <w:t>-0.02</w:t>
            </w:r>
          </w:p>
        </w:tc>
      </w:tr>
      <w:tr w:rsidR="002F1955" w:rsidRPr="00E56B73" w14:paraId="5CA860E7" w14:textId="77777777" w:rsidTr="002F1955">
        <w:trPr>
          <w:trHeight w:val="227"/>
        </w:trPr>
        <w:tc>
          <w:tcPr>
            <w:tcW w:w="1701" w:type="dxa"/>
            <w:tcBorders>
              <w:top w:val="nil"/>
              <w:left w:val="single" w:sz="4" w:space="0" w:color="auto"/>
              <w:right w:val="single" w:sz="4" w:space="0" w:color="auto"/>
            </w:tcBorders>
            <w:shd w:val="clear" w:color="auto" w:fill="auto"/>
            <w:noWrap/>
            <w:vAlign w:val="bottom"/>
            <w:hideMark/>
          </w:tcPr>
          <w:p w14:paraId="74E03F76"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Retirement and insurance assets</w:t>
            </w:r>
          </w:p>
        </w:tc>
        <w:tc>
          <w:tcPr>
            <w:tcW w:w="794" w:type="dxa"/>
            <w:tcBorders>
              <w:top w:val="nil"/>
              <w:left w:val="nil"/>
              <w:right w:val="nil"/>
            </w:tcBorders>
            <w:shd w:val="clear" w:color="auto" w:fill="auto"/>
            <w:noWrap/>
            <w:vAlign w:val="center"/>
            <w:hideMark/>
          </w:tcPr>
          <w:p w14:paraId="59EF8AF3" w14:textId="2C1C0E8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2.27</w:t>
            </w:r>
          </w:p>
        </w:tc>
        <w:tc>
          <w:tcPr>
            <w:tcW w:w="794" w:type="dxa"/>
            <w:tcBorders>
              <w:top w:val="nil"/>
              <w:left w:val="nil"/>
              <w:right w:val="single" w:sz="4" w:space="0" w:color="auto"/>
            </w:tcBorders>
            <w:shd w:val="clear" w:color="000000" w:fill="F2F2F2"/>
            <w:noWrap/>
            <w:vAlign w:val="center"/>
            <w:hideMark/>
          </w:tcPr>
          <w:p w14:paraId="55B27A7F" w14:textId="5186E51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2.62</w:t>
            </w:r>
          </w:p>
        </w:tc>
        <w:tc>
          <w:tcPr>
            <w:tcW w:w="794" w:type="dxa"/>
            <w:tcBorders>
              <w:top w:val="nil"/>
              <w:left w:val="nil"/>
              <w:right w:val="nil"/>
            </w:tcBorders>
            <w:shd w:val="clear" w:color="auto" w:fill="auto"/>
            <w:noWrap/>
            <w:vAlign w:val="center"/>
            <w:hideMark/>
          </w:tcPr>
          <w:p w14:paraId="3B123B65" w14:textId="74C6944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1.26</w:t>
            </w:r>
          </w:p>
        </w:tc>
        <w:tc>
          <w:tcPr>
            <w:tcW w:w="794" w:type="dxa"/>
            <w:tcBorders>
              <w:top w:val="nil"/>
              <w:left w:val="nil"/>
              <w:right w:val="single" w:sz="4" w:space="0" w:color="auto"/>
            </w:tcBorders>
            <w:shd w:val="clear" w:color="000000" w:fill="F2F2F2"/>
            <w:noWrap/>
            <w:vAlign w:val="center"/>
            <w:hideMark/>
          </w:tcPr>
          <w:p w14:paraId="457D62B0" w14:textId="18EA910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2.15</w:t>
            </w:r>
          </w:p>
        </w:tc>
        <w:tc>
          <w:tcPr>
            <w:tcW w:w="794" w:type="dxa"/>
            <w:tcBorders>
              <w:top w:val="nil"/>
              <w:left w:val="nil"/>
              <w:right w:val="nil"/>
            </w:tcBorders>
            <w:shd w:val="clear" w:color="auto" w:fill="auto"/>
            <w:noWrap/>
            <w:vAlign w:val="center"/>
            <w:hideMark/>
          </w:tcPr>
          <w:p w14:paraId="763FE156" w14:textId="09EFF56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1.21</w:t>
            </w:r>
          </w:p>
        </w:tc>
        <w:tc>
          <w:tcPr>
            <w:tcW w:w="794" w:type="dxa"/>
            <w:tcBorders>
              <w:top w:val="nil"/>
              <w:left w:val="nil"/>
              <w:right w:val="single" w:sz="4" w:space="0" w:color="auto"/>
            </w:tcBorders>
            <w:shd w:val="clear" w:color="000000" w:fill="F2F2F2"/>
            <w:noWrap/>
            <w:vAlign w:val="center"/>
            <w:hideMark/>
          </w:tcPr>
          <w:p w14:paraId="0BB4938F" w14:textId="11D62FD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0.86</w:t>
            </w:r>
          </w:p>
        </w:tc>
        <w:tc>
          <w:tcPr>
            <w:tcW w:w="794" w:type="dxa"/>
            <w:tcBorders>
              <w:top w:val="nil"/>
              <w:left w:val="nil"/>
              <w:right w:val="nil"/>
            </w:tcBorders>
            <w:shd w:val="clear" w:color="auto" w:fill="auto"/>
            <w:noWrap/>
            <w:vAlign w:val="center"/>
            <w:hideMark/>
          </w:tcPr>
          <w:p w14:paraId="298D9D68" w14:textId="5143FBB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0.98</w:t>
            </w:r>
          </w:p>
        </w:tc>
        <w:tc>
          <w:tcPr>
            <w:tcW w:w="794" w:type="dxa"/>
            <w:tcBorders>
              <w:top w:val="nil"/>
              <w:left w:val="nil"/>
              <w:right w:val="single" w:sz="4" w:space="0" w:color="auto"/>
            </w:tcBorders>
            <w:shd w:val="clear" w:color="000000" w:fill="F2F2F2"/>
            <w:noWrap/>
            <w:vAlign w:val="center"/>
            <w:hideMark/>
          </w:tcPr>
          <w:p w14:paraId="38DC6B0F" w14:textId="4474FF3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1.29</w:t>
            </w:r>
          </w:p>
        </w:tc>
        <w:tc>
          <w:tcPr>
            <w:tcW w:w="794" w:type="dxa"/>
            <w:tcBorders>
              <w:top w:val="nil"/>
              <w:left w:val="nil"/>
              <w:right w:val="nil"/>
            </w:tcBorders>
            <w:shd w:val="clear" w:color="auto" w:fill="auto"/>
            <w:noWrap/>
            <w:vAlign w:val="center"/>
            <w:hideMark/>
          </w:tcPr>
          <w:p w14:paraId="7B03F4D7" w14:textId="5F768CC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1.00</w:t>
            </w:r>
          </w:p>
        </w:tc>
        <w:tc>
          <w:tcPr>
            <w:tcW w:w="794" w:type="dxa"/>
            <w:tcBorders>
              <w:top w:val="nil"/>
              <w:left w:val="nil"/>
              <w:right w:val="single" w:sz="4" w:space="0" w:color="auto"/>
            </w:tcBorders>
            <w:shd w:val="clear" w:color="000000" w:fill="F2F2F2"/>
            <w:noWrap/>
            <w:vAlign w:val="center"/>
            <w:hideMark/>
          </w:tcPr>
          <w:p w14:paraId="61D4C680" w14:textId="2B56982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1.42</w:t>
            </w:r>
          </w:p>
        </w:tc>
        <w:tc>
          <w:tcPr>
            <w:tcW w:w="794" w:type="dxa"/>
            <w:tcBorders>
              <w:top w:val="nil"/>
              <w:left w:val="nil"/>
              <w:right w:val="nil"/>
            </w:tcBorders>
            <w:shd w:val="clear" w:color="auto" w:fill="auto"/>
            <w:noWrap/>
            <w:vAlign w:val="center"/>
            <w:hideMark/>
          </w:tcPr>
          <w:p w14:paraId="3AD01A01" w14:textId="11EF7DA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1.59</w:t>
            </w:r>
          </w:p>
        </w:tc>
        <w:tc>
          <w:tcPr>
            <w:tcW w:w="794" w:type="dxa"/>
            <w:tcBorders>
              <w:top w:val="nil"/>
              <w:left w:val="nil"/>
              <w:right w:val="single" w:sz="4" w:space="0" w:color="auto"/>
            </w:tcBorders>
            <w:shd w:val="clear" w:color="000000" w:fill="F2F2F2"/>
            <w:noWrap/>
            <w:vAlign w:val="center"/>
            <w:hideMark/>
          </w:tcPr>
          <w:p w14:paraId="5C827BB7" w14:textId="17BD8FD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1.66</w:t>
            </w:r>
          </w:p>
        </w:tc>
        <w:tc>
          <w:tcPr>
            <w:tcW w:w="794" w:type="dxa"/>
            <w:tcBorders>
              <w:top w:val="nil"/>
              <w:left w:val="nil"/>
              <w:right w:val="nil"/>
            </w:tcBorders>
            <w:shd w:val="clear" w:color="auto" w:fill="auto"/>
            <w:noWrap/>
            <w:vAlign w:val="center"/>
            <w:hideMark/>
          </w:tcPr>
          <w:p w14:paraId="14D11624" w14:textId="4C6E000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1.57</w:t>
            </w:r>
          </w:p>
        </w:tc>
        <w:tc>
          <w:tcPr>
            <w:tcW w:w="794" w:type="dxa"/>
            <w:tcBorders>
              <w:top w:val="nil"/>
              <w:left w:val="nil"/>
              <w:right w:val="single" w:sz="4" w:space="0" w:color="auto"/>
            </w:tcBorders>
            <w:shd w:val="clear" w:color="000000" w:fill="F2F2F2"/>
            <w:noWrap/>
            <w:vAlign w:val="center"/>
            <w:hideMark/>
          </w:tcPr>
          <w:p w14:paraId="344B23D1" w14:textId="104654F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1.73</w:t>
            </w:r>
          </w:p>
        </w:tc>
        <w:tc>
          <w:tcPr>
            <w:tcW w:w="794" w:type="dxa"/>
            <w:tcBorders>
              <w:top w:val="nil"/>
              <w:left w:val="nil"/>
              <w:right w:val="nil"/>
            </w:tcBorders>
            <w:shd w:val="clear" w:color="auto" w:fill="auto"/>
            <w:noWrap/>
            <w:vAlign w:val="center"/>
            <w:hideMark/>
          </w:tcPr>
          <w:p w14:paraId="41A9E05E" w14:textId="2A48443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1.44</w:t>
            </w:r>
          </w:p>
        </w:tc>
        <w:tc>
          <w:tcPr>
            <w:tcW w:w="794" w:type="dxa"/>
            <w:tcBorders>
              <w:top w:val="nil"/>
              <w:left w:val="nil"/>
              <w:right w:val="single" w:sz="4" w:space="0" w:color="auto"/>
            </w:tcBorders>
            <w:shd w:val="clear" w:color="000000" w:fill="F2F2F2"/>
            <w:noWrap/>
            <w:vAlign w:val="center"/>
            <w:hideMark/>
          </w:tcPr>
          <w:p w14:paraId="2D114F04" w14:textId="547761F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1.70</w:t>
            </w:r>
          </w:p>
        </w:tc>
        <w:tc>
          <w:tcPr>
            <w:tcW w:w="794" w:type="dxa"/>
            <w:tcBorders>
              <w:top w:val="nil"/>
              <w:left w:val="nil"/>
              <w:right w:val="nil"/>
            </w:tcBorders>
            <w:shd w:val="clear" w:color="auto" w:fill="auto"/>
            <w:noWrap/>
            <w:vAlign w:val="center"/>
            <w:hideMark/>
          </w:tcPr>
          <w:p w14:paraId="0C111044" w14:textId="0D8CBB3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1.33</w:t>
            </w:r>
          </w:p>
        </w:tc>
        <w:tc>
          <w:tcPr>
            <w:tcW w:w="794" w:type="dxa"/>
            <w:tcBorders>
              <w:top w:val="nil"/>
              <w:left w:val="nil"/>
              <w:right w:val="single" w:sz="4" w:space="0" w:color="auto"/>
            </w:tcBorders>
            <w:shd w:val="clear" w:color="000000" w:fill="F2F2F2"/>
            <w:noWrap/>
            <w:vAlign w:val="center"/>
            <w:hideMark/>
          </w:tcPr>
          <w:p w14:paraId="05A9C2F2" w14:textId="099825C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1.46</w:t>
            </w:r>
          </w:p>
        </w:tc>
      </w:tr>
      <w:tr w:rsidR="002F1955" w:rsidRPr="00E56B73" w14:paraId="51D44DB3"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29A7774" w14:textId="77777777" w:rsidR="002F1955" w:rsidRPr="00E56B73"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3AE56872" w14:textId="592AD4D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3,001</w:t>
            </w:r>
          </w:p>
        </w:tc>
        <w:tc>
          <w:tcPr>
            <w:tcW w:w="794" w:type="dxa"/>
            <w:tcBorders>
              <w:top w:val="nil"/>
              <w:left w:val="nil"/>
              <w:bottom w:val="single" w:sz="4" w:space="0" w:color="auto"/>
              <w:right w:val="nil"/>
            </w:tcBorders>
            <w:shd w:val="clear" w:color="000000" w:fill="F2F2F2"/>
            <w:noWrap/>
            <w:vAlign w:val="center"/>
            <w:hideMark/>
          </w:tcPr>
          <w:p w14:paraId="0DE4A5F3" w14:textId="7ABE999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1,565</w:t>
            </w:r>
          </w:p>
        </w:tc>
        <w:tc>
          <w:tcPr>
            <w:tcW w:w="794" w:type="dxa"/>
            <w:tcBorders>
              <w:top w:val="nil"/>
              <w:left w:val="single" w:sz="4" w:space="0" w:color="auto"/>
              <w:bottom w:val="single" w:sz="4" w:space="0" w:color="auto"/>
              <w:right w:val="nil"/>
            </w:tcBorders>
            <w:shd w:val="clear" w:color="auto" w:fill="auto"/>
            <w:noWrap/>
            <w:vAlign w:val="center"/>
            <w:hideMark/>
          </w:tcPr>
          <w:p w14:paraId="17BF082A" w14:textId="2092E6D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3,745</w:t>
            </w:r>
          </w:p>
        </w:tc>
        <w:tc>
          <w:tcPr>
            <w:tcW w:w="794" w:type="dxa"/>
            <w:tcBorders>
              <w:top w:val="nil"/>
              <w:left w:val="nil"/>
              <w:bottom w:val="single" w:sz="4" w:space="0" w:color="auto"/>
              <w:right w:val="nil"/>
            </w:tcBorders>
            <w:shd w:val="clear" w:color="000000" w:fill="F2F2F2"/>
            <w:noWrap/>
            <w:vAlign w:val="center"/>
            <w:hideMark/>
          </w:tcPr>
          <w:p w14:paraId="16A8DF2B" w14:textId="30F1D2D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2,487</w:t>
            </w:r>
          </w:p>
        </w:tc>
        <w:tc>
          <w:tcPr>
            <w:tcW w:w="794" w:type="dxa"/>
            <w:tcBorders>
              <w:top w:val="nil"/>
              <w:left w:val="single" w:sz="4" w:space="0" w:color="auto"/>
              <w:bottom w:val="single" w:sz="4" w:space="0" w:color="auto"/>
              <w:right w:val="nil"/>
            </w:tcBorders>
            <w:shd w:val="clear" w:color="auto" w:fill="auto"/>
            <w:noWrap/>
            <w:vAlign w:val="center"/>
            <w:hideMark/>
          </w:tcPr>
          <w:p w14:paraId="67863907" w14:textId="5AA01E9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4,063</w:t>
            </w:r>
          </w:p>
        </w:tc>
        <w:tc>
          <w:tcPr>
            <w:tcW w:w="794" w:type="dxa"/>
            <w:tcBorders>
              <w:top w:val="nil"/>
              <w:left w:val="nil"/>
              <w:bottom w:val="single" w:sz="4" w:space="0" w:color="auto"/>
              <w:right w:val="single" w:sz="4" w:space="0" w:color="auto"/>
            </w:tcBorders>
            <w:shd w:val="clear" w:color="000000" w:fill="F2F2F2"/>
            <w:noWrap/>
            <w:vAlign w:val="center"/>
            <w:hideMark/>
          </w:tcPr>
          <w:p w14:paraId="2346BB87" w14:textId="1048A96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2,530</w:t>
            </w:r>
          </w:p>
        </w:tc>
        <w:tc>
          <w:tcPr>
            <w:tcW w:w="794" w:type="dxa"/>
            <w:tcBorders>
              <w:top w:val="nil"/>
              <w:left w:val="nil"/>
              <w:bottom w:val="single" w:sz="4" w:space="0" w:color="auto"/>
              <w:right w:val="nil"/>
            </w:tcBorders>
            <w:shd w:val="clear" w:color="auto" w:fill="auto"/>
            <w:noWrap/>
            <w:vAlign w:val="center"/>
            <w:hideMark/>
          </w:tcPr>
          <w:p w14:paraId="6B94F8CA" w14:textId="1DD38F1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4,225</w:t>
            </w:r>
          </w:p>
        </w:tc>
        <w:tc>
          <w:tcPr>
            <w:tcW w:w="794" w:type="dxa"/>
            <w:tcBorders>
              <w:top w:val="nil"/>
              <w:left w:val="nil"/>
              <w:bottom w:val="single" w:sz="4" w:space="0" w:color="auto"/>
              <w:right w:val="single" w:sz="4" w:space="0" w:color="auto"/>
            </w:tcBorders>
            <w:shd w:val="clear" w:color="000000" w:fill="F2F2F2"/>
            <w:noWrap/>
            <w:vAlign w:val="center"/>
            <w:hideMark/>
          </w:tcPr>
          <w:p w14:paraId="4D1959EA" w14:textId="4EE1329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2,775</w:t>
            </w:r>
          </w:p>
        </w:tc>
        <w:tc>
          <w:tcPr>
            <w:tcW w:w="794" w:type="dxa"/>
            <w:tcBorders>
              <w:top w:val="nil"/>
              <w:left w:val="nil"/>
              <w:bottom w:val="single" w:sz="4" w:space="0" w:color="auto"/>
              <w:right w:val="nil"/>
            </w:tcBorders>
            <w:shd w:val="clear" w:color="auto" w:fill="auto"/>
            <w:noWrap/>
            <w:vAlign w:val="center"/>
            <w:hideMark/>
          </w:tcPr>
          <w:p w14:paraId="609B3BA6" w14:textId="3DB2665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4,227</w:t>
            </w:r>
          </w:p>
        </w:tc>
        <w:tc>
          <w:tcPr>
            <w:tcW w:w="794" w:type="dxa"/>
            <w:tcBorders>
              <w:top w:val="nil"/>
              <w:left w:val="nil"/>
              <w:bottom w:val="single" w:sz="4" w:space="0" w:color="auto"/>
              <w:right w:val="single" w:sz="4" w:space="0" w:color="auto"/>
            </w:tcBorders>
            <w:shd w:val="clear" w:color="000000" w:fill="F2F2F2"/>
            <w:noWrap/>
            <w:vAlign w:val="center"/>
            <w:hideMark/>
          </w:tcPr>
          <w:p w14:paraId="3E4C40BF" w14:textId="30C2080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2,650</w:t>
            </w:r>
          </w:p>
        </w:tc>
        <w:tc>
          <w:tcPr>
            <w:tcW w:w="794" w:type="dxa"/>
            <w:tcBorders>
              <w:top w:val="nil"/>
              <w:left w:val="nil"/>
              <w:bottom w:val="single" w:sz="4" w:space="0" w:color="auto"/>
              <w:right w:val="nil"/>
            </w:tcBorders>
            <w:shd w:val="clear" w:color="auto" w:fill="auto"/>
            <w:noWrap/>
            <w:vAlign w:val="center"/>
            <w:hideMark/>
          </w:tcPr>
          <w:p w14:paraId="0E5CB961" w14:textId="70BA0F9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4,511</w:t>
            </w:r>
          </w:p>
        </w:tc>
        <w:tc>
          <w:tcPr>
            <w:tcW w:w="794" w:type="dxa"/>
            <w:tcBorders>
              <w:top w:val="nil"/>
              <w:left w:val="nil"/>
              <w:bottom w:val="single" w:sz="4" w:space="0" w:color="auto"/>
              <w:right w:val="single" w:sz="4" w:space="0" w:color="auto"/>
            </w:tcBorders>
            <w:shd w:val="clear" w:color="000000" w:fill="F2F2F2"/>
            <w:noWrap/>
            <w:vAlign w:val="center"/>
            <w:hideMark/>
          </w:tcPr>
          <w:p w14:paraId="1640777D" w14:textId="7867900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2,859</w:t>
            </w:r>
          </w:p>
        </w:tc>
        <w:tc>
          <w:tcPr>
            <w:tcW w:w="794" w:type="dxa"/>
            <w:tcBorders>
              <w:top w:val="nil"/>
              <w:left w:val="nil"/>
              <w:bottom w:val="single" w:sz="4" w:space="0" w:color="auto"/>
              <w:right w:val="nil"/>
            </w:tcBorders>
            <w:shd w:val="clear" w:color="auto" w:fill="auto"/>
            <w:noWrap/>
            <w:vAlign w:val="center"/>
            <w:hideMark/>
          </w:tcPr>
          <w:p w14:paraId="4234A132" w14:textId="7DCF886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4,250</w:t>
            </w:r>
          </w:p>
        </w:tc>
        <w:tc>
          <w:tcPr>
            <w:tcW w:w="794" w:type="dxa"/>
            <w:tcBorders>
              <w:top w:val="nil"/>
              <w:left w:val="nil"/>
              <w:bottom w:val="single" w:sz="4" w:space="0" w:color="auto"/>
              <w:right w:val="single" w:sz="4" w:space="0" w:color="auto"/>
            </w:tcBorders>
            <w:shd w:val="clear" w:color="000000" w:fill="F2F2F2"/>
            <w:noWrap/>
            <w:vAlign w:val="center"/>
            <w:hideMark/>
          </w:tcPr>
          <w:p w14:paraId="7818CA23" w14:textId="430DFE5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2,599</w:t>
            </w:r>
          </w:p>
        </w:tc>
        <w:tc>
          <w:tcPr>
            <w:tcW w:w="794" w:type="dxa"/>
            <w:tcBorders>
              <w:top w:val="nil"/>
              <w:left w:val="nil"/>
              <w:bottom w:val="single" w:sz="4" w:space="0" w:color="auto"/>
              <w:right w:val="nil"/>
            </w:tcBorders>
            <w:shd w:val="clear" w:color="auto" w:fill="auto"/>
            <w:noWrap/>
            <w:vAlign w:val="center"/>
            <w:hideMark/>
          </w:tcPr>
          <w:p w14:paraId="6A0F8BC9" w14:textId="652D98D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6,916</w:t>
            </w:r>
          </w:p>
        </w:tc>
        <w:tc>
          <w:tcPr>
            <w:tcW w:w="794" w:type="dxa"/>
            <w:tcBorders>
              <w:top w:val="nil"/>
              <w:left w:val="nil"/>
              <w:bottom w:val="single" w:sz="4" w:space="0" w:color="auto"/>
              <w:right w:val="single" w:sz="4" w:space="0" w:color="auto"/>
            </w:tcBorders>
            <w:shd w:val="clear" w:color="000000" w:fill="F2F2F2"/>
            <w:noWrap/>
            <w:vAlign w:val="center"/>
            <w:hideMark/>
          </w:tcPr>
          <w:p w14:paraId="71728D96" w14:textId="50DDDEA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4,560</w:t>
            </w:r>
          </w:p>
        </w:tc>
        <w:tc>
          <w:tcPr>
            <w:tcW w:w="794" w:type="dxa"/>
            <w:tcBorders>
              <w:top w:val="nil"/>
              <w:left w:val="nil"/>
              <w:bottom w:val="single" w:sz="4" w:space="0" w:color="auto"/>
              <w:right w:val="nil"/>
            </w:tcBorders>
            <w:shd w:val="clear" w:color="auto" w:fill="auto"/>
            <w:noWrap/>
            <w:vAlign w:val="center"/>
            <w:hideMark/>
          </w:tcPr>
          <w:p w14:paraId="52AE9F17" w14:textId="315C932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6,600</w:t>
            </w:r>
          </w:p>
        </w:tc>
        <w:tc>
          <w:tcPr>
            <w:tcW w:w="794" w:type="dxa"/>
            <w:tcBorders>
              <w:top w:val="nil"/>
              <w:left w:val="nil"/>
              <w:bottom w:val="single" w:sz="4" w:space="0" w:color="auto"/>
              <w:right w:val="single" w:sz="4" w:space="0" w:color="auto"/>
            </w:tcBorders>
            <w:shd w:val="clear" w:color="000000" w:fill="F2F2F2"/>
            <w:noWrap/>
            <w:vAlign w:val="center"/>
            <w:hideMark/>
          </w:tcPr>
          <w:p w14:paraId="101A08E7" w14:textId="68F98B0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4,170</w:t>
            </w:r>
          </w:p>
        </w:tc>
      </w:tr>
      <w:tr w:rsidR="00E56B73" w:rsidRPr="00E56B73" w14:paraId="4BBA468B" w14:textId="77777777" w:rsidTr="00E56B73">
        <w:trPr>
          <w:trHeight w:val="227"/>
        </w:trPr>
        <w:tc>
          <w:tcPr>
            <w:tcW w:w="15993" w:type="dxa"/>
            <w:gridSpan w:val="19"/>
            <w:tcBorders>
              <w:top w:val="single" w:sz="4" w:space="0" w:color="auto"/>
              <w:left w:val="single" w:sz="4" w:space="0" w:color="auto"/>
              <w:bottom w:val="nil"/>
              <w:right w:val="single" w:sz="4" w:space="0" w:color="auto"/>
            </w:tcBorders>
            <w:shd w:val="clear" w:color="auto" w:fill="auto"/>
            <w:noWrap/>
            <w:vAlign w:val="center"/>
            <w:hideMark/>
          </w:tcPr>
          <w:p w14:paraId="58B5A651" w14:textId="77777777" w:rsidR="00E56B73" w:rsidRPr="00E56B73" w:rsidRDefault="00E56B73" w:rsidP="00E56B73">
            <w:pPr>
              <w:spacing w:before="80" w:after="2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b/>
                <w:bCs/>
                <w:color w:val="000000"/>
                <w:sz w:val="20"/>
                <w:szCs w:val="20"/>
              </w:rPr>
              <w:t>Share of total debt</w:t>
            </w:r>
          </w:p>
        </w:tc>
      </w:tr>
      <w:tr w:rsidR="002F1955" w:rsidRPr="00E56B73" w14:paraId="08DA5A02"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44312986"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Debt secured by primary residence</w:t>
            </w:r>
          </w:p>
        </w:tc>
        <w:tc>
          <w:tcPr>
            <w:tcW w:w="794" w:type="dxa"/>
            <w:tcBorders>
              <w:top w:val="single" w:sz="4" w:space="0" w:color="auto"/>
              <w:left w:val="nil"/>
              <w:bottom w:val="nil"/>
              <w:right w:val="nil"/>
            </w:tcBorders>
            <w:shd w:val="clear" w:color="auto" w:fill="auto"/>
            <w:noWrap/>
            <w:vAlign w:val="center"/>
            <w:hideMark/>
          </w:tcPr>
          <w:p w14:paraId="2D12CA27" w14:textId="5B2F187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0.51</w:t>
            </w:r>
          </w:p>
        </w:tc>
        <w:tc>
          <w:tcPr>
            <w:tcW w:w="794" w:type="dxa"/>
            <w:tcBorders>
              <w:top w:val="single" w:sz="4" w:space="0" w:color="auto"/>
              <w:left w:val="nil"/>
              <w:bottom w:val="nil"/>
              <w:right w:val="single" w:sz="4" w:space="0" w:color="auto"/>
            </w:tcBorders>
            <w:shd w:val="clear" w:color="000000" w:fill="F2F2F2"/>
            <w:noWrap/>
            <w:vAlign w:val="center"/>
            <w:hideMark/>
          </w:tcPr>
          <w:p w14:paraId="44E21727" w14:textId="29C9F4C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0.60</w:t>
            </w:r>
          </w:p>
        </w:tc>
        <w:tc>
          <w:tcPr>
            <w:tcW w:w="794" w:type="dxa"/>
            <w:tcBorders>
              <w:top w:val="single" w:sz="4" w:space="0" w:color="auto"/>
              <w:left w:val="nil"/>
              <w:bottom w:val="nil"/>
              <w:right w:val="nil"/>
            </w:tcBorders>
            <w:shd w:val="clear" w:color="auto" w:fill="auto"/>
            <w:noWrap/>
            <w:vAlign w:val="center"/>
            <w:hideMark/>
          </w:tcPr>
          <w:p w14:paraId="309F1CF8" w14:textId="6048B20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0.41</w:t>
            </w:r>
          </w:p>
        </w:tc>
        <w:tc>
          <w:tcPr>
            <w:tcW w:w="794" w:type="dxa"/>
            <w:tcBorders>
              <w:top w:val="single" w:sz="4" w:space="0" w:color="auto"/>
              <w:left w:val="nil"/>
              <w:bottom w:val="nil"/>
              <w:right w:val="single" w:sz="4" w:space="0" w:color="auto"/>
            </w:tcBorders>
            <w:shd w:val="clear" w:color="000000" w:fill="F2F2F2"/>
            <w:noWrap/>
            <w:vAlign w:val="center"/>
            <w:hideMark/>
          </w:tcPr>
          <w:p w14:paraId="63271BDA" w14:textId="3789DE7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0.50</w:t>
            </w:r>
          </w:p>
        </w:tc>
        <w:tc>
          <w:tcPr>
            <w:tcW w:w="794" w:type="dxa"/>
            <w:tcBorders>
              <w:top w:val="single" w:sz="4" w:space="0" w:color="auto"/>
              <w:left w:val="nil"/>
              <w:bottom w:val="nil"/>
              <w:right w:val="nil"/>
            </w:tcBorders>
            <w:shd w:val="clear" w:color="auto" w:fill="auto"/>
            <w:noWrap/>
            <w:vAlign w:val="center"/>
            <w:hideMark/>
          </w:tcPr>
          <w:p w14:paraId="6E645827" w14:textId="1F61E738"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0.38</w:t>
            </w:r>
          </w:p>
        </w:tc>
        <w:tc>
          <w:tcPr>
            <w:tcW w:w="794" w:type="dxa"/>
            <w:tcBorders>
              <w:top w:val="single" w:sz="4" w:space="0" w:color="auto"/>
              <w:left w:val="nil"/>
              <w:bottom w:val="nil"/>
              <w:right w:val="single" w:sz="4" w:space="0" w:color="auto"/>
            </w:tcBorders>
            <w:shd w:val="clear" w:color="000000" w:fill="F2F2F2"/>
            <w:noWrap/>
            <w:vAlign w:val="center"/>
            <w:hideMark/>
          </w:tcPr>
          <w:p w14:paraId="1A96C7D5" w14:textId="57BA432F"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0.37</w:t>
            </w:r>
          </w:p>
        </w:tc>
        <w:tc>
          <w:tcPr>
            <w:tcW w:w="794" w:type="dxa"/>
            <w:tcBorders>
              <w:top w:val="single" w:sz="4" w:space="0" w:color="auto"/>
              <w:left w:val="nil"/>
              <w:bottom w:val="nil"/>
              <w:right w:val="nil"/>
            </w:tcBorders>
            <w:shd w:val="clear" w:color="auto" w:fill="auto"/>
            <w:noWrap/>
            <w:vAlign w:val="center"/>
            <w:hideMark/>
          </w:tcPr>
          <w:p w14:paraId="257CED01" w14:textId="48F13AE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0.38</w:t>
            </w:r>
          </w:p>
        </w:tc>
        <w:tc>
          <w:tcPr>
            <w:tcW w:w="794" w:type="dxa"/>
            <w:tcBorders>
              <w:top w:val="single" w:sz="4" w:space="0" w:color="auto"/>
              <w:left w:val="nil"/>
              <w:bottom w:val="nil"/>
              <w:right w:val="single" w:sz="4" w:space="0" w:color="auto"/>
            </w:tcBorders>
            <w:shd w:val="clear" w:color="000000" w:fill="F2F2F2"/>
            <w:noWrap/>
            <w:vAlign w:val="center"/>
            <w:hideMark/>
          </w:tcPr>
          <w:p w14:paraId="449D02CC" w14:textId="41C25AD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0.61</w:t>
            </w:r>
          </w:p>
        </w:tc>
        <w:tc>
          <w:tcPr>
            <w:tcW w:w="794" w:type="dxa"/>
            <w:tcBorders>
              <w:top w:val="single" w:sz="4" w:space="0" w:color="auto"/>
              <w:left w:val="nil"/>
              <w:bottom w:val="nil"/>
              <w:right w:val="nil"/>
            </w:tcBorders>
            <w:shd w:val="clear" w:color="auto" w:fill="auto"/>
            <w:noWrap/>
            <w:vAlign w:val="center"/>
            <w:hideMark/>
          </w:tcPr>
          <w:p w14:paraId="5681383B" w14:textId="08DD442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0.33</w:t>
            </w:r>
          </w:p>
        </w:tc>
        <w:tc>
          <w:tcPr>
            <w:tcW w:w="794" w:type="dxa"/>
            <w:tcBorders>
              <w:top w:val="single" w:sz="4" w:space="0" w:color="auto"/>
              <w:left w:val="nil"/>
              <w:bottom w:val="nil"/>
              <w:right w:val="single" w:sz="4" w:space="0" w:color="auto"/>
            </w:tcBorders>
            <w:shd w:val="clear" w:color="000000" w:fill="F2F2F2"/>
            <w:noWrap/>
            <w:vAlign w:val="center"/>
            <w:hideMark/>
          </w:tcPr>
          <w:p w14:paraId="36570D65" w14:textId="5FA9301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0.41</w:t>
            </w:r>
          </w:p>
        </w:tc>
        <w:tc>
          <w:tcPr>
            <w:tcW w:w="794" w:type="dxa"/>
            <w:tcBorders>
              <w:top w:val="single" w:sz="4" w:space="0" w:color="auto"/>
              <w:left w:val="nil"/>
              <w:bottom w:val="nil"/>
              <w:right w:val="nil"/>
            </w:tcBorders>
            <w:shd w:val="clear" w:color="auto" w:fill="auto"/>
            <w:noWrap/>
            <w:vAlign w:val="center"/>
            <w:hideMark/>
          </w:tcPr>
          <w:p w14:paraId="44A9ACFD" w14:textId="0E69199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0.28</w:t>
            </w:r>
          </w:p>
        </w:tc>
        <w:tc>
          <w:tcPr>
            <w:tcW w:w="794" w:type="dxa"/>
            <w:tcBorders>
              <w:top w:val="single" w:sz="4" w:space="0" w:color="auto"/>
              <w:left w:val="nil"/>
              <w:bottom w:val="nil"/>
              <w:right w:val="single" w:sz="4" w:space="0" w:color="auto"/>
            </w:tcBorders>
            <w:shd w:val="clear" w:color="000000" w:fill="F2F2F2"/>
            <w:noWrap/>
            <w:vAlign w:val="center"/>
            <w:hideMark/>
          </w:tcPr>
          <w:p w14:paraId="3C5E42D2" w14:textId="61B4E1C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0.38</w:t>
            </w:r>
          </w:p>
        </w:tc>
        <w:tc>
          <w:tcPr>
            <w:tcW w:w="794" w:type="dxa"/>
            <w:tcBorders>
              <w:top w:val="single" w:sz="4" w:space="0" w:color="auto"/>
              <w:left w:val="nil"/>
              <w:bottom w:val="nil"/>
              <w:right w:val="nil"/>
            </w:tcBorders>
            <w:shd w:val="clear" w:color="auto" w:fill="auto"/>
            <w:noWrap/>
            <w:vAlign w:val="center"/>
            <w:hideMark/>
          </w:tcPr>
          <w:p w14:paraId="07365520" w14:textId="4953C3A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0.41</w:t>
            </w:r>
          </w:p>
        </w:tc>
        <w:tc>
          <w:tcPr>
            <w:tcW w:w="794" w:type="dxa"/>
            <w:tcBorders>
              <w:top w:val="single" w:sz="4" w:space="0" w:color="auto"/>
              <w:left w:val="nil"/>
              <w:bottom w:val="nil"/>
              <w:right w:val="single" w:sz="4" w:space="0" w:color="auto"/>
            </w:tcBorders>
            <w:shd w:val="clear" w:color="000000" w:fill="F2F2F2"/>
            <w:noWrap/>
            <w:vAlign w:val="center"/>
            <w:hideMark/>
          </w:tcPr>
          <w:p w14:paraId="4A6C5024" w14:textId="5959EC7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0.52</w:t>
            </w:r>
          </w:p>
        </w:tc>
        <w:tc>
          <w:tcPr>
            <w:tcW w:w="794" w:type="dxa"/>
            <w:tcBorders>
              <w:top w:val="single" w:sz="4" w:space="0" w:color="auto"/>
              <w:left w:val="nil"/>
              <w:bottom w:val="nil"/>
              <w:right w:val="nil"/>
            </w:tcBorders>
            <w:shd w:val="clear" w:color="auto" w:fill="auto"/>
            <w:noWrap/>
            <w:vAlign w:val="center"/>
            <w:hideMark/>
          </w:tcPr>
          <w:p w14:paraId="384B52AA" w14:textId="23E28DB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0.35</w:t>
            </w:r>
          </w:p>
        </w:tc>
        <w:tc>
          <w:tcPr>
            <w:tcW w:w="794" w:type="dxa"/>
            <w:tcBorders>
              <w:top w:val="single" w:sz="4" w:space="0" w:color="auto"/>
              <w:left w:val="nil"/>
              <w:bottom w:val="nil"/>
              <w:right w:val="single" w:sz="4" w:space="0" w:color="auto"/>
            </w:tcBorders>
            <w:shd w:val="clear" w:color="000000" w:fill="F2F2F2"/>
            <w:noWrap/>
            <w:vAlign w:val="center"/>
            <w:hideMark/>
          </w:tcPr>
          <w:p w14:paraId="3CAF1894" w14:textId="3E3C649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0.48</w:t>
            </w:r>
          </w:p>
        </w:tc>
        <w:tc>
          <w:tcPr>
            <w:tcW w:w="794" w:type="dxa"/>
            <w:tcBorders>
              <w:top w:val="single" w:sz="4" w:space="0" w:color="auto"/>
              <w:left w:val="nil"/>
              <w:bottom w:val="nil"/>
              <w:right w:val="nil"/>
            </w:tcBorders>
            <w:shd w:val="clear" w:color="auto" w:fill="auto"/>
            <w:noWrap/>
            <w:vAlign w:val="center"/>
            <w:hideMark/>
          </w:tcPr>
          <w:p w14:paraId="244EB0EC" w14:textId="6968AF2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0.36</w:t>
            </w:r>
          </w:p>
        </w:tc>
        <w:tc>
          <w:tcPr>
            <w:tcW w:w="794" w:type="dxa"/>
            <w:tcBorders>
              <w:top w:val="single" w:sz="4" w:space="0" w:color="auto"/>
              <w:left w:val="nil"/>
              <w:bottom w:val="nil"/>
              <w:right w:val="single" w:sz="4" w:space="0" w:color="auto"/>
            </w:tcBorders>
            <w:shd w:val="clear" w:color="000000" w:fill="F2F2F2"/>
            <w:noWrap/>
            <w:vAlign w:val="center"/>
            <w:hideMark/>
          </w:tcPr>
          <w:p w14:paraId="79E60853" w14:textId="3F52A51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0.39</w:t>
            </w:r>
          </w:p>
        </w:tc>
      </w:tr>
      <w:tr w:rsidR="002F1955" w:rsidRPr="00E56B73" w14:paraId="78FAF137"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3BBBA9F6"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Debt secured by other property</w:t>
            </w:r>
          </w:p>
        </w:tc>
        <w:tc>
          <w:tcPr>
            <w:tcW w:w="794" w:type="dxa"/>
            <w:tcBorders>
              <w:top w:val="nil"/>
              <w:left w:val="nil"/>
              <w:bottom w:val="nil"/>
              <w:right w:val="nil"/>
            </w:tcBorders>
            <w:shd w:val="clear" w:color="auto" w:fill="auto"/>
            <w:noWrap/>
            <w:vAlign w:val="center"/>
            <w:hideMark/>
          </w:tcPr>
          <w:p w14:paraId="297414CA" w14:textId="5AC4A31F"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0.91</w:t>
            </w:r>
          </w:p>
        </w:tc>
        <w:tc>
          <w:tcPr>
            <w:tcW w:w="794" w:type="dxa"/>
            <w:tcBorders>
              <w:top w:val="nil"/>
              <w:left w:val="nil"/>
              <w:bottom w:val="nil"/>
              <w:right w:val="single" w:sz="4" w:space="0" w:color="auto"/>
            </w:tcBorders>
            <w:shd w:val="clear" w:color="000000" w:fill="F2F2F2"/>
            <w:noWrap/>
            <w:vAlign w:val="center"/>
            <w:hideMark/>
          </w:tcPr>
          <w:p w14:paraId="654E5BBA" w14:textId="1BC95E07"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0.61</w:t>
            </w:r>
          </w:p>
        </w:tc>
        <w:tc>
          <w:tcPr>
            <w:tcW w:w="794" w:type="dxa"/>
            <w:tcBorders>
              <w:top w:val="nil"/>
              <w:left w:val="nil"/>
              <w:bottom w:val="nil"/>
              <w:right w:val="nil"/>
            </w:tcBorders>
            <w:shd w:val="clear" w:color="auto" w:fill="auto"/>
            <w:noWrap/>
            <w:vAlign w:val="center"/>
            <w:hideMark/>
          </w:tcPr>
          <w:p w14:paraId="0A21E051" w14:textId="185A907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0.88</w:t>
            </w:r>
          </w:p>
        </w:tc>
        <w:tc>
          <w:tcPr>
            <w:tcW w:w="794" w:type="dxa"/>
            <w:tcBorders>
              <w:top w:val="nil"/>
              <w:left w:val="nil"/>
              <w:bottom w:val="nil"/>
              <w:right w:val="single" w:sz="4" w:space="0" w:color="auto"/>
            </w:tcBorders>
            <w:shd w:val="clear" w:color="000000" w:fill="F2F2F2"/>
            <w:noWrap/>
            <w:vAlign w:val="center"/>
            <w:hideMark/>
          </w:tcPr>
          <w:p w14:paraId="50A72C90" w14:textId="0E60F93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3.28</w:t>
            </w:r>
          </w:p>
        </w:tc>
        <w:tc>
          <w:tcPr>
            <w:tcW w:w="794" w:type="dxa"/>
            <w:tcBorders>
              <w:top w:val="nil"/>
              <w:left w:val="nil"/>
              <w:bottom w:val="nil"/>
              <w:right w:val="nil"/>
            </w:tcBorders>
            <w:shd w:val="clear" w:color="auto" w:fill="auto"/>
            <w:noWrap/>
            <w:vAlign w:val="center"/>
            <w:hideMark/>
          </w:tcPr>
          <w:p w14:paraId="38655F70" w14:textId="41E0E4C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0.42</w:t>
            </w:r>
          </w:p>
        </w:tc>
        <w:tc>
          <w:tcPr>
            <w:tcW w:w="794" w:type="dxa"/>
            <w:tcBorders>
              <w:top w:val="nil"/>
              <w:left w:val="nil"/>
              <w:bottom w:val="nil"/>
              <w:right w:val="single" w:sz="4" w:space="0" w:color="auto"/>
            </w:tcBorders>
            <w:shd w:val="clear" w:color="000000" w:fill="F2F2F2"/>
            <w:noWrap/>
            <w:vAlign w:val="center"/>
            <w:hideMark/>
          </w:tcPr>
          <w:p w14:paraId="240B1E56" w14:textId="31E0F1E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1.10</w:t>
            </w:r>
          </w:p>
        </w:tc>
        <w:tc>
          <w:tcPr>
            <w:tcW w:w="794" w:type="dxa"/>
            <w:tcBorders>
              <w:top w:val="nil"/>
              <w:left w:val="nil"/>
              <w:bottom w:val="nil"/>
              <w:right w:val="nil"/>
            </w:tcBorders>
            <w:shd w:val="clear" w:color="auto" w:fill="auto"/>
            <w:noWrap/>
            <w:vAlign w:val="center"/>
            <w:hideMark/>
          </w:tcPr>
          <w:p w14:paraId="59978A21" w14:textId="08394445"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0.85</w:t>
            </w:r>
          </w:p>
        </w:tc>
        <w:tc>
          <w:tcPr>
            <w:tcW w:w="794" w:type="dxa"/>
            <w:tcBorders>
              <w:top w:val="nil"/>
              <w:left w:val="nil"/>
              <w:bottom w:val="nil"/>
              <w:right w:val="single" w:sz="4" w:space="0" w:color="auto"/>
            </w:tcBorders>
            <w:shd w:val="clear" w:color="000000" w:fill="F2F2F2"/>
            <w:noWrap/>
            <w:vAlign w:val="center"/>
            <w:hideMark/>
          </w:tcPr>
          <w:p w14:paraId="259AF95E" w14:textId="54F5F9E0"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0.80</w:t>
            </w:r>
          </w:p>
        </w:tc>
        <w:tc>
          <w:tcPr>
            <w:tcW w:w="794" w:type="dxa"/>
            <w:tcBorders>
              <w:top w:val="nil"/>
              <w:left w:val="nil"/>
              <w:bottom w:val="nil"/>
              <w:right w:val="nil"/>
            </w:tcBorders>
            <w:shd w:val="clear" w:color="auto" w:fill="auto"/>
            <w:noWrap/>
            <w:vAlign w:val="center"/>
            <w:hideMark/>
          </w:tcPr>
          <w:p w14:paraId="455D5BC5" w14:textId="75F156D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1.12</w:t>
            </w:r>
          </w:p>
        </w:tc>
        <w:tc>
          <w:tcPr>
            <w:tcW w:w="794" w:type="dxa"/>
            <w:tcBorders>
              <w:top w:val="nil"/>
              <w:left w:val="nil"/>
              <w:bottom w:val="nil"/>
              <w:right w:val="single" w:sz="4" w:space="0" w:color="auto"/>
            </w:tcBorders>
            <w:shd w:val="clear" w:color="000000" w:fill="F2F2F2"/>
            <w:noWrap/>
            <w:vAlign w:val="center"/>
            <w:hideMark/>
          </w:tcPr>
          <w:p w14:paraId="29967F7E" w14:textId="016E7B6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0.92</w:t>
            </w:r>
          </w:p>
        </w:tc>
        <w:tc>
          <w:tcPr>
            <w:tcW w:w="794" w:type="dxa"/>
            <w:tcBorders>
              <w:top w:val="nil"/>
              <w:left w:val="nil"/>
              <w:bottom w:val="nil"/>
              <w:right w:val="nil"/>
            </w:tcBorders>
            <w:shd w:val="clear" w:color="auto" w:fill="auto"/>
            <w:noWrap/>
            <w:vAlign w:val="center"/>
            <w:hideMark/>
          </w:tcPr>
          <w:p w14:paraId="0DA5BFF8" w14:textId="395A244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2.02</w:t>
            </w:r>
          </w:p>
        </w:tc>
        <w:tc>
          <w:tcPr>
            <w:tcW w:w="794" w:type="dxa"/>
            <w:tcBorders>
              <w:top w:val="nil"/>
              <w:left w:val="nil"/>
              <w:bottom w:val="nil"/>
              <w:right w:val="single" w:sz="4" w:space="0" w:color="auto"/>
            </w:tcBorders>
            <w:shd w:val="clear" w:color="000000" w:fill="F2F2F2"/>
            <w:noWrap/>
            <w:vAlign w:val="center"/>
            <w:hideMark/>
          </w:tcPr>
          <w:p w14:paraId="2AC2539A" w14:textId="4106A78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0.62</w:t>
            </w:r>
          </w:p>
        </w:tc>
        <w:tc>
          <w:tcPr>
            <w:tcW w:w="794" w:type="dxa"/>
            <w:tcBorders>
              <w:top w:val="nil"/>
              <w:left w:val="nil"/>
              <w:bottom w:val="nil"/>
              <w:right w:val="nil"/>
            </w:tcBorders>
            <w:shd w:val="clear" w:color="auto" w:fill="auto"/>
            <w:noWrap/>
            <w:vAlign w:val="center"/>
            <w:hideMark/>
          </w:tcPr>
          <w:p w14:paraId="7C0E11DC" w14:textId="5DDD400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0.75</w:t>
            </w:r>
          </w:p>
        </w:tc>
        <w:tc>
          <w:tcPr>
            <w:tcW w:w="794" w:type="dxa"/>
            <w:tcBorders>
              <w:top w:val="nil"/>
              <w:left w:val="nil"/>
              <w:bottom w:val="nil"/>
              <w:right w:val="single" w:sz="4" w:space="0" w:color="auto"/>
            </w:tcBorders>
            <w:shd w:val="clear" w:color="000000" w:fill="F2F2F2"/>
            <w:noWrap/>
            <w:vAlign w:val="center"/>
            <w:hideMark/>
          </w:tcPr>
          <w:p w14:paraId="42D019BC" w14:textId="35F3593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1.05</w:t>
            </w:r>
          </w:p>
        </w:tc>
        <w:tc>
          <w:tcPr>
            <w:tcW w:w="794" w:type="dxa"/>
            <w:tcBorders>
              <w:top w:val="nil"/>
              <w:left w:val="nil"/>
              <w:bottom w:val="nil"/>
              <w:right w:val="nil"/>
            </w:tcBorders>
            <w:shd w:val="clear" w:color="auto" w:fill="auto"/>
            <w:noWrap/>
            <w:vAlign w:val="center"/>
            <w:hideMark/>
          </w:tcPr>
          <w:p w14:paraId="44782208" w14:textId="0C53CCB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1.02</w:t>
            </w:r>
          </w:p>
        </w:tc>
        <w:tc>
          <w:tcPr>
            <w:tcW w:w="794" w:type="dxa"/>
            <w:tcBorders>
              <w:top w:val="nil"/>
              <w:left w:val="nil"/>
              <w:bottom w:val="nil"/>
              <w:right w:val="single" w:sz="4" w:space="0" w:color="auto"/>
            </w:tcBorders>
            <w:shd w:val="clear" w:color="000000" w:fill="F2F2F2"/>
            <w:noWrap/>
            <w:vAlign w:val="center"/>
            <w:hideMark/>
          </w:tcPr>
          <w:p w14:paraId="4FBE537D" w14:textId="2B02ABFB"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0.64</w:t>
            </w:r>
          </w:p>
        </w:tc>
        <w:tc>
          <w:tcPr>
            <w:tcW w:w="794" w:type="dxa"/>
            <w:tcBorders>
              <w:top w:val="nil"/>
              <w:left w:val="nil"/>
              <w:bottom w:val="nil"/>
              <w:right w:val="nil"/>
            </w:tcBorders>
            <w:shd w:val="clear" w:color="auto" w:fill="auto"/>
            <w:noWrap/>
            <w:vAlign w:val="center"/>
            <w:hideMark/>
          </w:tcPr>
          <w:p w14:paraId="5395C04B" w14:textId="4B8C9F8D"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1.00</w:t>
            </w:r>
          </w:p>
        </w:tc>
        <w:tc>
          <w:tcPr>
            <w:tcW w:w="794" w:type="dxa"/>
            <w:tcBorders>
              <w:top w:val="nil"/>
              <w:left w:val="nil"/>
              <w:bottom w:val="nil"/>
              <w:right w:val="single" w:sz="4" w:space="0" w:color="auto"/>
            </w:tcBorders>
            <w:shd w:val="clear" w:color="000000" w:fill="F2F2F2"/>
            <w:noWrap/>
            <w:vAlign w:val="center"/>
            <w:hideMark/>
          </w:tcPr>
          <w:p w14:paraId="32FEEDF0" w14:textId="45B75A83"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1.06</w:t>
            </w:r>
          </w:p>
        </w:tc>
      </w:tr>
      <w:tr w:rsidR="002F1955" w:rsidRPr="00E56B73" w14:paraId="59456C09"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4E04D3CD"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Instalment debt</w:t>
            </w:r>
          </w:p>
        </w:tc>
        <w:tc>
          <w:tcPr>
            <w:tcW w:w="794" w:type="dxa"/>
            <w:tcBorders>
              <w:top w:val="nil"/>
              <w:left w:val="nil"/>
              <w:bottom w:val="nil"/>
              <w:right w:val="nil"/>
            </w:tcBorders>
            <w:shd w:val="clear" w:color="auto" w:fill="auto"/>
            <w:noWrap/>
            <w:vAlign w:val="center"/>
            <w:hideMark/>
          </w:tcPr>
          <w:p w14:paraId="2A3E2D06" w14:textId="05D0867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-0.24</w:t>
            </w:r>
          </w:p>
        </w:tc>
        <w:tc>
          <w:tcPr>
            <w:tcW w:w="794" w:type="dxa"/>
            <w:tcBorders>
              <w:top w:val="nil"/>
              <w:left w:val="nil"/>
              <w:bottom w:val="nil"/>
              <w:right w:val="single" w:sz="4" w:space="0" w:color="auto"/>
            </w:tcBorders>
            <w:shd w:val="clear" w:color="000000" w:fill="F2F2F2"/>
            <w:noWrap/>
            <w:vAlign w:val="center"/>
            <w:hideMark/>
          </w:tcPr>
          <w:p w14:paraId="2E5218F2" w14:textId="6678FCD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-0.57</w:t>
            </w:r>
          </w:p>
        </w:tc>
        <w:tc>
          <w:tcPr>
            <w:tcW w:w="794" w:type="dxa"/>
            <w:tcBorders>
              <w:top w:val="nil"/>
              <w:left w:val="nil"/>
              <w:bottom w:val="nil"/>
              <w:right w:val="nil"/>
            </w:tcBorders>
            <w:shd w:val="clear" w:color="auto" w:fill="auto"/>
            <w:noWrap/>
            <w:vAlign w:val="center"/>
            <w:hideMark/>
          </w:tcPr>
          <w:p w14:paraId="1E93C69F" w14:textId="1F9A80DC"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-0.19</w:t>
            </w:r>
          </w:p>
        </w:tc>
        <w:tc>
          <w:tcPr>
            <w:tcW w:w="794" w:type="dxa"/>
            <w:tcBorders>
              <w:top w:val="nil"/>
              <w:left w:val="nil"/>
              <w:bottom w:val="nil"/>
              <w:right w:val="single" w:sz="4" w:space="0" w:color="auto"/>
            </w:tcBorders>
            <w:shd w:val="clear" w:color="000000" w:fill="F2F2F2"/>
            <w:noWrap/>
            <w:vAlign w:val="center"/>
            <w:hideMark/>
          </w:tcPr>
          <w:p w14:paraId="263778E9" w14:textId="23E0AE59"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-0.28</w:t>
            </w:r>
          </w:p>
        </w:tc>
        <w:tc>
          <w:tcPr>
            <w:tcW w:w="794" w:type="dxa"/>
            <w:tcBorders>
              <w:top w:val="nil"/>
              <w:left w:val="nil"/>
              <w:bottom w:val="nil"/>
              <w:right w:val="nil"/>
            </w:tcBorders>
            <w:shd w:val="clear" w:color="auto" w:fill="auto"/>
            <w:noWrap/>
            <w:vAlign w:val="center"/>
            <w:hideMark/>
          </w:tcPr>
          <w:p w14:paraId="3926507F" w14:textId="31E9567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-0.15</w:t>
            </w:r>
          </w:p>
        </w:tc>
        <w:tc>
          <w:tcPr>
            <w:tcW w:w="794" w:type="dxa"/>
            <w:tcBorders>
              <w:top w:val="nil"/>
              <w:left w:val="nil"/>
              <w:bottom w:val="nil"/>
              <w:right w:val="single" w:sz="4" w:space="0" w:color="auto"/>
            </w:tcBorders>
            <w:shd w:val="clear" w:color="000000" w:fill="F2F2F2"/>
            <w:noWrap/>
            <w:vAlign w:val="center"/>
            <w:hideMark/>
          </w:tcPr>
          <w:p w14:paraId="0DEAE76A" w14:textId="77140A3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-0.30</w:t>
            </w:r>
          </w:p>
        </w:tc>
        <w:tc>
          <w:tcPr>
            <w:tcW w:w="794" w:type="dxa"/>
            <w:tcBorders>
              <w:top w:val="nil"/>
              <w:left w:val="nil"/>
              <w:bottom w:val="nil"/>
              <w:right w:val="nil"/>
            </w:tcBorders>
            <w:shd w:val="clear" w:color="auto" w:fill="auto"/>
            <w:noWrap/>
            <w:vAlign w:val="center"/>
            <w:hideMark/>
          </w:tcPr>
          <w:p w14:paraId="07BC87BB" w14:textId="3F21A81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-0.10</w:t>
            </w:r>
          </w:p>
        </w:tc>
        <w:tc>
          <w:tcPr>
            <w:tcW w:w="794" w:type="dxa"/>
            <w:tcBorders>
              <w:top w:val="nil"/>
              <w:left w:val="nil"/>
              <w:bottom w:val="nil"/>
              <w:right w:val="single" w:sz="4" w:space="0" w:color="auto"/>
            </w:tcBorders>
            <w:shd w:val="clear" w:color="000000" w:fill="F2F2F2"/>
            <w:noWrap/>
            <w:vAlign w:val="center"/>
            <w:hideMark/>
          </w:tcPr>
          <w:p w14:paraId="66AFC994" w14:textId="10C4C93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-0.34</w:t>
            </w:r>
          </w:p>
        </w:tc>
        <w:tc>
          <w:tcPr>
            <w:tcW w:w="794" w:type="dxa"/>
            <w:tcBorders>
              <w:top w:val="nil"/>
              <w:left w:val="nil"/>
              <w:bottom w:val="nil"/>
              <w:right w:val="nil"/>
            </w:tcBorders>
            <w:shd w:val="clear" w:color="auto" w:fill="auto"/>
            <w:noWrap/>
            <w:vAlign w:val="center"/>
            <w:hideMark/>
          </w:tcPr>
          <w:p w14:paraId="00D518E6" w14:textId="7200166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-0.10</w:t>
            </w:r>
          </w:p>
        </w:tc>
        <w:tc>
          <w:tcPr>
            <w:tcW w:w="794" w:type="dxa"/>
            <w:tcBorders>
              <w:top w:val="nil"/>
              <w:left w:val="nil"/>
              <w:bottom w:val="nil"/>
              <w:right w:val="single" w:sz="4" w:space="0" w:color="auto"/>
            </w:tcBorders>
            <w:shd w:val="clear" w:color="000000" w:fill="F2F2F2"/>
            <w:noWrap/>
            <w:vAlign w:val="center"/>
            <w:hideMark/>
          </w:tcPr>
          <w:p w14:paraId="0A28D2C6" w14:textId="04CCC25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-0.13</w:t>
            </w:r>
          </w:p>
        </w:tc>
        <w:tc>
          <w:tcPr>
            <w:tcW w:w="794" w:type="dxa"/>
            <w:tcBorders>
              <w:top w:val="nil"/>
              <w:left w:val="nil"/>
              <w:bottom w:val="nil"/>
              <w:right w:val="nil"/>
            </w:tcBorders>
            <w:shd w:val="clear" w:color="auto" w:fill="auto"/>
            <w:noWrap/>
            <w:vAlign w:val="center"/>
            <w:hideMark/>
          </w:tcPr>
          <w:p w14:paraId="5B2AB7A4" w14:textId="0EFB555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-0.07</w:t>
            </w:r>
          </w:p>
        </w:tc>
        <w:tc>
          <w:tcPr>
            <w:tcW w:w="794" w:type="dxa"/>
            <w:tcBorders>
              <w:top w:val="nil"/>
              <w:left w:val="nil"/>
              <w:bottom w:val="nil"/>
              <w:right w:val="single" w:sz="4" w:space="0" w:color="auto"/>
            </w:tcBorders>
            <w:shd w:val="clear" w:color="000000" w:fill="F2F2F2"/>
            <w:noWrap/>
            <w:vAlign w:val="center"/>
            <w:hideMark/>
          </w:tcPr>
          <w:p w14:paraId="10D3FF63" w14:textId="6E9197F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-0.29</w:t>
            </w:r>
          </w:p>
        </w:tc>
        <w:tc>
          <w:tcPr>
            <w:tcW w:w="794" w:type="dxa"/>
            <w:tcBorders>
              <w:top w:val="nil"/>
              <w:left w:val="nil"/>
              <w:bottom w:val="nil"/>
              <w:right w:val="nil"/>
            </w:tcBorders>
            <w:shd w:val="clear" w:color="auto" w:fill="auto"/>
            <w:noWrap/>
            <w:vAlign w:val="center"/>
            <w:hideMark/>
          </w:tcPr>
          <w:p w14:paraId="2FF92ADE" w14:textId="7F02F34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-0.14</w:t>
            </w:r>
          </w:p>
        </w:tc>
        <w:tc>
          <w:tcPr>
            <w:tcW w:w="794" w:type="dxa"/>
            <w:tcBorders>
              <w:top w:val="nil"/>
              <w:left w:val="nil"/>
              <w:bottom w:val="nil"/>
              <w:right w:val="single" w:sz="4" w:space="0" w:color="auto"/>
            </w:tcBorders>
            <w:shd w:val="clear" w:color="000000" w:fill="F2F2F2"/>
            <w:noWrap/>
            <w:vAlign w:val="center"/>
            <w:hideMark/>
          </w:tcPr>
          <w:p w14:paraId="04EE5F71" w14:textId="29FD9B9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-0.44</w:t>
            </w:r>
          </w:p>
        </w:tc>
        <w:tc>
          <w:tcPr>
            <w:tcW w:w="794" w:type="dxa"/>
            <w:tcBorders>
              <w:top w:val="nil"/>
              <w:left w:val="nil"/>
              <w:bottom w:val="nil"/>
              <w:right w:val="nil"/>
            </w:tcBorders>
            <w:shd w:val="clear" w:color="auto" w:fill="auto"/>
            <w:noWrap/>
            <w:vAlign w:val="center"/>
            <w:hideMark/>
          </w:tcPr>
          <w:p w14:paraId="47D02EE4" w14:textId="0DF1E5AF"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-0.24</w:t>
            </w:r>
          </w:p>
        </w:tc>
        <w:tc>
          <w:tcPr>
            <w:tcW w:w="794" w:type="dxa"/>
            <w:tcBorders>
              <w:top w:val="nil"/>
              <w:left w:val="nil"/>
              <w:bottom w:val="nil"/>
              <w:right w:val="single" w:sz="4" w:space="0" w:color="auto"/>
            </w:tcBorders>
            <w:shd w:val="clear" w:color="000000" w:fill="F2F2F2"/>
            <w:noWrap/>
            <w:vAlign w:val="center"/>
            <w:hideMark/>
          </w:tcPr>
          <w:p w14:paraId="18A3CD8D" w14:textId="23EB8F90"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-0.29</w:t>
            </w:r>
          </w:p>
        </w:tc>
        <w:tc>
          <w:tcPr>
            <w:tcW w:w="794" w:type="dxa"/>
            <w:tcBorders>
              <w:top w:val="nil"/>
              <w:left w:val="nil"/>
              <w:bottom w:val="nil"/>
              <w:right w:val="nil"/>
            </w:tcBorders>
            <w:shd w:val="clear" w:color="auto" w:fill="auto"/>
            <w:noWrap/>
            <w:vAlign w:val="center"/>
            <w:hideMark/>
          </w:tcPr>
          <w:p w14:paraId="5F116334" w14:textId="5B4BD20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-0.20</w:t>
            </w:r>
          </w:p>
        </w:tc>
        <w:tc>
          <w:tcPr>
            <w:tcW w:w="794" w:type="dxa"/>
            <w:tcBorders>
              <w:top w:val="nil"/>
              <w:left w:val="nil"/>
              <w:bottom w:val="nil"/>
              <w:right w:val="single" w:sz="4" w:space="0" w:color="auto"/>
            </w:tcBorders>
            <w:shd w:val="clear" w:color="000000" w:fill="F2F2F2"/>
            <w:noWrap/>
            <w:vAlign w:val="center"/>
            <w:hideMark/>
          </w:tcPr>
          <w:p w14:paraId="39179895" w14:textId="3704448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-0.33</w:t>
            </w:r>
          </w:p>
        </w:tc>
      </w:tr>
      <w:tr w:rsidR="002F1955" w:rsidRPr="00E56B73" w14:paraId="5A5ADEEF"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574E824A"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Credit card balances</w:t>
            </w:r>
          </w:p>
        </w:tc>
        <w:tc>
          <w:tcPr>
            <w:tcW w:w="794" w:type="dxa"/>
            <w:tcBorders>
              <w:top w:val="nil"/>
              <w:left w:val="nil"/>
              <w:bottom w:val="nil"/>
              <w:right w:val="nil"/>
            </w:tcBorders>
            <w:shd w:val="clear" w:color="auto" w:fill="auto"/>
            <w:noWrap/>
            <w:vAlign w:val="center"/>
            <w:hideMark/>
          </w:tcPr>
          <w:p w14:paraId="79E935BC" w14:textId="21EFC378"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0.16</w:t>
            </w:r>
          </w:p>
        </w:tc>
        <w:tc>
          <w:tcPr>
            <w:tcW w:w="794" w:type="dxa"/>
            <w:tcBorders>
              <w:top w:val="nil"/>
              <w:left w:val="nil"/>
              <w:bottom w:val="nil"/>
              <w:right w:val="single" w:sz="4" w:space="0" w:color="auto"/>
            </w:tcBorders>
            <w:shd w:val="clear" w:color="000000" w:fill="F2F2F2"/>
            <w:noWrap/>
            <w:vAlign w:val="center"/>
            <w:hideMark/>
          </w:tcPr>
          <w:p w14:paraId="02BF59DF" w14:textId="2D3A3A9A"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0.16</w:t>
            </w:r>
          </w:p>
        </w:tc>
        <w:tc>
          <w:tcPr>
            <w:tcW w:w="794" w:type="dxa"/>
            <w:tcBorders>
              <w:top w:val="nil"/>
              <w:left w:val="nil"/>
              <w:bottom w:val="nil"/>
              <w:right w:val="nil"/>
            </w:tcBorders>
            <w:shd w:val="clear" w:color="auto" w:fill="auto"/>
            <w:noWrap/>
            <w:vAlign w:val="center"/>
            <w:hideMark/>
          </w:tcPr>
          <w:p w14:paraId="01E77B22" w14:textId="10C4A125"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286B86E5" w14:textId="1B2FAD7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-0.19</w:t>
            </w:r>
          </w:p>
        </w:tc>
        <w:tc>
          <w:tcPr>
            <w:tcW w:w="794" w:type="dxa"/>
            <w:tcBorders>
              <w:top w:val="nil"/>
              <w:left w:val="nil"/>
              <w:bottom w:val="nil"/>
              <w:right w:val="nil"/>
            </w:tcBorders>
            <w:shd w:val="clear" w:color="auto" w:fill="auto"/>
            <w:noWrap/>
            <w:vAlign w:val="center"/>
            <w:hideMark/>
          </w:tcPr>
          <w:p w14:paraId="4022CADD" w14:textId="7A212FD0"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-0.08</w:t>
            </w:r>
          </w:p>
        </w:tc>
        <w:tc>
          <w:tcPr>
            <w:tcW w:w="794" w:type="dxa"/>
            <w:tcBorders>
              <w:top w:val="nil"/>
              <w:left w:val="nil"/>
              <w:bottom w:val="nil"/>
              <w:right w:val="single" w:sz="4" w:space="0" w:color="auto"/>
            </w:tcBorders>
            <w:shd w:val="clear" w:color="000000" w:fill="F2F2F2"/>
            <w:noWrap/>
            <w:vAlign w:val="center"/>
            <w:hideMark/>
          </w:tcPr>
          <w:p w14:paraId="11CD6405" w14:textId="7DF3EFF6"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0.03</w:t>
            </w:r>
          </w:p>
        </w:tc>
        <w:tc>
          <w:tcPr>
            <w:tcW w:w="794" w:type="dxa"/>
            <w:tcBorders>
              <w:top w:val="nil"/>
              <w:left w:val="nil"/>
              <w:bottom w:val="nil"/>
              <w:right w:val="nil"/>
            </w:tcBorders>
            <w:shd w:val="clear" w:color="auto" w:fill="auto"/>
            <w:noWrap/>
            <w:vAlign w:val="center"/>
            <w:hideMark/>
          </w:tcPr>
          <w:p w14:paraId="0F82BE3B" w14:textId="3226EA4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-0.06</w:t>
            </w:r>
          </w:p>
        </w:tc>
        <w:tc>
          <w:tcPr>
            <w:tcW w:w="794" w:type="dxa"/>
            <w:tcBorders>
              <w:top w:val="nil"/>
              <w:left w:val="nil"/>
              <w:bottom w:val="nil"/>
              <w:right w:val="single" w:sz="4" w:space="0" w:color="auto"/>
            </w:tcBorders>
            <w:shd w:val="clear" w:color="000000" w:fill="F2F2F2"/>
            <w:noWrap/>
            <w:vAlign w:val="center"/>
            <w:hideMark/>
          </w:tcPr>
          <w:p w14:paraId="25C88991" w14:textId="133CF4C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-0.32</w:t>
            </w:r>
          </w:p>
        </w:tc>
        <w:tc>
          <w:tcPr>
            <w:tcW w:w="794" w:type="dxa"/>
            <w:tcBorders>
              <w:top w:val="nil"/>
              <w:left w:val="nil"/>
              <w:bottom w:val="nil"/>
              <w:right w:val="nil"/>
            </w:tcBorders>
            <w:shd w:val="clear" w:color="auto" w:fill="auto"/>
            <w:noWrap/>
            <w:vAlign w:val="center"/>
            <w:hideMark/>
          </w:tcPr>
          <w:p w14:paraId="195258FE" w14:textId="71FB097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c>
          <w:tcPr>
            <w:tcW w:w="794" w:type="dxa"/>
            <w:tcBorders>
              <w:top w:val="nil"/>
              <w:left w:val="nil"/>
              <w:bottom w:val="nil"/>
              <w:right w:val="single" w:sz="4" w:space="0" w:color="auto"/>
            </w:tcBorders>
            <w:shd w:val="clear" w:color="000000" w:fill="F2F2F2"/>
            <w:noWrap/>
            <w:vAlign w:val="center"/>
            <w:hideMark/>
          </w:tcPr>
          <w:p w14:paraId="072CCF89" w14:textId="2D0B620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-0.21</w:t>
            </w:r>
          </w:p>
        </w:tc>
        <w:tc>
          <w:tcPr>
            <w:tcW w:w="794" w:type="dxa"/>
            <w:tcBorders>
              <w:top w:val="nil"/>
              <w:left w:val="nil"/>
              <w:bottom w:val="nil"/>
              <w:right w:val="nil"/>
            </w:tcBorders>
            <w:shd w:val="clear" w:color="auto" w:fill="auto"/>
            <w:noWrap/>
            <w:vAlign w:val="center"/>
            <w:hideMark/>
          </w:tcPr>
          <w:p w14:paraId="5D226447" w14:textId="3889059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c>
          <w:tcPr>
            <w:tcW w:w="794" w:type="dxa"/>
            <w:tcBorders>
              <w:top w:val="nil"/>
              <w:left w:val="nil"/>
              <w:bottom w:val="nil"/>
              <w:right w:val="single" w:sz="4" w:space="0" w:color="auto"/>
            </w:tcBorders>
            <w:shd w:val="clear" w:color="000000" w:fill="F2F2F2"/>
            <w:noWrap/>
            <w:vAlign w:val="center"/>
            <w:hideMark/>
          </w:tcPr>
          <w:p w14:paraId="0B6DE9C3" w14:textId="0F8D062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-0.17</w:t>
            </w:r>
          </w:p>
        </w:tc>
        <w:tc>
          <w:tcPr>
            <w:tcW w:w="794" w:type="dxa"/>
            <w:tcBorders>
              <w:top w:val="nil"/>
              <w:left w:val="nil"/>
              <w:bottom w:val="nil"/>
              <w:right w:val="nil"/>
            </w:tcBorders>
            <w:shd w:val="clear" w:color="auto" w:fill="auto"/>
            <w:noWrap/>
            <w:vAlign w:val="center"/>
            <w:hideMark/>
          </w:tcPr>
          <w:p w14:paraId="12AD9BE2" w14:textId="06CCE2FC"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-0.09</w:t>
            </w:r>
          </w:p>
        </w:tc>
        <w:tc>
          <w:tcPr>
            <w:tcW w:w="794" w:type="dxa"/>
            <w:tcBorders>
              <w:top w:val="nil"/>
              <w:left w:val="nil"/>
              <w:bottom w:val="nil"/>
              <w:right w:val="single" w:sz="4" w:space="0" w:color="auto"/>
            </w:tcBorders>
            <w:shd w:val="clear" w:color="000000" w:fill="F2F2F2"/>
            <w:noWrap/>
            <w:vAlign w:val="center"/>
            <w:hideMark/>
          </w:tcPr>
          <w:p w14:paraId="2941EFDD" w14:textId="330096A0"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u w:val="single"/>
              </w:rPr>
              <w:t>-0.04</w:t>
            </w:r>
          </w:p>
        </w:tc>
        <w:tc>
          <w:tcPr>
            <w:tcW w:w="794" w:type="dxa"/>
            <w:tcBorders>
              <w:top w:val="nil"/>
              <w:left w:val="nil"/>
              <w:bottom w:val="nil"/>
              <w:right w:val="nil"/>
            </w:tcBorders>
            <w:shd w:val="clear" w:color="auto" w:fill="auto"/>
            <w:noWrap/>
            <w:vAlign w:val="center"/>
            <w:hideMark/>
          </w:tcPr>
          <w:p w14:paraId="619BC50E" w14:textId="54153705" w:rsidR="002F1955" w:rsidRPr="002F1955" w:rsidRDefault="002F1955" w:rsidP="002F1955">
            <w:pPr>
              <w:spacing w:after="0" w:line="240" w:lineRule="auto"/>
              <w:ind w:firstLine="0"/>
              <w:jc w:val="center"/>
              <w:rPr>
                <w:rFonts w:eastAsia="Calibri" w:cs="Times New Roman"/>
                <w:i/>
                <w:iCs/>
                <w:color w:val="000000"/>
                <w:sz w:val="20"/>
                <w:szCs w:val="20"/>
                <w:u w:val="single"/>
              </w:rPr>
            </w:pPr>
            <w:r w:rsidRPr="002F1955">
              <w:rPr>
                <w:i/>
                <w:iCs/>
                <w:color w:val="000000"/>
                <w:sz w:val="20"/>
                <w:szCs w:val="20"/>
                <w:u w:val="single"/>
              </w:rPr>
              <w:t>-0.01</w:t>
            </w:r>
          </w:p>
        </w:tc>
        <w:tc>
          <w:tcPr>
            <w:tcW w:w="794" w:type="dxa"/>
            <w:tcBorders>
              <w:top w:val="nil"/>
              <w:left w:val="nil"/>
              <w:bottom w:val="nil"/>
              <w:right w:val="single" w:sz="4" w:space="0" w:color="auto"/>
            </w:tcBorders>
            <w:shd w:val="clear" w:color="000000" w:fill="F2F2F2"/>
            <w:noWrap/>
            <w:vAlign w:val="center"/>
            <w:hideMark/>
          </w:tcPr>
          <w:p w14:paraId="2FE386C6" w14:textId="2E235F45"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u w:val="single"/>
              </w:rPr>
              <w:t>0.00</w:t>
            </w:r>
          </w:p>
        </w:tc>
        <w:tc>
          <w:tcPr>
            <w:tcW w:w="794" w:type="dxa"/>
            <w:tcBorders>
              <w:top w:val="nil"/>
              <w:left w:val="nil"/>
              <w:bottom w:val="nil"/>
              <w:right w:val="nil"/>
            </w:tcBorders>
            <w:shd w:val="clear" w:color="auto" w:fill="auto"/>
            <w:noWrap/>
            <w:vAlign w:val="center"/>
            <w:hideMark/>
          </w:tcPr>
          <w:p w14:paraId="46B627DB" w14:textId="19153A71"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0.07</w:t>
            </w:r>
          </w:p>
        </w:tc>
        <w:tc>
          <w:tcPr>
            <w:tcW w:w="794" w:type="dxa"/>
            <w:tcBorders>
              <w:top w:val="nil"/>
              <w:left w:val="nil"/>
              <w:bottom w:val="nil"/>
              <w:right w:val="single" w:sz="4" w:space="0" w:color="auto"/>
            </w:tcBorders>
            <w:shd w:val="clear" w:color="000000" w:fill="F2F2F2"/>
            <w:noWrap/>
            <w:vAlign w:val="center"/>
            <w:hideMark/>
          </w:tcPr>
          <w:p w14:paraId="5523D2CD" w14:textId="013090E8"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0.09</w:t>
            </w:r>
          </w:p>
        </w:tc>
      </w:tr>
      <w:tr w:rsidR="002F1955" w:rsidRPr="00E56B73" w14:paraId="7F228A09" w14:textId="77777777" w:rsidTr="002F1955">
        <w:trPr>
          <w:trHeight w:val="227"/>
        </w:trPr>
        <w:tc>
          <w:tcPr>
            <w:tcW w:w="1701" w:type="dxa"/>
            <w:tcBorders>
              <w:top w:val="nil"/>
              <w:left w:val="single" w:sz="4" w:space="0" w:color="auto"/>
              <w:right w:val="single" w:sz="4" w:space="0" w:color="auto"/>
            </w:tcBorders>
            <w:shd w:val="clear" w:color="auto" w:fill="auto"/>
            <w:noWrap/>
            <w:vAlign w:val="bottom"/>
            <w:hideMark/>
          </w:tcPr>
          <w:p w14:paraId="6B275635"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Other types of debt</w:t>
            </w:r>
          </w:p>
        </w:tc>
        <w:tc>
          <w:tcPr>
            <w:tcW w:w="794" w:type="dxa"/>
            <w:tcBorders>
              <w:top w:val="nil"/>
              <w:left w:val="nil"/>
              <w:right w:val="nil"/>
            </w:tcBorders>
            <w:shd w:val="clear" w:color="auto" w:fill="auto"/>
            <w:noWrap/>
            <w:vAlign w:val="center"/>
            <w:hideMark/>
          </w:tcPr>
          <w:p w14:paraId="5F2311DC" w14:textId="3DFF4C1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u w:val="single"/>
              </w:rPr>
              <w:t>0.00</w:t>
            </w:r>
          </w:p>
        </w:tc>
        <w:tc>
          <w:tcPr>
            <w:tcW w:w="794" w:type="dxa"/>
            <w:tcBorders>
              <w:top w:val="nil"/>
              <w:left w:val="nil"/>
              <w:right w:val="single" w:sz="4" w:space="0" w:color="auto"/>
            </w:tcBorders>
            <w:shd w:val="clear" w:color="000000" w:fill="F2F2F2"/>
            <w:noWrap/>
            <w:vAlign w:val="center"/>
            <w:hideMark/>
          </w:tcPr>
          <w:p w14:paraId="5F710042" w14:textId="6217512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u w:val="single"/>
              </w:rPr>
              <w:t>0.20</w:t>
            </w:r>
          </w:p>
        </w:tc>
        <w:tc>
          <w:tcPr>
            <w:tcW w:w="794" w:type="dxa"/>
            <w:tcBorders>
              <w:top w:val="nil"/>
              <w:left w:val="nil"/>
              <w:right w:val="nil"/>
            </w:tcBorders>
            <w:shd w:val="clear" w:color="auto" w:fill="auto"/>
            <w:noWrap/>
            <w:vAlign w:val="center"/>
            <w:hideMark/>
          </w:tcPr>
          <w:p w14:paraId="0D23CDEE" w14:textId="0DFBBF9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0.20</w:t>
            </w:r>
          </w:p>
        </w:tc>
        <w:tc>
          <w:tcPr>
            <w:tcW w:w="794" w:type="dxa"/>
            <w:tcBorders>
              <w:top w:val="nil"/>
              <w:left w:val="nil"/>
              <w:right w:val="single" w:sz="4" w:space="0" w:color="auto"/>
            </w:tcBorders>
            <w:shd w:val="clear" w:color="000000" w:fill="F2F2F2"/>
            <w:noWrap/>
            <w:vAlign w:val="center"/>
            <w:hideMark/>
          </w:tcPr>
          <w:p w14:paraId="319FD0CB" w14:textId="0E3B1C3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0.40</w:t>
            </w:r>
          </w:p>
        </w:tc>
        <w:tc>
          <w:tcPr>
            <w:tcW w:w="794" w:type="dxa"/>
            <w:tcBorders>
              <w:top w:val="nil"/>
              <w:left w:val="nil"/>
              <w:right w:val="nil"/>
            </w:tcBorders>
            <w:shd w:val="clear" w:color="auto" w:fill="auto"/>
            <w:noWrap/>
            <w:vAlign w:val="center"/>
            <w:hideMark/>
          </w:tcPr>
          <w:p w14:paraId="5B19D176" w14:textId="5DE37D2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0.17</w:t>
            </w:r>
          </w:p>
        </w:tc>
        <w:tc>
          <w:tcPr>
            <w:tcW w:w="794" w:type="dxa"/>
            <w:tcBorders>
              <w:top w:val="nil"/>
              <w:left w:val="nil"/>
              <w:right w:val="single" w:sz="4" w:space="0" w:color="auto"/>
            </w:tcBorders>
            <w:shd w:val="clear" w:color="000000" w:fill="F2F2F2"/>
            <w:noWrap/>
            <w:vAlign w:val="center"/>
            <w:hideMark/>
          </w:tcPr>
          <w:p w14:paraId="08859448" w14:textId="1AB0061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-0.17</w:t>
            </w:r>
          </w:p>
        </w:tc>
        <w:tc>
          <w:tcPr>
            <w:tcW w:w="794" w:type="dxa"/>
            <w:tcBorders>
              <w:top w:val="nil"/>
              <w:left w:val="nil"/>
              <w:right w:val="nil"/>
            </w:tcBorders>
            <w:shd w:val="clear" w:color="auto" w:fill="auto"/>
            <w:noWrap/>
            <w:vAlign w:val="center"/>
            <w:hideMark/>
          </w:tcPr>
          <w:p w14:paraId="07963DAA" w14:textId="1128E55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c>
          <w:tcPr>
            <w:tcW w:w="794" w:type="dxa"/>
            <w:tcBorders>
              <w:top w:val="nil"/>
              <w:left w:val="nil"/>
              <w:right w:val="single" w:sz="4" w:space="0" w:color="auto"/>
            </w:tcBorders>
            <w:shd w:val="clear" w:color="000000" w:fill="F2F2F2"/>
            <w:noWrap/>
            <w:vAlign w:val="center"/>
            <w:hideMark/>
          </w:tcPr>
          <w:p w14:paraId="29C85C61" w14:textId="4021E65A"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-0.06</w:t>
            </w:r>
          </w:p>
        </w:tc>
        <w:tc>
          <w:tcPr>
            <w:tcW w:w="794" w:type="dxa"/>
            <w:tcBorders>
              <w:top w:val="nil"/>
              <w:left w:val="nil"/>
              <w:right w:val="nil"/>
            </w:tcBorders>
            <w:shd w:val="clear" w:color="auto" w:fill="auto"/>
            <w:noWrap/>
            <w:vAlign w:val="center"/>
            <w:hideMark/>
          </w:tcPr>
          <w:p w14:paraId="068CC2DE" w14:textId="55360C3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-0.26</w:t>
            </w:r>
          </w:p>
        </w:tc>
        <w:tc>
          <w:tcPr>
            <w:tcW w:w="794" w:type="dxa"/>
            <w:tcBorders>
              <w:top w:val="nil"/>
              <w:left w:val="nil"/>
              <w:right w:val="single" w:sz="4" w:space="0" w:color="auto"/>
            </w:tcBorders>
            <w:shd w:val="clear" w:color="000000" w:fill="F2F2F2"/>
            <w:noWrap/>
            <w:vAlign w:val="center"/>
            <w:hideMark/>
          </w:tcPr>
          <w:p w14:paraId="611C7904" w14:textId="5E7B2A0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-0.23</w:t>
            </w:r>
          </w:p>
        </w:tc>
        <w:tc>
          <w:tcPr>
            <w:tcW w:w="794" w:type="dxa"/>
            <w:tcBorders>
              <w:top w:val="nil"/>
              <w:left w:val="nil"/>
              <w:right w:val="nil"/>
            </w:tcBorders>
            <w:shd w:val="clear" w:color="auto" w:fill="auto"/>
            <w:noWrap/>
            <w:vAlign w:val="center"/>
            <w:hideMark/>
          </w:tcPr>
          <w:p w14:paraId="1C5B7B67" w14:textId="6385F01A"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right w:val="single" w:sz="4" w:space="0" w:color="auto"/>
            </w:tcBorders>
            <w:shd w:val="clear" w:color="000000" w:fill="F2F2F2"/>
            <w:noWrap/>
            <w:vAlign w:val="center"/>
            <w:hideMark/>
          </w:tcPr>
          <w:p w14:paraId="7C99D5F0" w14:textId="061C6FF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0.19</w:t>
            </w:r>
          </w:p>
        </w:tc>
        <w:tc>
          <w:tcPr>
            <w:tcW w:w="794" w:type="dxa"/>
            <w:tcBorders>
              <w:top w:val="nil"/>
              <w:left w:val="nil"/>
              <w:right w:val="nil"/>
            </w:tcBorders>
            <w:shd w:val="clear" w:color="auto" w:fill="auto"/>
            <w:noWrap/>
            <w:vAlign w:val="center"/>
            <w:hideMark/>
          </w:tcPr>
          <w:p w14:paraId="34B148E1" w14:textId="61E02A6C"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-0.02</w:t>
            </w:r>
          </w:p>
        </w:tc>
        <w:tc>
          <w:tcPr>
            <w:tcW w:w="794" w:type="dxa"/>
            <w:tcBorders>
              <w:top w:val="nil"/>
              <w:left w:val="nil"/>
              <w:right w:val="single" w:sz="4" w:space="0" w:color="auto"/>
            </w:tcBorders>
            <w:shd w:val="clear" w:color="000000" w:fill="F2F2F2"/>
            <w:noWrap/>
            <w:vAlign w:val="center"/>
            <w:hideMark/>
          </w:tcPr>
          <w:p w14:paraId="1045C0C6" w14:textId="73145CA4"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-0.03</w:t>
            </w:r>
          </w:p>
        </w:tc>
        <w:tc>
          <w:tcPr>
            <w:tcW w:w="794" w:type="dxa"/>
            <w:tcBorders>
              <w:top w:val="nil"/>
              <w:left w:val="nil"/>
              <w:right w:val="nil"/>
            </w:tcBorders>
            <w:shd w:val="clear" w:color="auto" w:fill="auto"/>
            <w:noWrap/>
            <w:vAlign w:val="center"/>
            <w:hideMark/>
          </w:tcPr>
          <w:p w14:paraId="5F012805" w14:textId="0E3B9F11"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u w:val="single"/>
              </w:rPr>
              <w:t>0.02</w:t>
            </w:r>
          </w:p>
        </w:tc>
        <w:tc>
          <w:tcPr>
            <w:tcW w:w="794" w:type="dxa"/>
            <w:tcBorders>
              <w:top w:val="nil"/>
              <w:left w:val="nil"/>
              <w:right w:val="single" w:sz="4" w:space="0" w:color="auto"/>
            </w:tcBorders>
            <w:shd w:val="clear" w:color="000000" w:fill="F2F2F2"/>
            <w:noWrap/>
            <w:vAlign w:val="center"/>
            <w:hideMark/>
          </w:tcPr>
          <w:p w14:paraId="4A693B95" w14:textId="07A97669"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u w:val="single"/>
              </w:rPr>
              <w:t>0.00</w:t>
            </w:r>
          </w:p>
        </w:tc>
        <w:tc>
          <w:tcPr>
            <w:tcW w:w="794" w:type="dxa"/>
            <w:tcBorders>
              <w:top w:val="nil"/>
              <w:left w:val="nil"/>
              <w:right w:val="nil"/>
            </w:tcBorders>
            <w:shd w:val="clear" w:color="auto" w:fill="auto"/>
            <w:noWrap/>
            <w:vAlign w:val="center"/>
            <w:hideMark/>
          </w:tcPr>
          <w:p w14:paraId="421F8EF5" w14:textId="55E26CA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c>
          <w:tcPr>
            <w:tcW w:w="794" w:type="dxa"/>
            <w:tcBorders>
              <w:top w:val="nil"/>
              <w:left w:val="nil"/>
              <w:right w:val="single" w:sz="4" w:space="0" w:color="auto"/>
            </w:tcBorders>
            <w:shd w:val="clear" w:color="000000" w:fill="F2F2F2"/>
            <w:noWrap/>
            <w:vAlign w:val="center"/>
            <w:hideMark/>
          </w:tcPr>
          <w:p w14:paraId="4FBC1FF3" w14:textId="4E05816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-0.01</w:t>
            </w:r>
          </w:p>
        </w:tc>
      </w:tr>
      <w:tr w:rsidR="002F1955" w:rsidRPr="00E56B73" w14:paraId="0BEA4DDF"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B167686" w14:textId="77777777" w:rsidR="002F1955" w:rsidRPr="00E56B73"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57CDEB3D" w14:textId="3735D57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1,905</w:t>
            </w:r>
          </w:p>
        </w:tc>
        <w:tc>
          <w:tcPr>
            <w:tcW w:w="794" w:type="dxa"/>
            <w:tcBorders>
              <w:top w:val="nil"/>
              <w:left w:val="nil"/>
              <w:bottom w:val="single" w:sz="4" w:space="0" w:color="auto"/>
              <w:right w:val="single" w:sz="4" w:space="0" w:color="auto"/>
            </w:tcBorders>
            <w:shd w:val="clear" w:color="000000" w:fill="F2F2F2"/>
            <w:noWrap/>
            <w:vAlign w:val="center"/>
            <w:hideMark/>
          </w:tcPr>
          <w:p w14:paraId="11C6670B" w14:textId="329E4EE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1,066</w:t>
            </w:r>
          </w:p>
        </w:tc>
        <w:tc>
          <w:tcPr>
            <w:tcW w:w="794" w:type="dxa"/>
            <w:tcBorders>
              <w:top w:val="nil"/>
              <w:left w:val="nil"/>
              <w:bottom w:val="single" w:sz="4" w:space="0" w:color="auto"/>
              <w:right w:val="nil"/>
            </w:tcBorders>
            <w:shd w:val="clear" w:color="auto" w:fill="auto"/>
            <w:noWrap/>
            <w:vAlign w:val="center"/>
            <w:hideMark/>
          </w:tcPr>
          <w:p w14:paraId="036BC959" w14:textId="5E6DC70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2,523</w:t>
            </w:r>
          </w:p>
        </w:tc>
        <w:tc>
          <w:tcPr>
            <w:tcW w:w="794" w:type="dxa"/>
            <w:tcBorders>
              <w:top w:val="nil"/>
              <w:left w:val="nil"/>
              <w:bottom w:val="single" w:sz="4" w:space="0" w:color="auto"/>
              <w:right w:val="single" w:sz="4" w:space="0" w:color="auto"/>
            </w:tcBorders>
            <w:shd w:val="clear" w:color="000000" w:fill="F2F2F2"/>
            <w:noWrap/>
            <w:vAlign w:val="center"/>
            <w:hideMark/>
          </w:tcPr>
          <w:p w14:paraId="5917FF39" w14:textId="19B8776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1,682</w:t>
            </w:r>
          </w:p>
        </w:tc>
        <w:tc>
          <w:tcPr>
            <w:tcW w:w="794" w:type="dxa"/>
            <w:tcBorders>
              <w:top w:val="nil"/>
              <w:left w:val="nil"/>
              <w:bottom w:val="single" w:sz="4" w:space="0" w:color="auto"/>
              <w:right w:val="nil"/>
            </w:tcBorders>
            <w:shd w:val="clear" w:color="auto" w:fill="auto"/>
            <w:noWrap/>
            <w:vAlign w:val="center"/>
            <w:hideMark/>
          </w:tcPr>
          <w:p w14:paraId="08A707C6" w14:textId="7CFBF94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2,797</w:t>
            </w:r>
          </w:p>
        </w:tc>
        <w:tc>
          <w:tcPr>
            <w:tcW w:w="794" w:type="dxa"/>
            <w:tcBorders>
              <w:top w:val="nil"/>
              <w:left w:val="nil"/>
              <w:bottom w:val="single" w:sz="4" w:space="0" w:color="auto"/>
              <w:right w:val="single" w:sz="4" w:space="0" w:color="auto"/>
            </w:tcBorders>
            <w:shd w:val="clear" w:color="000000" w:fill="F2F2F2"/>
            <w:noWrap/>
            <w:vAlign w:val="center"/>
            <w:hideMark/>
          </w:tcPr>
          <w:p w14:paraId="0AE1F726" w14:textId="79F0CB2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1,831</w:t>
            </w:r>
          </w:p>
        </w:tc>
        <w:tc>
          <w:tcPr>
            <w:tcW w:w="794" w:type="dxa"/>
            <w:tcBorders>
              <w:top w:val="nil"/>
              <w:left w:val="nil"/>
              <w:bottom w:val="single" w:sz="4" w:space="0" w:color="auto"/>
              <w:right w:val="nil"/>
            </w:tcBorders>
            <w:shd w:val="clear" w:color="auto" w:fill="auto"/>
            <w:noWrap/>
            <w:vAlign w:val="center"/>
            <w:hideMark/>
          </w:tcPr>
          <w:p w14:paraId="19D31378" w14:textId="5B4D5B1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2,724</w:t>
            </w:r>
          </w:p>
        </w:tc>
        <w:tc>
          <w:tcPr>
            <w:tcW w:w="794" w:type="dxa"/>
            <w:tcBorders>
              <w:top w:val="nil"/>
              <w:left w:val="nil"/>
              <w:bottom w:val="single" w:sz="4" w:space="0" w:color="auto"/>
              <w:right w:val="single" w:sz="4" w:space="0" w:color="auto"/>
            </w:tcBorders>
            <w:shd w:val="clear" w:color="000000" w:fill="F2F2F2"/>
            <w:noWrap/>
            <w:vAlign w:val="center"/>
            <w:hideMark/>
          </w:tcPr>
          <w:p w14:paraId="519EB1F1" w14:textId="69788ED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1,993</w:t>
            </w:r>
          </w:p>
        </w:tc>
        <w:tc>
          <w:tcPr>
            <w:tcW w:w="794" w:type="dxa"/>
            <w:tcBorders>
              <w:top w:val="nil"/>
              <w:left w:val="nil"/>
              <w:bottom w:val="single" w:sz="4" w:space="0" w:color="auto"/>
              <w:right w:val="nil"/>
            </w:tcBorders>
            <w:shd w:val="clear" w:color="auto" w:fill="auto"/>
            <w:noWrap/>
            <w:vAlign w:val="center"/>
            <w:hideMark/>
          </w:tcPr>
          <w:p w14:paraId="501D521A" w14:textId="6EFB106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2,861</w:t>
            </w:r>
          </w:p>
        </w:tc>
        <w:tc>
          <w:tcPr>
            <w:tcW w:w="794" w:type="dxa"/>
            <w:tcBorders>
              <w:top w:val="nil"/>
              <w:left w:val="nil"/>
              <w:bottom w:val="single" w:sz="4" w:space="0" w:color="auto"/>
              <w:right w:val="single" w:sz="4" w:space="0" w:color="auto"/>
            </w:tcBorders>
            <w:shd w:val="clear" w:color="000000" w:fill="F2F2F2"/>
            <w:noWrap/>
            <w:vAlign w:val="center"/>
            <w:hideMark/>
          </w:tcPr>
          <w:p w14:paraId="0FE38A56" w14:textId="2F5ABCD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1,810</w:t>
            </w:r>
          </w:p>
        </w:tc>
        <w:tc>
          <w:tcPr>
            <w:tcW w:w="794" w:type="dxa"/>
            <w:tcBorders>
              <w:top w:val="nil"/>
              <w:left w:val="nil"/>
              <w:bottom w:val="single" w:sz="4" w:space="0" w:color="auto"/>
              <w:right w:val="nil"/>
            </w:tcBorders>
            <w:shd w:val="clear" w:color="auto" w:fill="auto"/>
            <w:noWrap/>
            <w:vAlign w:val="center"/>
            <w:hideMark/>
          </w:tcPr>
          <w:p w14:paraId="273EC562" w14:textId="0060A72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3,187</w:t>
            </w:r>
          </w:p>
        </w:tc>
        <w:tc>
          <w:tcPr>
            <w:tcW w:w="794" w:type="dxa"/>
            <w:tcBorders>
              <w:top w:val="nil"/>
              <w:left w:val="nil"/>
              <w:bottom w:val="single" w:sz="4" w:space="0" w:color="auto"/>
              <w:right w:val="single" w:sz="4" w:space="0" w:color="auto"/>
            </w:tcBorders>
            <w:shd w:val="clear" w:color="000000" w:fill="F2F2F2"/>
            <w:noWrap/>
            <w:vAlign w:val="center"/>
            <w:hideMark/>
          </w:tcPr>
          <w:p w14:paraId="2E2706A9" w14:textId="56B6C06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2,018</w:t>
            </w:r>
          </w:p>
        </w:tc>
        <w:tc>
          <w:tcPr>
            <w:tcW w:w="794" w:type="dxa"/>
            <w:tcBorders>
              <w:top w:val="nil"/>
              <w:left w:val="nil"/>
              <w:bottom w:val="single" w:sz="4" w:space="0" w:color="auto"/>
              <w:right w:val="nil"/>
            </w:tcBorders>
            <w:shd w:val="clear" w:color="auto" w:fill="auto"/>
            <w:noWrap/>
            <w:vAlign w:val="center"/>
            <w:hideMark/>
          </w:tcPr>
          <w:p w14:paraId="2A3754DE" w14:textId="4E8D8CC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2,933</w:t>
            </w:r>
          </w:p>
        </w:tc>
        <w:tc>
          <w:tcPr>
            <w:tcW w:w="794" w:type="dxa"/>
            <w:tcBorders>
              <w:top w:val="nil"/>
              <w:left w:val="nil"/>
              <w:bottom w:val="single" w:sz="4" w:space="0" w:color="auto"/>
              <w:right w:val="single" w:sz="4" w:space="0" w:color="auto"/>
            </w:tcBorders>
            <w:shd w:val="clear" w:color="000000" w:fill="F2F2F2"/>
            <w:noWrap/>
            <w:vAlign w:val="center"/>
            <w:hideMark/>
          </w:tcPr>
          <w:p w14:paraId="27BF8977" w14:textId="0B6F5CF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1,861</w:t>
            </w:r>
          </w:p>
        </w:tc>
        <w:tc>
          <w:tcPr>
            <w:tcW w:w="794" w:type="dxa"/>
            <w:tcBorders>
              <w:top w:val="nil"/>
              <w:left w:val="nil"/>
              <w:bottom w:val="single" w:sz="4" w:space="0" w:color="auto"/>
              <w:right w:val="nil"/>
            </w:tcBorders>
            <w:shd w:val="clear" w:color="auto" w:fill="auto"/>
            <w:noWrap/>
            <w:vAlign w:val="center"/>
            <w:hideMark/>
          </w:tcPr>
          <w:p w14:paraId="7A095246" w14:textId="0BDB38E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4,854</w:t>
            </w:r>
          </w:p>
        </w:tc>
        <w:tc>
          <w:tcPr>
            <w:tcW w:w="794" w:type="dxa"/>
            <w:tcBorders>
              <w:top w:val="nil"/>
              <w:left w:val="nil"/>
              <w:bottom w:val="single" w:sz="4" w:space="0" w:color="auto"/>
              <w:right w:val="single" w:sz="4" w:space="0" w:color="auto"/>
            </w:tcBorders>
            <w:shd w:val="clear" w:color="000000" w:fill="F2F2F2"/>
            <w:noWrap/>
            <w:vAlign w:val="center"/>
            <w:hideMark/>
          </w:tcPr>
          <w:p w14:paraId="52A64289" w14:textId="4FA996E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2,993</w:t>
            </w:r>
          </w:p>
        </w:tc>
        <w:tc>
          <w:tcPr>
            <w:tcW w:w="794" w:type="dxa"/>
            <w:tcBorders>
              <w:top w:val="nil"/>
              <w:left w:val="nil"/>
              <w:bottom w:val="single" w:sz="4" w:space="0" w:color="auto"/>
              <w:right w:val="nil"/>
            </w:tcBorders>
            <w:shd w:val="clear" w:color="auto" w:fill="auto"/>
            <w:noWrap/>
            <w:vAlign w:val="center"/>
            <w:hideMark/>
          </w:tcPr>
          <w:p w14:paraId="4F536C64" w14:textId="080C3C6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4,569</w:t>
            </w:r>
          </w:p>
        </w:tc>
        <w:tc>
          <w:tcPr>
            <w:tcW w:w="794" w:type="dxa"/>
            <w:tcBorders>
              <w:top w:val="nil"/>
              <w:left w:val="nil"/>
              <w:bottom w:val="single" w:sz="4" w:space="0" w:color="auto"/>
              <w:right w:val="single" w:sz="4" w:space="0" w:color="auto"/>
            </w:tcBorders>
            <w:shd w:val="clear" w:color="000000" w:fill="F2F2F2"/>
            <w:noWrap/>
            <w:vAlign w:val="center"/>
            <w:hideMark/>
          </w:tcPr>
          <w:p w14:paraId="4E722460" w14:textId="5317F58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2,715</w:t>
            </w:r>
          </w:p>
        </w:tc>
      </w:tr>
      <w:tr w:rsidR="00E56B73" w:rsidRPr="00E56B73" w14:paraId="1B7A4FB7" w14:textId="77777777" w:rsidTr="00E56B73">
        <w:trPr>
          <w:trHeight w:val="227"/>
        </w:trPr>
        <w:tc>
          <w:tcPr>
            <w:tcW w:w="1599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A1311" w14:textId="77777777" w:rsidR="00E56B73" w:rsidRPr="00E56B73" w:rsidRDefault="00E56B73" w:rsidP="00E56B73">
            <w:pPr>
              <w:spacing w:before="80" w:after="2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b/>
                <w:bCs/>
                <w:color w:val="000000"/>
                <w:sz w:val="20"/>
                <w:szCs w:val="20"/>
              </w:rPr>
              <w:t>Leverage measures</w:t>
            </w:r>
          </w:p>
        </w:tc>
      </w:tr>
      <w:tr w:rsidR="002F1955" w:rsidRPr="00E56B73" w14:paraId="543835B2"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3E50DF78"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 xml:space="preserve">Debt-service-to-income ratio </w:t>
            </w:r>
          </w:p>
        </w:tc>
        <w:tc>
          <w:tcPr>
            <w:tcW w:w="794" w:type="dxa"/>
            <w:tcBorders>
              <w:top w:val="single" w:sz="4" w:space="0" w:color="auto"/>
              <w:left w:val="nil"/>
              <w:bottom w:val="nil"/>
              <w:right w:val="nil"/>
            </w:tcBorders>
            <w:shd w:val="clear" w:color="auto" w:fill="auto"/>
            <w:noWrap/>
            <w:vAlign w:val="center"/>
            <w:hideMark/>
          </w:tcPr>
          <w:p w14:paraId="3F99DD14" w14:textId="7C25115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77.67</w:t>
            </w:r>
          </w:p>
        </w:tc>
        <w:tc>
          <w:tcPr>
            <w:tcW w:w="794" w:type="dxa"/>
            <w:tcBorders>
              <w:top w:val="single" w:sz="4" w:space="0" w:color="auto"/>
              <w:left w:val="nil"/>
              <w:bottom w:val="nil"/>
              <w:right w:val="single" w:sz="4" w:space="0" w:color="auto"/>
            </w:tcBorders>
            <w:shd w:val="clear" w:color="000000" w:fill="F2F2F2"/>
            <w:noWrap/>
            <w:vAlign w:val="center"/>
            <w:hideMark/>
          </w:tcPr>
          <w:p w14:paraId="0CC323FB" w14:textId="4BD8831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161.56</w:t>
            </w:r>
          </w:p>
        </w:tc>
        <w:tc>
          <w:tcPr>
            <w:tcW w:w="794" w:type="dxa"/>
            <w:tcBorders>
              <w:top w:val="single" w:sz="4" w:space="0" w:color="auto"/>
              <w:left w:val="nil"/>
              <w:bottom w:val="nil"/>
              <w:right w:val="nil"/>
            </w:tcBorders>
            <w:shd w:val="clear" w:color="auto" w:fill="auto"/>
            <w:noWrap/>
            <w:vAlign w:val="center"/>
            <w:hideMark/>
          </w:tcPr>
          <w:p w14:paraId="35481440" w14:textId="1472C43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90.41</w:t>
            </w:r>
          </w:p>
        </w:tc>
        <w:tc>
          <w:tcPr>
            <w:tcW w:w="794" w:type="dxa"/>
            <w:tcBorders>
              <w:top w:val="single" w:sz="4" w:space="0" w:color="auto"/>
              <w:left w:val="nil"/>
              <w:bottom w:val="nil"/>
              <w:right w:val="single" w:sz="4" w:space="0" w:color="auto"/>
            </w:tcBorders>
            <w:shd w:val="clear" w:color="000000" w:fill="F2F2F2"/>
            <w:noWrap/>
            <w:vAlign w:val="center"/>
            <w:hideMark/>
          </w:tcPr>
          <w:p w14:paraId="293D9A57" w14:textId="6AE6511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72.83</w:t>
            </w:r>
          </w:p>
        </w:tc>
        <w:tc>
          <w:tcPr>
            <w:tcW w:w="794" w:type="dxa"/>
            <w:tcBorders>
              <w:top w:val="single" w:sz="4" w:space="0" w:color="auto"/>
              <w:left w:val="nil"/>
              <w:bottom w:val="nil"/>
              <w:right w:val="nil"/>
            </w:tcBorders>
            <w:shd w:val="clear" w:color="auto" w:fill="auto"/>
            <w:noWrap/>
            <w:vAlign w:val="center"/>
            <w:hideMark/>
          </w:tcPr>
          <w:p w14:paraId="3B56D332" w14:textId="5FE2B740"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74.53</w:t>
            </w:r>
          </w:p>
        </w:tc>
        <w:tc>
          <w:tcPr>
            <w:tcW w:w="794" w:type="dxa"/>
            <w:tcBorders>
              <w:top w:val="single" w:sz="4" w:space="0" w:color="auto"/>
              <w:left w:val="nil"/>
              <w:bottom w:val="nil"/>
              <w:right w:val="single" w:sz="4" w:space="0" w:color="auto"/>
            </w:tcBorders>
            <w:shd w:val="clear" w:color="000000" w:fill="F2F2F2"/>
            <w:noWrap/>
            <w:vAlign w:val="center"/>
            <w:hideMark/>
          </w:tcPr>
          <w:p w14:paraId="0CF10BF8" w14:textId="7A399E9A"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98.40</w:t>
            </w:r>
          </w:p>
        </w:tc>
        <w:tc>
          <w:tcPr>
            <w:tcW w:w="794" w:type="dxa"/>
            <w:tcBorders>
              <w:top w:val="single" w:sz="4" w:space="0" w:color="auto"/>
              <w:left w:val="nil"/>
              <w:bottom w:val="nil"/>
              <w:right w:val="nil"/>
            </w:tcBorders>
            <w:shd w:val="clear" w:color="auto" w:fill="auto"/>
            <w:noWrap/>
            <w:vAlign w:val="center"/>
            <w:hideMark/>
          </w:tcPr>
          <w:p w14:paraId="1664E4AA" w14:textId="33EC424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74.13</w:t>
            </w:r>
          </w:p>
        </w:tc>
        <w:tc>
          <w:tcPr>
            <w:tcW w:w="794" w:type="dxa"/>
            <w:tcBorders>
              <w:top w:val="single" w:sz="4" w:space="0" w:color="auto"/>
              <w:left w:val="nil"/>
              <w:bottom w:val="nil"/>
              <w:right w:val="single" w:sz="4" w:space="0" w:color="auto"/>
            </w:tcBorders>
            <w:shd w:val="clear" w:color="000000" w:fill="F2F2F2"/>
            <w:noWrap/>
            <w:vAlign w:val="center"/>
            <w:hideMark/>
          </w:tcPr>
          <w:p w14:paraId="37A510BF" w14:textId="620A4A4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123.64</w:t>
            </w:r>
          </w:p>
        </w:tc>
        <w:tc>
          <w:tcPr>
            <w:tcW w:w="794" w:type="dxa"/>
            <w:tcBorders>
              <w:top w:val="single" w:sz="4" w:space="0" w:color="auto"/>
              <w:left w:val="nil"/>
              <w:bottom w:val="nil"/>
              <w:right w:val="nil"/>
            </w:tcBorders>
            <w:shd w:val="clear" w:color="auto" w:fill="auto"/>
            <w:noWrap/>
            <w:vAlign w:val="center"/>
            <w:hideMark/>
          </w:tcPr>
          <w:p w14:paraId="528031B3" w14:textId="2AD71273"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68.41</w:t>
            </w:r>
          </w:p>
        </w:tc>
        <w:tc>
          <w:tcPr>
            <w:tcW w:w="794" w:type="dxa"/>
            <w:tcBorders>
              <w:top w:val="single" w:sz="4" w:space="0" w:color="auto"/>
              <w:left w:val="nil"/>
              <w:bottom w:val="nil"/>
              <w:right w:val="single" w:sz="4" w:space="0" w:color="auto"/>
            </w:tcBorders>
            <w:shd w:val="clear" w:color="000000" w:fill="F2F2F2"/>
            <w:noWrap/>
            <w:vAlign w:val="center"/>
            <w:hideMark/>
          </w:tcPr>
          <w:p w14:paraId="1AFF705A" w14:textId="419A0D23" w:rsidR="002F1955" w:rsidRPr="002F1955" w:rsidRDefault="002F1955" w:rsidP="002F1955">
            <w:pPr>
              <w:spacing w:after="0" w:line="240" w:lineRule="auto"/>
              <w:ind w:firstLine="0"/>
              <w:jc w:val="center"/>
              <w:rPr>
                <w:rFonts w:eastAsia="Calibri" w:cs="Times New Roman"/>
                <w:i/>
                <w:iCs/>
                <w:color w:val="000000"/>
                <w:sz w:val="20"/>
                <w:szCs w:val="20"/>
                <w:u w:val="single"/>
              </w:rPr>
            </w:pPr>
            <w:r w:rsidRPr="002F1955">
              <w:rPr>
                <w:color w:val="000000"/>
                <w:sz w:val="20"/>
                <w:szCs w:val="20"/>
              </w:rPr>
              <w:t>85.58</w:t>
            </w:r>
          </w:p>
        </w:tc>
        <w:tc>
          <w:tcPr>
            <w:tcW w:w="794" w:type="dxa"/>
            <w:tcBorders>
              <w:top w:val="single" w:sz="4" w:space="0" w:color="auto"/>
              <w:left w:val="nil"/>
              <w:bottom w:val="nil"/>
              <w:right w:val="nil"/>
            </w:tcBorders>
            <w:shd w:val="clear" w:color="auto" w:fill="auto"/>
            <w:noWrap/>
            <w:vAlign w:val="center"/>
            <w:hideMark/>
          </w:tcPr>
          <w:p w14:paraId="5485FBBE" w14:textId="0F70762B"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64.71</w:t>
            </w:r>
          </w:p>
        </w:tc>
        <w:tc>
          <w:tcPr>
            <w:tcW w:w="794" w:type="dxa"/>
            <w:tcBorders>
              <w:top w:val="single" w:sz="4" w:space="0" w:color="auto"/>
              <w:left w:val="nil"/>
              <w:bottom w:val="nil"/>
              <w:right w:val="single" w:sz="4" w:space="0" w:color="auto"/>
            </w:tcBorders>
            <w:shd w:val="clear" w:color="000000" w:fill="F2F2F2"/>
            <w:noWrap/>
            <w:vAlign w:val="center"/>
            <w:hideMark/>
          </w:tcPr>
          <w:p w14:paraId="33179A11" w14:textId="7A15BA6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57.91</w:t>
            </w:r>
          </w:p>
        </w:tc>
        <w:tc>
          <w:tcPr>
            <w:tcW w:w="794" w:type="dxa"/>
            <w:tcBorders>
              <w:top w:val="single" w:sz="4" w:space="0" w:color="auto"/>
              <w:left w:val="nil"/>
              <w:bottom w:val="nil"/>
              <w:right w:val="nil"/>
            </w:tcBorders>
            <w:shd w:val="clear" w:color="auto" w:fill="auto"/>
            <w:noWrap/>
            <w:vAlign w:val="center"/>
            <w:hideMark/>
          </w:tcPr>
          <w:p w14:paraId="2B7E4330" w14:textId="002217F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65.21</w:t>
            </w:r>
          </w:p>
        </w:tc>
        <w:tc>
          <w:tcPr>
            <w:tcW w:w="794" w:type="dxa"/>
            <w:tcBorders>
              <w:top w:val="single" w:sz="4" w:space="0" w:color="auto"/>
              <w:left w:val="nil"/>
              <w:bottom w:val="nil"/>
              <w:right w:val="single" w:sz="4" w:space="0" w:color="auto"/>
            </w:tcBorders>
            <w:shd w:val="clear" w:color="000000" w:fill="F2F2F2"/>
            <w:noWrap/>
            <w:vAlign w:val="center"/>
            <w:hideMark/>
          </w:tcPr>
          <w:p w14:paraId="25E44714" w14:textId="5E521A8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107.90</w:t>
            </w:r>
          </w:p>
        </w:tc>
        <w:tc>
          <w:tcPr>
            <w:tcW w:w="794" w:type="dxa"/>
            <w:tcBorders>
              <w:top w:val="single" w:sz="4" w:space="0" w:color="auto"/>
              <w:left w:val="nil"/>
              <w:bottom w:val="nil"/>
              <w:right w:val="nil"/>
            </w:tcBorders>
            <w:shd w:val="clear" w:color="auto" w:fill="auto"/>
            <w:noWrap/>
            <w:vAlign w:val="center"/>
            <w:hideMark/>
          </w:tcPr>
          <w:p w14:paraId="41879E69" w14:textId="5D359FB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64.62</w:t>
            </w:r>
          </w:p>
        </w:tc>
        <w:tc>
          <w:tcPr>
            <w:tcW w:w="794" w:type="dxa"/>
            <w:tcBorders>
              <w:top w:val="single" w:sz="4" w:space="0" w:color="auto"/>
              <w:left w:val="nil"/>
              <w:bottom w:val="nil"/>
              <w:right w:val="single" w:sz="4" w:space="0" w:color="auto"/>
            </w:tcBorders>
            <w:shd w:val="clear" w:color="000000" w:fill="F2F2F2"/>
            <w:noWrap/>
            <w:vAlign w:val="center"/>
            <w:hideMark/>
          </w:tcPr>
          <w:p w14:paraId="0AD4FB50" w14:textId="4C1F1BC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102.49</w:t>
            </w:r>
          </w:p>
        </w:tc>
        <w:tc>
          <w:tcPr>
            <w:tcW w:w="794" w:type="dxa"/>
            <w:tcBorders>
              <w:top w:val="single" w:sz="4" w:space="0" w:color="auto"/>
              <w:left w:val="nil"/>
              <w:bottom w:val="nil"/>
              <w:right w:val="nil"/>
            </w:tcBorders>
            <w:shd w:val="clear" w:color="auto" w:fill="auto"/>
            <w:noWrap/>
            <w:vAlign w:val="center"/>
            <w:hideMark/>
          </w:tcPr>
          <w:p w14:paraId="27B9E562" w14:textId="353B168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67.78</w:t>
            </w:r>
          </w:p>
        </w:tc>
        <w:tc>
          <w:tcPr>
            <w:tcW w:w="794" w:type="dxa"/>
            <w:tcBorders>
              <w:top w:val="single" w:sz="4" w:space="0" w:color="auto"/>
              <w:left w:val="nil"/>
              <w:bottom w:val="nil"/>
              <w:right w:val="single" w:sz="4" w:space="0" w:color="auto"/>
            </w:tcBorders>
            <w:shd w:val="clear" w:color="000000" w:fill="F2F2F2"/>
            <w:noWrap/>
            <w:vAlign w:val="center"/>
            <w:hideMark/>
          </w:tcPr>
          <w:p w14:paraId="21A1B8B8" w14:textId="54FE3B7C"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77.21</w:t>
            </w:r>
          </w:p>
        </w:tc>
      </w:tr>
      <w:tr w:rsidR="002F1955" w:rsidRPr="00E56B73" w14:paraId="45D888B9"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0B70D91D"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Debt-to-asset ratio</w:t>
            </w:r>
          </w:p>
        </w:tc>
        <w:tc>
          <w:tcPr>
            <w:tcW w:w="794" w:type="dxa"/>
            <w:tcBorders>
              <w:top w:val="nil"/>
              <w:left w:val="nil"/>
              <w:bottom w:val="nil"/>
              <w:right w:val="nil"/>
            </w:tcBorders>
            <w:shd w:val="clear" w:color="auto" w:fill="auto"/>
            <w:noWrap/>
            <w:vAlign w:val="center"/>
            <w:hideMark/>
          </w:tcPr>
          <w:p w14:paraId="0345F326" w14:textId="14AE416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17.39</w:t>
            </w:r>
          </w:p>
        </w:tc>
        <w:tc>
          <w:tcPr>
            <w:tcW w:w="794" w:type="dxa"/>
            <w:tcBorders>
              <w:top w:val="nil"/>
              <w:left w:val="nil"/>
              <w:bottom w:val="nil"/>
              <w:right w:val="single" w:sz="4" w:space="0" w:color="auto"/>
            </w:tcBorders>
            <w:shd w:val="clear" w:color="000000" w:fill="F2F2F2"/>
            <w:noWrap/>
            <w:vAlign w:val="center"/>
            <w:hideMark/>
          </w:tcPr>
          <w:p w14:paraId="2D8DA277" w14:textId="795FF7A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45.11</w:t>
            </w:r>
          </w:p>
        </w:tc>
        <w:tc>
          <w:tcPr>
            <w:tcW w:w="794" w:type="dxa"/>
            <w:tcBorders>
              <w:top w:val="nil"/>
              <w:left w:val="nil"/>
              <w:bottom w:val="nil"/>
              <w:right w:val="nil"/>
            </w:tcBorders>
            <w:shd w:val="clear" w:color="auto" w:fill="auto"/>
            <w:noWrap/>
            <w:vAlign w:val="center"/>
            <w:hideMark/>
          </w:tcPr>
          <w:p w14:paraId="2D9E88C6" w14:textId="1FD7F07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29.46</w:t>
            </w:r>
          </w:p>
        </w:tc>
        <w:tc>
          <w:tcPr>
            <w:tcW w:w="794" w:type="dxa"/>
            <w:tcBorders>
              <w:top w:val="nil"/>
              <w:left w:val="nil"/>
              <w:bottom w:val="nil"/>
              <w:right w:val="single" w:sz="4" w:space="0" w:color="auto"/>
            </w:tcBorders>
            <w:shd w:val="clear" w:color="000000" w:fill="F2F2F2"/>
            <w:noWrap/>
            <w:vAlign w:val="center"/>
            <w:hideMark/>
          </w:tcPr>
          <w:p w14:paraId="35F1E0BB" w14:textId="70DEB48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12.62</w:t>
            </w:r>
          </w:p>
        </w:tc>
        <w:tc>
          <w:tcPr>
            <w:tcW w:w="794" w:type="dxa"/>
            <w:tcBorders>
              <w:top w:val="nil"/>
              <w:left w:val="nil"/>
              <w:bottom w:val="nil"/>
              <w:right w:val="nil"/>
            </w:tcBorders>
            <w:shd w:val="clear" w:color="auto" w:fill="auto"/>
            <w:noWrap/>
            <w:vAlign w:val="center"/>
            <w:hideMark/>
          </w:tcPr>
          <w:p w14:paraId="1B4746BE" w14:textId="17C9D753"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23.74</w:t>
            </w:r>
          </w:p>
        </w:tc>
        <w:tc>
          <w:tcPr>
            <w:tcW w:w="794" w:type="dxa"/>
            <w:tcBorders>
              <w:top w:val="nil"/>
              <w:left w:val="nil"/>
              <w:bottom w:val="nil"/>
              <w:right w:val="single" w:sz="4" w:space="0" w:color="auto"/>
            </w:tcBorders>
            <w:shd w:val="clear" w:color="000000" w:fill="F2F2F2"/>
            <w:noWrap/>
            <w:vAlign w:val="center"/>
            <w:hideMark/>
          </w:tcPr>
          <w:p w14:paraId="1871B494" w14:textId="47A7E3E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24.16</w:t>
            </w:r>
          </w:p>
        </w:tc>
        <w:tc>
          <w:tcPr>
            <w:tcW w:w="794" w:type="dxa"/>
            <w:tcBorders>
              <w:top w:val="nil"/>
              <w:left w:val="nil"/>
              <w:bottom w:val="nil"/>
              <w:right w:val="nil"/>
            </w:tcBorders>
            <w:shd w:val="clear" w:color="auto" w:fill="auto"/>
            <w:noWrap/>
            <w:vAlign w:val="center"/>
            <w:hideMark/>
          </w:tcPr>
          <w:p w14:paraId="5D29452A" w14:textId="405CBA4B"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17.07</w:t>
            </w:r>
          </w:p>
        </w:tc>
        <w:tc>
          <w:tcPr>
            <w:tcW w:w="794" w:type="dxa"/>
            <w:tcBorders>
              <w:top w:val="nil"/>
              <w:left w:val="nil"/>
              <w:bottom w:val="nil"/>
              <w:right w:val="single" w:sz="4" w:space="0" w:color="auto"/>
            </w:tcBorders>
            <w:shd w:val="clear" w:color="000000" w:fill="F2F2F2"/>
            <w:noWrap/>
            <w:vAlign w:val="center"/>
            <w:hideMark/>
          </w:tcPr>
          <w:p w14:paraId="134F4D54" w14:textId="4A466392"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14.55</w:t>
            </w:r>
          </w:p>
        </w:tc>
        <w:tc>
          <w:tcPr>
            <w:tcW w:w="794" w:type="dxa"/>
            <w:tcBorders>
              <w:top w:val="nil"/>
              <w:left w:val="nil"/>
              <w:bottom w:val="nil"/>
              <w:right w:val="nil"/>
            </w:tcBorders>
            <w:shd w:val="clear" w:color="auto" w:fill="auto"/>
            <w:noWrap/>
            <w:vAlign w:val="center"/>
            <w:hideMark/>
          </w:tcPr>
          <w:p w14:paraId="645646A9" w14:textId="4244879C"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16.63</w:t>
            </w:r>
          </w:p>
        </w:tc>
        <w:tc>
          <w:tcPr>
            <w:tcW w:w="794" w:type="dxa"/>
            <w:tcBorders>
              <w:top w:val="nil"/>
              <w:left w:val="nil"/>
              <w:bottom w:val="nil"/>
              <w:right w:val="single" w:sz="4" w:space="0" w:color="auto"/>
            </w:tcBorders>
            <w:shd w:val="clear" w:color="000000" w:fill="F2F2F2"/>
            <w:noWrap/>
            <w:vAlign w:val="center"/>
            <w:hideMark/>
          </w:tcPr>
          <w:p w14:paraId="5CE1B59B" w14:textId="31F3D207"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23.48</w:t>
            </w:r>
          </w:p>
        </w:tc>
        <w:tc>
          <w:tcPr>
            <w:tcW w:w="794" w:type="dxa"/>
            <w:tcBorders>
              <w:top w:val="nil"/>
              <w:left w:val="nil"/>
              <w:bottom w:val="nil"/>
              <w:right w:val="nil"/>
            </w:tcBorders>
            <w:shd w:val="clear" w:color="auto" w:fill="auto"/>
            <w:noWrap/>
            <w:vAlign w:val="center"/>
            <w:hideMark/>
          </w:tcPr>
          <w:p w14:paraId="5A00F0F2" w14:textId="66DD1BB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12.75</w:t>
            </w:r>
          </w:p>
        </w:tc>
        <w:tc>
          <w:tcPr>
            <w:tcW w:w="794" w:type="dxa"/>
            <w:tcBorders>
              <w:top w:val="nil"/>
              <w:left w:val="nil"/>
              <w:bottom w:val="nil"/>
              <w:right w:val="single" w:sz="4" w:space="0" w:color="auto"/>
            </w:tcBorders>
            <w:shd w:val="clear" w:color="000000" w:fill="F2F2F2"/>
            <w:noWrap/>
            <w:vAlign w:val="center"/>
            <w:hideMark/>
          </w:tcPr>
          <w:p w14:paraId="7128547E" w14:textId="4A9F3CF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9.60</w:t>
            </w:r>
          </w:p>
        </w:tc>
        <w:tc>
          <w:tcPr>
            <w:tcW w:w="794" w:type="dxa"/>
            <w:tcBorders>
              <w:top w:val="nil"/>
              <w:left w:val="nil"/>
              <w:bottom w:val="nil"/>
              <w:right w:val="nil"/>
            </w:tcBorders>
            <w:shd w:val="clear" w:color="auto" w:fill="auto"/>
            <w:noWrap/>
            <w:vAlign w:val="center"/>
            <w:hideMark/>
          </w:tcPr>
          <w:p w14:paraId="333E6B26" w14:textId="4766DC8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11.73</w:t>
            </w:r>
          </w:p>
        </w:tc>
        <w:tc>
          <w:tcPr>
            <w:tcW w:w="794" w:type="dxa"/>
            <w:tcBorders>
              <w:top w:val="nil"/>
              <w:left w:val="nil"/>
              <w:bottom w:val="nil"/>
              <w:right w:val="single" w:sz="4" w:space="0" w:color="auto"/>
            </w:tcBorders>
            <w:shd w:val="clear" w:color="000000" w:fill="F2F2F2"/>
            <w:noWrap/>
            <w:vAlign w:val="center"/>
            <w:hideMark/>
          </w:tcPr>
          <w:p w14:paraId="7CA15091" w14:textId="6D23EF9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14.20</w:t>
            </w:r>
          </w:p>
        </w:tc>
        <w:tc>
          <w:tcPr>
            <w:tcW w:w="794" w:type="dxa"/>
            <w:tcBorders>
              <w:top w:val="nil"/>
              <w:left w:val="nil"/>
              <w:bottom w:val="nil"/>
              <w:right w:val="nil"/>
            </w:tcBorders>
            <w:shd w:val="clear" w:color="auto" w:fill="auto"/>
            <w:noWrap/>
            <w:vAlign w:val="center"/>
            <w:hideMark/>
          </w:tcPr>
          <w:p w14:paraId="539CBA9E" w14:textId="36431F0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6.19</w:t>
            </w:r>
          </w:p>
        </w:tc>
        <w:tc>
          <w:tcPr>
            <w:tcW w:w="794" w:type="dxa"/>
            <w:tcBorders>
              <w:top w:val="nil"/>
              <w:left w:val="nil"/>
              <w:bottom w:val="nil"/>
              <w:right w:val="single" w:sz="4" w:space="0" w:color="auto"/>
            </w:tcBorders>
            <w:shd w:val="clear" w:color="000000" w:fill="F2F2F2"/>
            <w:noWrap/>
            <w:vAlign w:val="center"/>
            <w:hideMark/>
          </w:tcPr>
          <w:p w14:paraId="3EB027A0" w14:textId="39DF332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19.19</w:t>
            </w:r>
          </w:p>
        </w:tc>
        <w:tc>
          <w:tcPr>
            <w:tcW w:w="794" w:type="dxa"/>
            <w:tcBorders>
              <w:top w:val="nil"/>
              <w:left w:val="nil"/>
              <w:bottom w:val="nil"/>
              <w:right w:val="nil"/>
            </w:tcBorders>
            <w:shd w:val="clear" w:color="auto" w:fill="auto"/>
            <w:noWrap/>
            <w:vAlign w:val="center"/>
            <w:hideMark/>
          </w:tcPr>
          <w:p w14:paraId="06ECF201" w14:textId="28EBBB6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4.07</w:t>
            </w:r>
          </w:p>
        </w:tc>
        <w:tc>
          <w:tcPr>
            <w:tcW w:w="794" w:type="dxa"/>
            <w:tcBorders>
              <w:top w:val="nil"/>
              <w:left w:val="nil"/>
              <w:bottom w:val="nil"/>
              <w:right w:val="single" w:sz="4" w:space="0" w:color="auto"/>
            </w:tcBorders>
            <w:shd w:val="clear" w:color="000000" w:fill="F2F2F2"/>
            <w:noWrap/>
            <w:vAlign w:val="center"/>
            <w:hideMark/>
          </w:tcPr>
          <w:p w14:paraId="4B0CD1C6" w14:textId="69B0CED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2.87</w:t>
            </w:r>
          </w:p>
        </w:tc>
      </w:tr>
      <w:tr w:rsidR="002F1955" w:rsidRPr="00E56B73" w14:paraId="7FD4E88B"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1F01FB59" w14:textId="77777777" w:rsidR="002F1955" w:rsidRPr="00E56B73" w:rsidRDefault="002F1955" w:rsidP="002F1955">
            <w:pPr>
              <w:spacing w:after="0" w:line="240" w:lineRule="auto"/>
              <w:ind w:firstLine="0"/>
              <w:jc w:val="lef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Debt-to-income ratio</w:t>
            </w:r>
          </w:p>
        </w:tc>
        <w:tc>
          <w:tcPr>
            <w:tcW w:w="794" w:type="dxa"/>
            <w:tcBorders>
              <w:top w:val="nil"/>
              <w:left w:val="nil"/>
              <w:bottom w:val="nil"/>
              <w:right w:val="nil"/>
            </w:tcBorders>
            <w:shd w:val="clear" w:color="auto" w:fill="auto"/>
            <w:noWrap/>
            <w:vAlign w:val="center"/>
            <w:hideMark/>
          </w:tcPr>
          <w:p w14:paraId="2A144C84" w14:textId="43AF922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24.40</w:t>
            </w:r>
          </w:p>
        </w:tc>
        <w:tc>
          <w:tcPr>
            <w:tcW w:w="794" w:type="dxa"/>
            <w:tcBorders>
              <w:top w:val="nil"/>
              <w:left w:val="nil"/>
              <w:bottom w:val="nil"/>
              <w:right w:val="single" w:sz="4" w:space="0" w:color="auto"/>
            </w:tcBorders>
            <w:shd w:val="clear" w:color="000000" w:fill="F2F2F2"/>
            <w:noWrap/>
            <w:vAlign w:val="center"/>
            <w:hideMark/>
          </w:tcPr>
          <w:p w14:paraId="67C82CDB" w14:textId="42BA221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43.71</w:t>
            </w:r>
          </w:p>
        </w:tc>
        <w:tc>
          <w:tcPr>
            <w:tcW w:w="794" w:type="dxa"/>
            <w:tcBorders>
              <w:top w:val="nil"/>
              <w:left w:val="nil"/>
              <w:bottom w:val="nil"/>
              <w:right w:val="nil"/>
            </w:tcBorders>
            <w:shd w:val="clear" w:color="auto" w:fill="auto"/>
            <w:noWrap/>
            <w:vAlign w:val="center"/>
            <w:hideMark/>
          </w:tcPr>
          <w:p w14:paraId="056DC3A6" w14:textId="20CD463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21.76</w:t>
            </w:r>
          </w:p>
        </w:tc>
        <w:tc>
          <w:tcPr>
            <w:tcW w:w="794" w:type="dxa"/>
            <w:tcBorders>
              <w:top w:val="nil"/>
              <w:left w:val="nil"/>
              <w:bottom w:val="nil"/>
              <w:right w:val="single" w:sz="4" w:space="0" w:color="auto"/>
            </w:tcBorders>
            <w:shd w:val="clear" w:color="000000" w:fill="F2F2F2"/>
            <w:noWrap/>
            <w:vAlign w:val="center"/>
            <w:hideMark/>
          </w:tcPr>
          <w:p w14:paraId="5EF774F8" w14:textId="365CE0F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16.48</w:t>
            </w:r>
          </w:p>
        </w:tc>
        <w:tc>
          <w:tcPr>
            <w:tcW w:w="794" w:type="dxa"/>
            <w:tcBorders>
              <w:top w:val="nil"/>
              <w:left w:val="nil"/>
              <w:bottom w:val="nil"/>
              <w:right w:val="nil"/>
            </w:tcBorders>
            <w:shd w:val="clear" w:color="auto" w:fill="auto"/>
            <w:noWrap/>
            <w:vAlign w:val="center"/>
            <w:hideMark/>
          </w:tcPr>
          <w:p w14:paraId="564F3ABD" w14:textId="38D754C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16.22</w:t>
            </w:r>
          </w:p>
        </w:tc>
        <w:tc>
          <w:tcPr>
            <w:tcW w:w="794" w:type="dxa"/>
            <w:tcBorders>
              <w:top w:val="nil"/>
              <w:left w:val="nil"/>
              <w:bottom w:val="nil"/>
              <w:right w:val="single" w:sz="4" w:space="0" w:color="auto"/>
            </w:tcBorders>
            <w:shd w:val="clear" w:color="000000" w:fill="F2F2F2"/>
            <w:noWrap/>
            <w:vAlign w:val="center"/>
            <w:hideMark/>
          </w:tcPr>
          <w:p w14:paraId="388D4D09" w14:textId="7B8441A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14.94</w:t>
            </w:r>
          </w:p>
        </w:tc>
        <w:tc>
          <w:tcPr>
            <w:tcW w:w="794" w:type="dxa"/>
            <w:tcBorders>
              <w:top w:val="nil"/>
              <w:left w:val="nil"/>
              <w:bottom w:val="nil"/>
              <w:right w:val="nil"/>
            </w:tcBorders>
            <w:shd w:val="clear" w:color="auto" w:fill="auto"/>
            <w:noWrap/>
            <w:vAlign w:val="center"/>
            <w:hideMark/>
          </w:tcPr>
          <w:p w14:paraId="1FD12D16" w14:textId="43A68CD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15.09</w:t>
            </w:r>
          </w:p>
        </w:tc>
        <w:tc>
          <w:tcPr>
            <w:tcW w:w="794" w:type="dxa"/>
            <w:tcBorders>
              <w:top w:val="nil"/>
              <w:left w:val="nil"/>
              <w:bottom w:val="nil"/>
              <w:right w:val="single" w:sz="4" w:space="0" w:color="auto"/>
            </w:tcBorders>
            <w:shd w:val="clear" w:color="000000" w:fill="F2F2F2"/>
            <w:noWrap/>
            <w:vAlign w:val="center"/>
            <w:hideMark/>
          </w:tcPr>
          <w:p w14:paraId="36BB5E2A" w14:textId="0DC6724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19.93</w:t>
            </w:r>
          </w:p>
        </w:tc>
        <w:tc>
          <w:tcPr>
            <w:tcW w:w="794" w:type="dxa"/>
            <w:tcBorders>
              <w:top w:val="nil"/>
              <w:left w:val="nil"/>
              <w:bottom w:val="nil"/>
              <w:right w:val="nil"/>
            </w:tcBorders>
            <w:shd w:val="clear" w:color="auto" w:fill="auto"/>
            <w:noWrap/>
            <w:vAlign w:val="center"/>
            <w:hideMark/>
          </w:tcPr>
          <w:p w14:paraId="4D183B70" w14:textId="25814F5A"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14.84</w:t>
            </w:r>
          </w:p>
        </w:tc>
        <w:tc>
          <w:tcPr>
            <w:tcW w:w="794" w:type="dxa"/>
            <w:tcBorders>
              <w:top w:val="nil"/>
              <w:left w:val="nil"/>
              <w:bottom w:val="nil"/>
              <w:right w:val="single" w:sz="4" w:space="0" w:color="auto"/>
            </w:tcBorders>
            <w:shd w:val="clear" w:color="000000" w:fill="F2F2F2"/>
            <w:noWrap/>
            <w:vAlign w:val="center"/>
            <w:hideMark/>
          </w:tcPr>
          <w:p w14:paraId="35AD0AC9" w14:textId="3484DEA5"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16.71</w:t>
            </w:r>
          </w:p>
        </w:tc>
        <w:tc>
          <w:tcPr>
            <w:tcW w:w="794" w:type="dxa"/>
            <w:tcBorders>
              <w:top w:val="nil"/>
              <w:left w:val="nil"/>
              <w:bottom w:val="nil"/>
              <w:right w:val="nil"/>
            </w:tcBorders>
            <w:shd w:val="clear" w:color="auto" w:fill="auto"/>
            <w:noWrap/>
            <w:vAlign w:val="center"/>
            <w:hideMark/>
          </w:tcPr>
          <w:p w14:paraId="4A83855B" w14:textId="005A50A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10.47</w:t>
            </w:r>
          </w:p>
        </w:tc>
        <w:tc>
          <w:tcPr>
            <w:tcW w:w="794" w:type="dxa"/>
            <w:tcBorders>
              <w:top w:val="nil"/>
              <w:left w:val="nil"/>
              <w:bottom w:val="nil"/>
              <w:right w:val="single" w:sz="4" w:space="0" w:color="auto"/>
            </w:tcBorders>
            <w:shd w:val="clear" w:color="000000" w:fill="F2F2F2"/>
            <w:noWrap/>
            <w:vAlign w:val="center"/>
            <w:hideMark/>
          </w:tcPr>
          <w:p w14:paraId="329FC0B6" w14:textId="430EA15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7.64</w:t>
            </w:r>
          </w:p>
        </w:tc>
        <w:tc>
          <w:tcPr>
            <w:tcW w:w="794" w:type="dxa"/>
            <w:tcBorders>
              <w:top w:val="nil"/>
              <w:left w:val="nil"/>
              <w:bottom w:val="nil"/>
              <w:right w:val="nil"/>
            </w:tcBorders>
            <w:shd w:val="clear" w:color="auto" w:fill="auto"/>
            <w:noWrap/>
            <w:vAlign w:val="center"/>
            <w:hideMark/>
          </w:tcPr>
          <w:p w14:paraId="35B0D8FD" w14:textId="599734D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11.50</w:t>
            </w:r>
          </w:p>
        </w:tc>
        <w:tc>
          <w:tcPr>
            <w:tcW w:w="794" w:type="dxa"/>
            <w:tcBorders>
              <w:top w:val="nil"/>
              <w:left w:val="nil"/>
              <w:bottom w:val="nil"/>
              <w:right w:val="single" w:sz="4" w:space="0" w:color="auto"/>
            </w:tcBorders>
            <w:shd w:val="clear" w:color="000000" w:fill="F2F2F2"/>
            <w:noWrap/>
            <w:vAlign w:val="center"/>
            <w:hideMark/>
          </w:tcPr>
          <w:p w14:paraId="5C8137B4" w14:textId="1887460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16.80</w:t>
            </w:r>
          </w:p>
        </w:tc>
        <w:tc>
          <w:tcPr>
            <w:tcW w:w="794" w:type="dxa"/>
            <w:tcBorders>
              <w:top w:val="nil"/>
              <w:left w:val="nil"/>
              <w:bottom w:val="nil"/>
              <w:right w:val="nil"/>
            </w:tcBorders>
            <w:shd w:val="clear" w:color="auto" w:fill="auto"/>
            <w:noWrap/>
            <w:vAlign w:val="center"/>
            <w:hideMark/>
          </w:tcPr>
          <w:p w14:paraId="6442CD67" w14:textId="77AC71A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7.65</w:t>
            </w:r>
          </w:p>
        </w:tc>
        <w:tc>
          <w:tcPr>
            <w:tcW w:w="794" w:type="dxa"/>
            <w:tcBorders>
              <w:top w:val="nil"/>
              <w:left w:val="nil"/>
              <w:bottom w:val="nil"/>
              <w:right w:val="single" w:sz="4" w:space="0" w:color="auto"/>
            </w:tcBorders>
            <w:shd w:val="clear" w:color="000000" w:fill="F2F2F2"/>
            <w:noWrap/>
            <w:vAlign w:val="center"/>
            <w:hideMark/>
          </w:tcPr>
          <w:p w14:paraId="71CEE086" w14:textId="3C9E260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12.91</w:t>
            </w:r>
          </w:p>
        </w:tc>
        <w:tc>
          <w:tcPr>
            <w:tcW w:w="794" w:type="dxa"/>
            <w:tcBorders>
              <w:top w:val="nil"/>
              <w:left w:val="nil"/>
              <w:bottom w:val="nil"/>
              <w:right w:val="nil"/>
            </w:tcBorders>
            <w:shd w:val="clear" w:color="auto" w:fill="auto"/>
            <w:noWrap/>
            <w:vAlign w:val="center"/>
            <w:hideMark/>
          </w:tcPr>
          <w:p w14:paraId="28887B67" w14:textId="5A5CC5EF"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7.94</w:t>
            </w:r>
          </w:p>
        </w:tc>
        <w:tc>
          <w:tcPr>
            <w:tcW w:w="794" w:type="dxa"/>
            <w:tcBorders>
              <w:top w:val="nil"/>
              <w:left w:val="nil"/>
              <w:bottom w:val="nil"/>
              <w:right w:val="single" w:sz="4" w:space="0" w:color="auto"/>
            </w:tcBorders>
            <w:shd w:val="clear" w:color="000000" w:fill="F2F2F2"/>
            <w:noWrap/>
            <w:vAlign w:val="center"/>
            <w:hideMark/>
          </w:tcPr>
          <w:p w14:paraId="16F2E8AD" w14:textId="22BBFEE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5.17</w:t>
            </w:r>
          </w:p>
        </w:tc>
      </w:tr>
      <w:tr w:rsidR="002F1955" w:rsidRPr="00E56B73" w14:paraId="53A4EB3D"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EA2970" w14:textId="77777777" w:rsidR="002F1955" w:rsidRPr="00E56B73"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E56B73">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23447ACA" w14:textId="7D11F11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3,360</w:t>
            </w:r>
          </w:p>
        </w:tc>
        <w:tc>
          <w:tcPr>
            <w:tcW w:w="794" w:type="dxa"/>
            <w:tcBorders>
              <w:top w:val="nil"/>
              <w:left w:val="nil"/>
              <w:bottom w:val="single" w:sz="4" w:space="0" w:color="auto"/>
              <w:right w:val="single" w:sz="4" w:space="0" w:color="auto"/>
            </w:tcBorders>
            <w:shd w:val="clear" w:color="000000" w:fill="F2F2F2"/>
            <w:noWrap/>
            <w:vAlign w:val="center"/>
            <w:hideMark/>
          </w:tcPr>
          <w:p w14:paraId="15276DB4" w14:textId="397FB47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1,675</w:t>
            </w:r>
          </w:p>
        </w:tc>
        <w:tc>
          <w:tcPr>
            <w:tcW w:w="794" w:type="dxa"/>
            <w:tcBorders>
              <w:top w:val="nil"/>
              <w:left w:val="nil"/>
              <w:bottom w:val="single" w:sz="4" w:space="0" w:color="auto"/>
              <w:right w:val="nil"/>
            </w:tcBorders>
            <w:shd w:val="clear" w:color="auto" w:fill="auto"/>
            <w:noWrap/>
            <w:vAlign w:val="center"/>
            <w:hideMark/>
          </w:tcPr>
          <w:p w14:paraId="24A84F76" w14:textId="343368F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4,105</w:t>
            </w:r>
          </w:p>
        </w:tc>
        <w:tc>
          <w:tcPr>
            <w:tcW w:w="794" w:type="dxa"/>
            <w:tcBorders>
              <w:top w:val="nil"/>
              <w:left w:val="nil"/>
              <w:bottom w:val="single" w:sz="4" w:space="0" w:color="auto"/>
              <w:right w:val="single" w:sz="4" w:space="0" w:color="auto"/>
            </w:tcBorders>
            <w:shd w:val="clear" w:color="000000" w:fill="F2F2F2"/>
            <w:noWrap/>
            <w:vAlign w:val="center"/>
            <w:hideMark/>
          </w:tcPr>
          <w:p w14:paraId="67FD16C4" w14:textId="75F467D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2,590</w:t>
            </w:r>
          </w:p>
        </w:tc>
        <w:tc>
          <w:tcPr>
            <w:tcW w:w="794" w:type="dxa"/>
            <w:tcBorders>
              <w:top w:val="nil"/>
              <w:left w:val="nil"/>
              <w:bottom w:val="single" w:sz="4" w:space="0" w:color="auto"/>
              <w:right w:val="nil"/>
            </w:tcBorders>
            <w:shd w:val="clear" w:color="auto" w:fill="auto"/>
            <w:noWrap/>
            <w:vAlign w:val="center"/>
            <w:hideMark/>
          </w:tcPr>
          <w:p w14:paraId="735F402E" w14:textId="6EFAA9C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4,435</w:t>
            </w:r>
          </w:p>
        </w:tc>
        <w:tc>
          <w:tcPr>
            <w:tcW w:w="794" w:type="dxa"/>
            <w:tcBorders>
              <w:top w:val="nil"/>
              <w:left w:val="nil"/>
              <w:bottom w:val="single" w:sz="4" w:space="0" w:color="auto"/>
              <w:right w:val="single" w:sz="4" w:space="0" w:color="auto"/>
            </w:tcBorders>
            <w:shd w:val="clear" w:color="000000" w:fill="F2F2F2"/>
            <w:noWrap/>
            <w:vAlign w:val="center"/>
            <w:hideMark/>
          </w:tcPr>
          <w:p w14:paraId="282E22E4" w14:textId="16F33F9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2,590</w:t>
            </w:r>
          </w:p>
        </w:tc>
        <w:tc>
          <w:tcPr>
            <w:tcW w:w="794" w:type="dxa"/>
            <w:tcBorders>
              <w:top w:val="nil"/>
              <w:left w:val="nil"/>
              <w:bottom w:val="single" w:sz="4" w:space="0" w:color="auto"/>
              <w:right w:val="nil"/>
            </w:tcBorders>
            <w:shd w:val="clear" w:color="auto" w:fill="auto"/>
            <w:noWrap/>
            <w:vAlign w:val="center"/>
            <w:hideMark/>
          </w:tcPr>
          <w:p w14:paraId="0CFD5A2D" w14:textId="475297D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4,575</w:t>
            </w:r>
          </w:p>
        </w:tc>
        <w:tc>
          <w:tcPr>
            <w:tcW w:w="794" w:type="dxa"/>
            <w:tcBorders>
              <w:top w:val="nil"/>
              <w:left w:val="nil"/>
              <w:bottom w:val="single" w:sz="4" w:space="0" w:color="auto"/>
              <w:right w:val="single" w:sz="4" w:space="0" w:color="auto"/>
            </w:tcBorders>
            <w:shd w:val="clear" w:color="000000" w:fill="F2F2F2"/>
            <w:noWrap/>
            <w:vAlign w:val="center"/>
            <w:hideMark/>
          </w:tcPr>
          <w:p w14:paraId="6E791F8D" w14:textId="73777B4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2,890</w:t>
            </w:r>
          </w:p>
        </w:tc>
        <w:tc>
          <w:tcPr>
            <w:tcW w:w="794" w:type="dxa"/>
            <w:tcBorders>
              <w:top w:val="nil"/>
              <w:left w:val="nil"/>
              <w:bottom w:val="single" w:sz="4" w:space="0" w:color="auto"/>
              <w:right w:val="nil"/>
            </w:tcBorders>
            <w:shd w:val="clear" w:color="auto" w:fill="auto"/>
            <w:noWrap/>
            <w:vAlign w:val="center"/>
            <w:hideMark/>
          </w:tcPr>
          <w:p w14:paraId="37BC4EB2" w14:textId="34F9ABA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4,600</w:t>
            </w:r>
          </w:p>
        </w:tc>
        <w:tc>
          <w:tcPr>
            <w:tcW w:w="794" w:type="dxa"/>
            <w:tcBorders>
              <w:top w:val="nil"/>
              <w:left w:val="nil"/>
              <w:bottom w:val="single" w:sz="4" w:space="0" w:color="auto"/>
              <w:right w:val="single" w:sz="4" w:space="0" w:color="auto"/>
            </w:tcBorders>
            <w:shd w:val="clear" w:color="000000" w:fill="F2F2F2"/>
            <w:noWrap/>
            <w:vAlign w:val="center"/>
            <w:hideMark/>
          </w:tcPr>
          <w:p w14:paraId="4E23E0D9" w14:textId="16D096C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2,760</w:t>
            </w:r>
          </w:p>
        </w:tc>
        <w:tc>
          <w:tcPr>
            <w:tcW w:w="794" w:type="dxa"/>
            <w:tcBorders>
              <w:top w:val="nil"/>
              <w:left w:val="nil"/>
              <w:bottom w:val="single" w:sz="4" w:space="0" w:color="auto"/>
              <w:right w:val="nil"/>
            </w:tcBorders>
            <w:shd w:val="clear" w:color="auto" w:fill="auto"/>
            <w:noWrap/>
            <w:vAlign w:val="center"/>
            <w:hideMark/>
          </w:tcPr>
          <w:p w14:paraId="5175CB09" w14:textId="7D4B2E6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4,735</w:t>
            </w:r>
          </w:p>
        </w:tc>
        <w:tc>
          <w:tcPr>
            <w:tcW w:w="794" w:type="dxa"/>
            <w:tcBorders>
              <w:top w:val="nil"/>
              <w:left w:val="nil"/>
              <w:bottom w:val="single" w:sz="4" w:space="0" w:color="auto"/>
              <w:right w:val="single" w:sz="4" w:space="0" w:color="auto"/>
            </w:tcBorders>
            <w:shd w:val="clear" w:color="000000" w:fill="F2F2F2"/>
            <w:noWrap/>
            <w:vAlign w:val="center"/>
            <w:hideMark/>
          </w:tcPr>
          <w:p w14:paraId="2EFAE8D2" w14:textId="4BCE1E7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2,930</w:t>
            </w:r>
          </w:p>
        </w:tc>
        <w:tc>
          <w:tcPr>
            <w:tcW w:w="794" w:type="dxa"/>
            <w:tcBorders>
              <w:top w:val="nil"/>
              <w:left w:val="nil"/>
              <w:bottom w:val="single" w:sz="4" w:space="0" w:color="auto"/>
              <w:right w:val="nil"/>
            </w:tcBorders>
            <w:shd w:val="clear" w:color="auto" w:fill="auto"/>
            <w:noWrap/>
            <w:vAlign w:val="center"/>
            <w:hideMark/>
          </w:tcPr>
          <w:p w14:paraId="6AC27DE1" w14:textId="15EE47E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4,450</w:t>
            </w:r>
          </w:p>
        </w:tc>
        <w:tc>
          <w:tcPr>
            <w:tcW w:w="794" w:type="dxa"/>
            <w:tcBorders>
              <w:top w:val="nil"/>
              <w:left w:val="nil"/>
              <w:bottom w:val="single" w:sz="4" w:space="0" w:color="auto"/>
              <w:right w:val="single" w:sz="4" w:space="0" w:color="auto"/>
            </w:tcBorders>
            <w:shd w:val="clear" w:color="000000" w:fill="F2F2F2"/>
            <w:noWrap/>
            <w:vAlign w:val="center"/>
            <w:hideMark/>
          </w:tcPr>
          <w:p w14:paraId="4264066B" w14:textId="4678A0B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2,715</w:t>
            </w:r>
          </w:p>
        </w:tc>
        <w:tc>
          <w:tcPr>
            <w:tcW w:w="794" w:type="dxa"/>
            <w:tcBorders>
              <w:top w:val="nil"/>
              <w:left w:val="nil"/>
              <w:bottom w:val="single" w:sz="4" w:space="0" w:color="auto"/>
              <w:right w:val="nil"/>
            </w:tcBorders>
            <w:shd w:val="clear" w:color="auto" w:fill="auto"/>
            <w:noWrap/>
            <w:vAlign w:val="center"/>
            <w:hideMark/>
          </w:tcPr>
          <w:p w14:paraId="1256FD02" w14:textId="16B1918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7,285</w:t>
            </w:r>
          </w:p>
        </w:tc>
        <w:tc>
          <w:tcPr>
            <w:tcW w:w="794" w:type="dxa"/>
            <w:tcBorders>
              <w:top w:val="nil"/>
              <w:left w:val="nil"/>
              <w:bottom w:val="single" w:sz="4" w:space="0" w:color="auto"/>
              <w:right w:val="single" w:sz="4" w:space="0" w:color="auto"/>
            </w:tcBorders>
            <w:shd w:val="clear" w:color="000000" w:fill="F2F2F2"/>
            <w:noWrap/>
            <w:vAlign w:val="center"/>
            <w:hideMark/>
          </w:tcPr>
          <w:p w14:paraId="2E34E9CE" w14:textId="556F16B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4,765</w:t>
            </w:r>
          </w:p>
        </w:tc>
        <w:tc>
          <w:tcPr>
            <w:tcW w:w="794" w:type="dxa"/>
            <w:tcBorders>
              <w:top w:val="nil"/>
              <w:left w:val="nil"/>
              <w:bottom w:val="single" w:sz="4" w:space="0" w:color="auto"/>
              <w:right w:val="nil"/>
            </w:tcBorders>
            <w:shd w:val="clear" w:color="auto" w:fill="auto"/>
            <w:noWrap/>
            <w:vAlign w:val="center"/>
            <w:hideMark/>
          </w:tcPr>
          <w:p w14:paraId="3EFA4087" w14:textId="5EB54B6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6,910</w:t>
            </w:r>
          </w:p>
        </w:tc>
        <w:tc>
          <w:tcPr>
            <w:tcW w:w="794" w:type="dxa"/>
            <w:tcBorders>
              <w:top w:val="nil"/>
              <w:left w:val="nil"/>
              <w:bottom w:val="single" w:sz="4" w:space="0" w:color="auto"/>
              <w:right w:val="single" w:sz="4" w:space="0" w:color="auto"/>
            </w:tcBorders>
            <w:shd w:val="clear" w:color="000000" w:fill="F2F2F2"/>
            <w:noWrap/>
            <w:vAlign w:val="center"/>
            <w:hideMark/>
          </w:tcPr>
          <w:p w14:paraId="218A59D4" w14:textId="3B55563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4,320</w:t>
            </w:r>
          </w:p>
        </w:tc>
      </w:tr>
    </w:tbl>
    <w:p w14:paraId="47A2B2CF" w14:textId="77777777" w:rsidR="00E56B73" w:rsidRDefault="00E56B73" w:rsidP="00CA0E44">
      <w:pPr>
        <w:rPr>
          <w:rFonts w:ascii="Times New Roman" w:hAnsi="Times New Roman" w:cs="Times New Roman"/>
        </w:rPr>
        <w:sectPr w:rsidR="00E56B73" w:rsidSect="00E56B73">
          <w:pgSz w:w="16840" w:h="11900" w:orient="landscape"/>
          <w:pgMar w:top="720" w:right="720" w:bottom="720" w:left="720" w:header="708" w:footer="708" w:gutter="0"/>
          <w:cols w:space="708"/>
          <w:docGrid w:linePitch="360"/>
        </w:sectPr>
      </w:pPr>
    </w:p>
    <w:p w14:paraId="52CD992A" w14:textId="6C21CABA" w:rsidR="00401C40" w:rsidRPr="006E4364" w:rsidRDefault="00401C40" w:rsidP="00401C40">
      <w:pPr>
        <w:pStyle w:val="MyHeading2"/>
        <w:numPr>
          <w:ilvl w:val="1"/>
          <w:numId w:val="2"/>
        </w:numPr>
        <w:ind w:left="426"/>
        <w:rPr>
          <w:sz w:val="23"/>
          <w:szCs w:val="23"/>
        </w:rPr>
      </w:pPr>
      <w:r w:rsidRPr="006E4364">
        <w:rPr>
          <w:sz w:val="23"/>
          <w:szCs w:val="23"/>
        </w:rPr>
        <w:lastRenderedPageBreak/>
        <w:t xml:space="preserve">Results by </w:t>
      </w:r>
      <w:r>
        <w:rPr>
          <w:sz w:val="23"/>
          <w:szCs w:val="23"/>
        </w:rPr>
        <w:t xml:space="preserve">race </w:t>
      </w:r>
    </w:p>
    <w:p w14:paraId="6F1C287F" w14:textId="5913F796" w:rsidR="00F10563" w:rsidRDefault="004B5F88" w:rsidP="00CA0E44">
      <w:pPr>
        <w:ind w:firstLine="0"/>
        <w:rPr>
          <w:rFonts w:ascii="Times New Roman" w:hAnsi="Times New Roman" w:cs="Times New Roman"/>
        </w:rPr>
      </w:pPr>
      <w:r>
        <w:rPr>
          <w:rFonts w:ascii="Times New Roman" w:hAnsi="Times New Roman" w:cs="Times New Roman"/>
        </w:rPr>
        <w:t xml:space="preserve">Subprime lending expansion in the early 2000s had a strong racial dimension, as minority households were targeted by subprime lenders. The following analysis aims to gauge the differences in the impact of wealth composition on relative income across race in the context of this predatory inclusion of minority households into the financial system. </w:t>
      </w:r>
      <w:r w:rsidR="00774966">
        <w:rPr>
          <w:rFonts w:ascii="Times New Roman" w:hAnsi="Times New Roman" w:cs="Times New Roman"/>
        </w:rPr>
        <w:t xml:space="preserve">Table </w:t>
      </w:r>
      <w:r w:rsidR="00F10563">
        <w:rPr>
          <w:rFonts w:ascii="Times New Roman" w:hAnsi="Times New Roman" w:cs="Times New Roman"/>
        </w:rPr>
        <w:t>4</w:t>
      </w:r>
      <w:r w:rsidR="00CA0E44" w:rsidRPr="00E92972">
        <w:rPr>
          <w:rFonts w:ascii="Times New Roman" w:hAnsi="Times New Roman" w:cs="Times New Roman"/>
        </w:rPr>
        <w:t xml:space="preserve"> </w:t>
      </w:r>
      <w:r w:rsidR="00F10563">
        <w:rPr>
          <w:rFonts w:ascii="Times New Roman" w:hAnsi="Times New Roman" w:cs="Times New Roman"/>
        </w:rPr>
        <w:t>presents</w:t>
      </w:r>
      <w:r w:rsidR="00CA0E44" w:rsidRPr="00E92972">
        <w:rPr>
          <w:rFonts w:ascii="Times New Roman" w:hAnsi="Times New Roman" w:cs="Times New Roman"/>
        </w:rPr>
        <w:t xml:space="preserve"> estimation results </w:t>
      </w:r>
      <w:r w:rsidR="00CA0E44">
        <w:rPr>
          <w:rFonts w:ascii="Times New Roman" w:hAnsi="Times New Roman" w:cs="Times New Roman"/>
        </w:rPr>
        <w:t xml:space="preserve">of the </w:t>
      </w:r>
      <w:r w:rsidR="00E56B73">
        <w:rPr>
          <w:rFonts w:ascii="Times New Roman" w:hAnsi="Times New Roman" w:cs="Times New Roman"/>
        </w:rPr>
        <w:t xml:space="preserve">Theil-Sen median slope across race, </w:t>
      </w:r>
      <w:r w:rsidR="00CA0E44" w:rsidRPr="00E92972">
        <w:rPr>
          <w:rFonts w:ascii="Times New Roman" w:hAnsi="Times New Roman" w:cs="Times New Roman"/>
        </w:rPr>
        <w:t>comparing</w:t>
      </w:r>
      <w:r w:rsidR="00CA0E44">
        <w:rPr>
          <w:rFonts w:ascii="Times New Roman" w:hAnsi="Times New Roman" w:cs="Times New Roman"/>
        </w:rPr>
        <w:t xml:space="preserve"> households headed by </w:t>
      </w:r>
      <w:r w:rsidR="00BE0388">
        <w:rPr>
          <w:rFonts w:ascii="Times New Roman" w:hAnsi="Times New Roman" w:cs="Times New Roman"/>
        </w:rPr>
        <w:t xml:space="preserve">Whites or other ethnic groups </w:t>
      </w:r>
      <w:r w:rsidR="00E56B73">
        <w:rPr>
          <w:rFonts w:ascii="Times New Roman" w:hAnsi="Times New Roman" w:cs="Times New Roman"/>
        </w:rPr>
        <w:t>to households headed by</w:t>
      </w:r>
      <w:r w:rsidR="00BE0388">
        <w:rPr>
          <w:rFonts w:ascii="Times New Roman" w:hAnsi="Times New Roman" w:cs="Times New Roman"/>
        </w:rPr>
        <w:t xml:space="preserve"> Blacks or </w:t>
      </w:r>
      <w:r w:rsidR="00E56B73">
        <w:rPr>
          <w:rFonts w:ascii="Times New Roman" w:hAnsi="Times New Roman" w:cs="Times New Roman"/>
        </w:rPr>
        <w:t>Latinos</w:t>
      </w:r>
      <w:r w:rsidR="00226FD1">
        <w:rPr>
          <w:rStyle w:val="FootnoteReference"/>
        </w:rPr>
        <w:footnoteReference w:id="19"/>
      </w:r>
      <w:r w:rsidR="00CA0E44" w:rsidRPr="00E92972">
        <w:rPr>
          <w:rFonts w:ascii="Times New Roman" w:hAnsi="Times New Roman" w:cs="Times New Roman"/>
        </w:rPr>
        <w:t>.</w:t>
      </w:r>
      <w:r w:rsidR="00F10563">
        <w:rPr>
          <w:rFonts w:ascii="Times New Roman" w:hAnsi="Times New Roman" w:cs="Times New Roman"/>
        </w:rPr>
        <w:t xml:space="preserve"> </w:t>
      </w:r>
    </w:p>
    <w:p w14:paraId="165C2C91" w14:textId="054DCD40" w:rsidR="004B5F88" w:rsidRDefault="004B5F88" w:rsidP="004B5F88">
      <w:r>
        <w:t>The median slope of relative holdings of primary residence was significantly lower for Black and Latino households in 1989</w:t>
      </w:r>
      <w:r w:rsidR="007506EB">
        <w:t xml:space="preserve"> and</w:t>
      </w:r>
      <w:r>
        <w:t xml:space="preserve"> 1992, and significantly higher for this group than for Whites/other ethnic groups in 1995</w:t>
      </w:r>
      <w:r w:rsidR="007506EB">
        <w:t>, 2001,</w:t>
      </w:r>
      <w:r>
        <w:t xml:space="preserve"> and between 200</w:t>
      </w:r>
      <w:r w:rsidR="007506EB">
        <w:t>7</w:t>
      </w:r>
      <w:r>
        <w:t xml:space="preserve"> and 2013. One percentage point increase in the share of primary residence in total assets was associated with a 0.1</w:t>
      </w:r>
      <w:r w:rsidR="00975F4D">
        <w:t>3</w:t>
      </w:r>
      <w:r>
        <w:t xml:space="preserve"> percentage point decline in the </w:t>
      </w:r>
      <w:r w:rsidR="00AE300C">
        <w:t>median income ratio</w:t>
      </w:r>
      <w:r>
        <w:t xml:space="preserve"> for Black/Latino households in 19</w:t>
      </w:r>
      <w:r w:rsidR="00975F4D">
        <w:t>89</w:t>
      </w:r>
      <w:r>
        <w:t>. The estimate increased to 0.</w:t>
      </w:r>
      <w:r w:rsidR="00975F4D">
        <w:t>33</w:t>
      </w:r>
      <w:r>
        <w:t xml:space="preserve"> and 0.</w:t>
      </w:r>
      <w:r w:rsidR="00975F4D">
        <w:t>36</w:t>
      </w:r>
      <w:r>
        <w:t xml:space="preserve"> respectively in 2001 and 2007, before reaching 0.08 in 2013 after the Great Recession. For White/other ethnicity households, the estimate fell from 0</w:t>
      </w:r>
      <w:r w:rsidR="00975F4D">
        <w:t>.33</w:t>
      </w:r>
      <w:r>
        <w:t xml:space="preserve"> in 1989 to </w:t>
      </w:r>
      <w:r w:rsidR="00975F4D">
        <w:t>0.11</w:t>
      </w:r>
      <w:r>
        <w:t xml:space="preserve"> in 2013, with a low of </w:t>
      </w:r>
      <w:r w:rsidR="00975F4D">
        <w:t>0.05</w:t>
      </w:r>
      <w:r>
        <w:t xml:space="preserve"> in 2001.</w:t>
      </w:r>
    </w:p>
    <w:p w14:paraId="783CF853" w14:textId="77E0179F" w:rsidR="004B5F88" w:rsidRDefault="004B5F88" w:rsidP="004B5F88">
      <w:r>
        <w:t>Moreover, until 200</w:t>
      </w:r>
      <w:r w:rsidR="00975F4D">
        <w:t>1</w:t>
      </w:r>
      <w:r>
        <w:t>, the median slope of relative holdings of vehicles and other non-financial asset was significantly higher and positive for Black/Latino households, and negative for White/other ethnicity households. Between 200</w:t>
      </w:r>
      <w:r w:rsidR="00975F4D">
        <w:t>1</w:t>
      </w:r>
      <w:r>
        <w:t xml:space="preserve"> and 2013, the estimate was negative for both groups, taking more negative values for Whites/other households. One percentage point rise in the share of this asset in total asset holdings was associated with a 0.0</w:t>
      </w:r>
      <w:r w:rsidR="00975F4D">
        <w:t>3</w:t>
      </w:r>
      <w:r>
        <w:t xml:space="preserve"> </w:t>
      </w:r>
      <w:r w:rsidR="00975F4D">
        <w:t xml:space="preserve">percentage point </w:t>
      </w:r>
      <w:r>
        <w:t>rise and a -0.4</w:t>
      </w:r>
      <w:r w:rsidR="00975F4D">
        <w:t>4</w:t>
      </w:r>
      <w:r>
        <w:t xml:space="preserve"> fall in the </w:t>
      </w:r>
      <w:r w:rsidR="00AE300C">
        <w:t>median income ratio</w:t>
      </w:r>
      <w:r>
        <w:t xml:space="preserve"> for Blacks/Latinos and Whites/others respectively</w:t>
      </w:r>
      <w:r w:rsidR="00975F4D">
        <w:t xml:space="preserve"> in 1992</w:t>
      </w:r>
      <w:r>
        <w:t>. The estimate rose to 0.1</w:t>
      </w:r>
      <w:r w:rsidR="00975F4D">
        <w:t>1</w:t>
      </w:r>
      <w:r>
        <w:t xml:space="preserve"> in 1995 for the former group and declined to -0.</w:t>
      </w:r>
      <w:r w:rsidR="00975F4D">
        <w:t>1</w:t>
      </w:r>
      <w:r>
        <w:t xml:space="preserve"> in 2013, with a low of -0.</w:t>
      </w:r>
      <w:r w:rsidR="00975F4D">
        <w:t>21</w:t>
      </w:r>
      <w:r>
        <w:t xml:space="preserve"> in 2007. For Whites/other households, the estimate </w:t>
      </w:r>
      <w:r w:rsidR="00975F4D">
        <w:t>increased</w:t>
      </w:r>
      <w:r>
        <w:t xml:space="preserve"> in absolute terms from -0.4</w:t>
      </w:r>
      <w:r w:rsidR="00975F4D">
        <w:t>4</w:t>
      </w:r>
      <w:r>
        <w:t xml:space="preserve"> in 1989 to -0.9</w:t>
      </w:r>
      <w:r w:rsidR="00975F4D">
        <w:t>3</w:t>
      </w:r>
      <w:r>
        <w:t xml:space="preserve"> in 2013.</w:t>
      </w:r>
    </w:p>
    <w:p w14:paraId="2A037E6F" w14:textId="7D55F0A4" w:rsidR="004B5F88" w:rsidRDefault="004B5F88" w:rsidP="004B5F88">
      <w:r>
        <w:t>In contrast, the median slope of relative holdings of other real estate was significantly higher for White/other ethnicity households in all years</w:t>
      </w:r>
      <w:r w:rsidR="00975F4D">
        <w:t xml:space="preserve"> except for 2001 (when the estimate for Black/Latino households was higher)</w:t>
      </w:r>
      <w:r>
        <w:t xml:space="preserve">. The estimate for this group </w:t>
      </w:r>
      <w:proofErr w:type="gramStart"/>
      <w:r>
        <w:t>rose</w:t>
      </w:r>
      <w:proofErr w:type="gramEnd"/>
      <w:r>
        <w:t xml:space="preserve"> from 2.1</w:t>
      </w:r>
      <w:r w:rsidR="00975F4D">
        <w:t>4</w:t>
      </w:r>
      <w:r>
        <w:t xml:space="preserve"> in 1989 to 3.5</w:t>
      </w:r>
      <w:r w:rsidR="00975F4D">
        <w:t>3</w:t>
      </w:r>
      <w:r>
        <w:t xml:space="preserve"> in 2004, and fell to 2.</w:t>
      </w:r>
      <w:r w:rsidR="00975F4D">
        <w:t>9</w:t>
      </w:r>
      <w:r>
        <w:t xml:space="preserve">7 in 2010 after the Great Recession before rising to a peak of </w:t>
      </w:r>
      <w:r w:rsidR="00975F4D">
        <w:t>4.03</w:t>
      </w:r>
      <w:r>
        <w:t xml:space="preserve"> in 2013. For Black/Latino households, one percentage point increase in the share of other real estate in total assets was associated with a 1.</w:t>
      </w:r>
      <w:r w:rsidR="00975F4D">
        <w:t>66</w:t>
      </w:r>
      <w:r>
        <w:t xml:space="preserve"> percentage point rise in the </w:t>
      </w:r>
      <w:r w:rsidR="00AE300C">
        <w:t>median income ratio</w:t>
      </w:r>
      <w:r>
        <w:t xml:space="preserve"> in 1989, rising to a peak of 3.</w:t>
      </w:r>
      <w:r w:rsidR="00975F4D">
        <w:t>8</w:t>
      </w:r>
      <w:r>
        <w:t xml:space="preserve"> in 2001 and falling to 1.</w:t>
      </w:r>
      <w:r w:rsidR="00975F4D">
        <w:t>99</w:t>
      </w:r>
      <w:r>
        <w:t xml:space="preserve"> in 2013. Similarly, the median slope of relative holdings </w:t>
      </w:r>
      <w:r>
        <w:lastRenderedPageBreak/>
        <w:t>of retirement and insurance assets was significantly higher for Whites/other ethnicities in the whole period</w:t>
      </w:r>
      <w:r w:rsidR="00975F4D">
        <w:t xml:space="preserve"> apart from 1989 (when the estimates were not statistically different)</w:t>
      </w:r>
      <w:r>
        <w:t>. However, the estimate for this group declined from 4.</w:t>
      </w:r>
      <w:r w:rsidR="00975F4D">
        <w:t>03</w:t>
      </w:r>
      <w:r>
        <w:t xml:space="preserve"> in 1989 to 2.9</w:t>
      </w:r>
      <w:r w:rsidR="00975F4D">
        <w:t>3</w:t>
      </w:r>
      <w:r>
        <w:t xml:space="preserve"> in 2013, rising temporarily to 3.</w:t>
      </w:r>
      <w:r w:rsidR="00975F4D">
        <w:t>51</w:t>
      </w:r>
      <w:r>
        <w:t xml:space="preserve"> in 2004. For Blacks/Latinos, the value of the estimate also decreased in the period, falling from 3.</w:t>
      </w:r>
      <w:r w:rsidR="00975F4D">
        <w:t>87</w:t>
      </w:r>
      <w:r>
        <w:t xml:space="preserve"> in 1989 to a low of 0.</w:t>
      </w:r>
      <w:r w:rsidR="00975F4D">
        <w:t>89</w:t>
      </w:r>
      <w:r>
        <w:t xml:space="preserve"> in 199</w:t>
      </w:r>
      <w:r w:rsidR="00975F4D">
        <w:t>5</w:t>
      </w:r>
      <w:r>
        <w:t>, increasing to 2.</w:t>
      </w:r>
      <w:r w:rsidR="00975F4D">
        <w:t>52</w:t>
      </w:r>
      <w:r>
        <w:t xml:space="preserve"> in 2007 before reaching 1.</w:t>
      </w:r>
      <w:r w:rsidR="00975F4D">
        <w:t>47</w:t>
      </w:r>
      <w:r>
        <w:t xml:space="preserve"> in 2013.</w:t>
      </w:r>
    </w:p>
    <w:p w14:paraId="02F99DE0" w14:textId="37A44DA2" w:rsidR="004B5F88" w:rsidRDefault="004B5F88" w:rsidP="004B5F88">
      <w:r>
        <w:t xml:space="preserve">The picture is less clear-cut for other assets. The median slope of relative holdings of business equity was not statistically different across both groups in 2001. In </w:t>
      </w:r>
      <w:r w:rsidR="0091473E">
        <w:t xml:space="preserve">1989 and </w:t>
      </w:r>
      <w:r>
        <w:t xml:space="preserve">1998, the estimate was significantly higher for Blacks/Latinos, while it was significantly lower for this group in the remaining years, with disparities rising in the period before and after the Great Recession. The median slope increased from </w:t>
      </w:r>
      <w:r w:rsidR="0091473E">
        <w:t>4.10</w:t>
      </w:r>
      <w:r>
        <w:t xml:space="preserve"> to 5.</w:t>
      </w:r>
      <w:r w:rsidR="0091473E">
        <w:t>66</w:t>
      </w:r>
      <w:r>
        <w:t xml:space="preserve"> for Blacks/Latinos between 1989 and 199</w:t>
      </w:r>
      <w:r w:rsidR="0091473E">
        <w:t>8</w:t>
      </w:r>
      <w:r>
        <w:t>, falling to 1.</w:t>
      </w:r>
      <w:r w:rsidR="0091473E">
        <w:t>72</w:t>
      </w:r>
      <w:r>
        <w:t xml:space="preserve"> in 2010 before reaching </w:t>
      </w:r>
      <w:r w:rsidR="0091473E">
        <w:t>2</w:t>
      </w:r>
      <w:r>
        <w:t>.</w:t>
      </w:r>
      <w:r w:rsidR="0091473E">
        <w:t>0</w:t>
      </w:r>
      <w:r>
        <w:t xml:space="preserve">2 in 2013. For Whites/other households, the estimate fluctuated between </w:t>
      </w:r>
      <w:r w:rsidR="0091473E">
        <w:t>2.09</w:t>
      </w:r>
      <w:r>
        <w:t xml:space="preserve"> in 1989 and </w:t>
      </w:r>
      <w:r w:rsidR="0091473E">
        <w:t>4.22</w:t>
      </w:r>
      <w:r>
        <w:t xml:space="preserve"> in 2007, falling to </w:t>
      </w:r>
      <w:r w:rsidR="0091473E">
        <w:t>3.09</w:t>
      </w:r>
      <w:r>
        <w:t xml:space="preserve"> in 2010 before peaking at 4.</w:t>
      </w:r>
      <w:r w:rsidR="0091473E">
        <w:t>54</w:t>
      </w:r>
      <w:r>
        <w:t xml:space="preserve"> in 2013.  Moreover, the median slope of relative holdings of financial investment assets was significantly higher for Blacks/Latinos between 1989 and 20</w:t>
      </w:r>
      <w:r w:rsidR="0091473E">
        <w:t>10</w:t>
      </w:r>
      <w:r>
        <w:t xml:space="preserve">. After the Great Recession, in 2013, the estimate became significantly higher for Whites/other ethnicity households. For Blacks/Latinos, the value of the median slope </w:t>
      </w:r>
      <w:r w:rsidR="0091473E">
        <w:t>declined</w:t>
      </w:r>
      <w:r>
        <w:t xml:space="preserve"> between 1989 and </w:t>
      </w:r>
      <w:r w:rsidR="0091473E">
        <w:t xml:space="preserve">1995 </w:t>
      </w:r>
      <w:r>
        <w:t xml:space="preserve">from 4.95 to </w:t>
      </w:r>
      <w:r w:rsidR="0091473E">
        <w:t>2.48, rising to a peak of 8.56 in 2007 and falling to 2.14 in 2013.</w:t>
      </w:r>
      <w:r>
        <w:t xml:space="preserve"> For Whites/other ethnicities, the estimate increased from 1.</w:t>
      </w:r>
      <w:r w:rsidR="0091473E">
        <w:t>41</w:t>
      </w:r>
      <w:r>
        <w:t xml:space="preserve"> in 1989 to </w:t>
      </w:r>
      <w:r w:rsidR="0091473E">
        <w:t>2.48</w:t>
      </w:r>
      <w:r>
        <w:t xml:space="preserve"> in 2004, rising after the Great Recession to </w:t>
      </w:r>
      <w:r w:rsidR="0091473E">
        <w:t>3.6</w:t>
      </w:r>
      <w:r>
        <w:t xml:space="preserve"> in 2013. </w:t>
      </w:r>
    </w:p>
    <w:p w14:paraId="3A8F1CDD" w14:textId="77777777" w:rsidR="0091473E" w:rsidRDefault="004B5F88" w:rsidP="004B5F88">
      <w:r>
        <w:t xml:space="preserve">Similarly, between 1989 and </w:t>
      </w:r>
      <w:r w:rsidR="0091473E">
        <w:t>2007</w:t>
      </w:r>
      <w:r>
        <w:t xml:space="preserve">, the median slope of relative holdings of transaction accounts was significantly higher for Blacks/Latinos. </w:t>
      </w:r>
      <w:r w:rsidR="0091473E">
        <w:t>After the Great Recession, i</w:t>
      </w:r>
      <w:r>
        <w:t xml:space="preserve">n </w:t>
      </w:r>
      <w:r w:rsidR="0091473E">
        <w:t>2010</w:t>
      </w:r>
      <w:r>
        <w:t xml:space="preserve"> and </w:t>
      </w:r>
      <w:r w:rsidR="0091473E">
        <w:t>2013</w:t>
      </w:r>
      <w:r>
        <w:t xml:space="preserve">, the estimates </w:t>
      </w:r>
      <w:r w:rsidR="0091473E">
        <w:t>were</w:t>
      </w:r>
      <w:r>
        <w:t xml:space="preserve"> significantly higher for Whites/other ethnicities. The median slope for Blacks/Latinos declined from </w:t>
      </w:r>
      <w:r w:rsidR="0091473E">
        <w:t>1.22</w:t>
      </w:r>
      <w:r>
        <w:t xml:space="preserve"> in 1989 to </w:t>
      </w:r>
      <w:r w:rsidR="0091473E">
        <w:t>0</w:t>
      </w:r>
      <w:r>
        <w:t xml:space="preserve"> in 2001, rising briefly to 0.</w:t>
      </w:r>
      <w:r w:rsidR="0091473E">
        <w:t>34</w:t>
      </w:r>
      <w:r>
        <w:t xml:space="preserve"> in 2004 before falling to 0 in 2013. In contrast, the estimate increased for Whites/other ethnicities from </w:t>
      </w:r>
      <w:r w:rsidR="0091473E">
        <w:t>-</w:t>
      </w:r>
      <w:r>
        <w:t>0</w:t>
      </w:r>
      <w:r w:rsidR="0091473E">
        <w:t>.22</w:t>
      </w:r>
      <w:r>
        <w:t xml:space="preserve"> in 1989 to 0.</w:t>
      </w:r>
      <w:r w:rsidR="0091473E">
        <w:t>16</w:t>
      </w:r>
      <w:r>
        <w:t xml:space="preserve"> in 1995, falling to </w:t>
      </w:r>
      <w:r w:rsidR="0091473E">
        <w:t xml:space="preserve">approximately -0.2 in 1998 and 2001 before </w:t>
      </w:r>
      <w:r>
        <w:t>increasing to 0.</w:t>
      </w:r>
      <w:r w:rsidR="0091473E">
        <w:t>26</w:t>
      </w:r>
      <w:r>
        <w:t xml:space="preserve"> in 2013</w:t>
      </w:r>
      <w:r w:rsidR="0091473E">
        <w:t>.</w:t>
      </w:r>
    </w:p>
    <w:p w14:paraId="397EE8F2" w14:textId="256E514B" w:rsidR="004B5F88" w:rsidRDefault="004B5F88" w:rsidP="004B5F88">
      <w:r>
        <w:t>In terms of debt, the median slope of relative holdings of mortgages secured by main residence was significantly lower for Blacks/Latinos in the period, falling from 0.</w:t>
      </w:r>
      <w:r w:rsidR="00733D5B">
        <w:t>57</w:t>
      </w:r>
      <w:r>
        <w:t xml:space="preserve"> in 1989 to 0.</w:t>
      </w:r>
      <w:r w:rsidR="007873D2">
        <w:t>47</w:t>
      </w:r>
      <w:r>
        <w:t xml:space="preserve"> in 2013, with a brief increase to 0.</w:t>
      </w:r>
      <w:r w:rsidR="007873D2">
        <w:t>61</w:t>
      </w:r>
      <w:r>
        <w:t xml:space="preserve"> in 2007. For Whites/other ethnicities, the estimate increased from 0.</w:t>
      </w:r>
      <w:r w:rsidR="007873D2">
        <w:t>81</w:t>
      </w:r>
      <w:r>
        <w:t xml:space="preserve"> in 1989 to 0.</w:t>
      </w:r>
      <w:r w:rsidR="007873D2">
        <w:t>85</w:t>
      </w:r>
      <w:r>
        <w:t xml:space="preserve"> in 2001, falling to 0.</w:t>
      </w:r>
      <w:r w:rsidR="007873D2">
        <w:t>76</w:t>
      </w:r>
      <w:r>
        <w:t xml:space="preserve"> in 2013, with a low of 0.</w:t>
      </w:r>
      <w:r w:rsidR="007873D2">
        <w:t>64</w:t>
      </w:r>
      <w:r>
        <w:t xml:space="preserve"> in 2010 after the Great Recession. Furthermore, Black/Latino households experienced higher increases in the </w:t>
      </w:r>
      <w:r w:rsidR="00AE300C">
        <w:t>median income ratio</w:t>
      </w:r>
      <w:r>
        <w:t xml:space="preserve"> from a one percentage point rise in the share of debt secured by other property in 1989, 1992, and 2001. In 1998, the difference across race was not statistically significant, </w:t>
      </w:r>
      <w:r w:rsidR="000141FC">
        <w:t>with</w:t>
      </w:r>
      <w:r>
        <w:t xml:space="preserve"> </w:t>
      </w:r>
      <w:r w:rsidR="000141FC">
        <w:t xml:space="preserve">higher </w:t>
      </w:r>
      <w:r>
        <w:t xml:space="preserve">estimate for Whites/other ethnicities in the remaining years. For that group, the median slope declined initially from </w:t>
      </w:r>
      <w:r w:rsidR="007873D2">
        <w:t>2.09</w:t>
      </w:r>
      <w:r>
        <w:t xml:space="preserve"> in 1989 to 1.</w:t>
      </w:r>
      <w:r w:rsidR="007873D2">
        <w:t>77</w:t>
      </w:r>
      <w:r>
        <w:t xml:space="preserve"> in 1998, rising to </w:t>
      </w:r>
      <w:r w:rsidR="007873D2">
        <w:t>3.44</w:t>
      </w:r>
      <w:r>
        <w:t xml:space="preserve"> in 2007 before falling to </w:t>
      </w:r>
      <w:r w:rsidR="007873D2">
        <w:t>2.5</w:t>
      </w:r>
      <w:r>
        <w:t xml:space="preserve"> in 2013. The estimate for Blacks/Latinos fluctuated between 1989 and 2001, falling </w:t>
      </w:r>
      <w:r>
        <w:lastRenderedPageBreak/>
        <w:t>from 3.</w:t>
      </w:r>
      <w:r w:rsidR="007873D2">
        <w:t>58</w:t>
      </w:r>
      <w:r>
        <w:t xml:space="preserve"> in 1989 to </w:t>
      </w:r>
      <w:r w:rsidR="007873D2">
        <w:t>1.23</w:t>
      </w:r>
      <w:r>
        <w:t xml:space="preserve"> in 2013, with temporary increases to </w:t>
      </w:r>
      <w:r w:rsidR="007873D2">
        <w:t>4.2 in 1992, 2.89</w:t>
      </w:r>
      <w:r>
        <w:t xml:space="preserve"> in 2001</w:t>
      </w:r>
      <w:r w:rsidR="007873D2">
        <w:t>,</w:t>
      </w:r>
      <w:r>
        <w:t xml:space="preserve"> and </w:t>
      </w:r>
      <w:r w:rsidR="007873D2">
        <w:t>2.08</w:t>
      </w:r>
      <w:r>
        <w:t xml:space="preserve"> in 2010. </w:t>
      </w:r>
    </w:p>
    <w:p w14:paraId="33F39205" w14:textId="00BDAF1A" w:rsidR="004B5F88" w:rsidRDefault="004B5F88" w:rsidP="004B5F88">
      <w:r>
        <w:t>The median slope of relative holdings of instalment debt was negative for both groups over the period</w:t>
      </w:r>
      <w:r w:rsidR="000141FC">
        <w:t>. It was</w:t>
      </w:r>
      <w:r>
        <w:t xml:space="preserve"> significantly less negative for Black/Latino households</w:t>
      </w:r>
      <w:r w:rsidR="000141FC">
        <w:t xml:space="preserve">, </w:t>
      </w:r>
      <w:r>
        <w:t>declin</w:t>
      </w:r>
      <w:r w:rsidR="000141FC">
        <w:t>ing</w:t>
      </w:r>
      <w:r>
        <w:t xml:space="preserve"> in absolute terms from -0.3</w:t>
      </w:r>
      <w:r w:rsidR="007873D2">
        <w:t>9</w:t>
      </w:r>
      <w:r>
        <w:t xml:space="preserve"> in 1989 to -0.0</w:t>
      </w:r>
      <w:r w:rsidR="007873D2">
        <w:t>8</w:t>
      </w:r>
      <w:r>
        <w:t xml:space="preserve"> in 200</w:t>
      </w:r>
      <w:r w:rsidR="007873D2">
        <w:t>1</w:t>
      </w:r>
      <w:r w:rsidR="000141FC">
        <w:t xml:space="preserve"> and</w:t>
      </w:r>
      <w:r>
        <w:t xml:space="preserve"> reaching -0.</w:t>
      </w:r>
      <w:r w:rsidR="007873D2">
        <w:t>26</w:t>
      </w:r>
      <w:r>
        <w:t xml:space="preserve"> in 2013. For Whites/other ethnicities, the </w:t>
      </w:r>
      <w:r w:rsidR="000141FC">
        <w:t>estimate</w:t>
      </w:r>
      <w:r>
        <w:t xml:space="preserve"> fell in absolute terms from -0.6</w:t>
      </w:r>
      <w:r w:rsidR="007873D2">
        <w:t>5</w:t>
      </w:r>
      <w:r>
        <w:t xml:space="preserve"> in 1989 to -0.3</w:t>
      </w:r>
      <w:r w:rsidR="007873D2">
        <w:t>6</w:t>
      </w:r>
      <w:r>
        <w:t xml:space="preserve"> in 2004, rising to -0.5 in 2013. Similarly, the median slope of relative holdings of credit card debt was significantly higher and positive for Black/Latino households in all years</w:t>
      </w:r>
      <w:r w:rsidR="007873D2">
        <w:t xml:space="preserve"> except for 2001 and 2004</w:t>
      </w:r>
      <w:r>
        <w:t xml:space="preserve">, and negative for Whites/other ethnicities. For the former group, the estimate </w:t>
      </w:r>
      <w:r w:rsidR="000141FC">
        <w:t>fell</w:t>
      </w:r>
      <w:r>
        <w:t xml:space="preserve"> from 0.</w:t>
      </w:r>
      <w:r w:rsidR="007873D2">
        <w:t>51</w:t>
      </w:r>
      <w:r>
        <w:t xml:space="preserve"> in 1989 to </w:t>
      </w:r>
      <w:r w:rsidR="008A1431">
        <w:t>-</w:t>
      </w:r>
      <w:r>
        <w:t>0</w:t>
      </w:r>
      <w:r w:rsidR="008A1431">
        <w:t>.11</w:t>
      </w:r>
      <w:r>
        <w:t xml:space="preserve"> in 20</w:t>
      </w:r>
      <w:r w:rsidR="008A1431">
        <w:t>0</w:t>
      </w:r>
      <w:r>
        <w:t>1, rising to 0.</w:t>
      </w:r>
      <w:r w:rsidR="008A1431">
        <w:t>28</w:t>
      </w:r>
      <w:r>
        <w:t xml:space="preserve"> in 2013. For Whites/other ethnicities, the median slope rose in absolute terms from -0.</w:t>
      </w:r>
      <w:r w:rsidR="008A1431">
        <w:t>24</w:t>
      </w:r>
      <w:r>
        <w:t xml:space="preserve"> in 1989 to -0.9</w:t>
      </w:r>
      <w:r w:rsidR="008A1431">
        <w:t>4</w:t>
      </w:r>
      <w:r>
        <w:t xml:space="preserve"> in 2001, reaching -0.5</w:t>
      </w:r>
      <w:r w:rsidR="008A1431">
        <w:t>7</w:t>
      </w:r>
      <w:r>
        <w:t xml:space="preserve"> in 2013. Moreover, the median slope of relative holdings of other debt were not significantly different across race in </w:t>
      </w:r>
      <w:r w:rsidR="008A1431">
        <w:t>2001</w:t>
      </w:r>
      <w:r>
        <w:t>. In 1992 and 2007, the estimate was significantly higher for Blacks/Latinos compared to Whites/other ethnicities. For the former, the median slope fell from 0.</w:t>
      </w:r>
      <w:r w:rsidR="008A1431">
        <w:t>37</w:t>
      </w:r>
      <w:r>
        <w:t xml:space="preserve"> in 1989 to -0.</w:t>
      </w:r>
      <w:r w:rsidR="008A1431">
        <w:t>24</w:t>
      </w:r>
      <w:r>
        <w:t xml:space="preserve"> in 1995, reaching 0.</w:t>
      </w:r>
      <w:r w:rsidR="008A1431">
        <w:t>07</w:t>
      </w:r>
      <w:r>
        <w:t xml:space="preserve"> in 2013. After an initial decline, the estimate rose</w:t>
      </w:r>
      <w:r w:rsidRPr="00CA7691">
        <w:t xml:space="preserve"> </w:t>
      </w:r>
      <w:r>
        <w:t>for Whites/other ethnicities from 0.</w:t>
      </w:r>
      <w:r w:rsidR="008A1431">
        <w:t>61</w:t>
      </w:r>
      <w:r>
        <w:t xml:space="preserve"> in 1989 to </w:t>
      </w:r>
      <w:r w:rsidR="008A1431">
        <w:t>1.04</w:t>
      </w:r>
      <w:r>
        <w:t xml:space="preserve"> in 1998, fluctuating between positive and negative values until reaching </w:t>
      </w:r>
      <w:r w:rsidR="008A1431">
        <w:t>1.29</w:t>
      </w:r>
      <w:r>
        <w:t xml:space="preserve"> in 2013.</w:t>
      </w:r>
    </w:p>
    <w:p w14:paraId="22359725" w14:textId="67E1C65F" w:rsidR="004B5F88" w:rsidRDefault="004B5F88" w:rsidP="004B5F88">
      <w:r>
        <w:t>Moreover, the median slope of debt-service-to-income ratio was significantly higher and positive for Blacks/Latinos in all years</w:t>
      </w:r>
      <w:r w:rsidR="00E37C9D">
        <w:t xml:space="preserve"> except for 1995</w:t>
      </w:r>
      <w:r>
        <w:t xml:space="preserve">. The estimate declined from </w:t>
      </w:r>
      <w:r w:rsidR="00E37C9D">
        <w:t>153.08</w:t>
      </w:r>
      <w:r>
        <w:t xml:space="preserve"> in 1989 to 9</w:t>
      </w:r>
      <w:r w:rsidR="00E37C9D">
        <w:t>1</w:t>
      </w:r>
      <w:r>
        <w:t>.</w:t>
      </w:r>
      <w:r w:rsidR="00E37C9D">
        <w:t>61</w:t>
      </w:r>
      <w:r>
        <w:t xml:space="preserve"> in 2004, rising to </w:t>
      </w:r>
      <w:r w:rsidR="00E37C9D">
        <w:t>129.83</w:t>
      </w:r>
      <w:r>
        <w:t xml:space="preserve"> in 2013. For Whites/other ethnicities the median slope decreased from </w:t>
      </w:r>
      <w:r w:rsidR="00E37C9D">
        <w:t>125.93</w:t>
      </w:r>
      <w:r>
        <w:t xml:space="preserve"> in 1989 to </w:t>
      </w:r>
      <w:r w:rsidR="00E37C9D">
        <w:t>74.47</w:t>
      </w:r>
      <w:r>
        <w:t xml:space="preserve"> in 2004,</w:t>
      </w:r>
      <w:r w:rsidR="002F1955">
        <w:t xml:space="preserve"> </w:t>
      </w:r>
      <w:r>
        <w:t xml:space="preserve">reaching </w:t>
      </w:r>
      <w:r w:rsidR="00E37C9D">
        <w:t xml:space="preserve">96.67 </w:t>
      </w:r>
      <w:r>
        <w:t>in 2013.</w:t>
      </w:r>
      <w:r w:rsidR="00E37C9D">
        <w:t xml:space="preserve"> </w:t>
      </w:r>
      <w:r w:rsidR="00C7618F">
        <w:t>Similarly, apart from 1995 and 1998 the median slope of debt-to-income ratio was significantly higher for Blacks/Latinos in the period, falling from 47.33 to 16.72 between 1989 and 2013. For Whites/other ethnicities the estimate decreased from 42.27 in 1989 to 11.64 in 2010, rising to 15.61 in 2013.</w:t>
      </w:r>
      <w:r w:rsidR="00C7618F">
        <w:t xml:space="preserve"> </w:t>
      </w:r>
      <w:r w:rsidR="00E37C9D">
        <w:t>T</w:t>
      </w:r>
      <w:r>
        <w:t xml:space="preserve">he median slope estimate for debt-to-asset ratio was significantly higher for Blacks/Latinos in </w:t>
      </w:r>
      <w:r w:rsidR="00E37C9D">
        <w:t>2001, 2004, and 2007, and significantly lower for this group compared to White/other ethnicity households in 1989, 1992, 1995, and 2013.</w:t>
      </w:r>
      <w:proofErr w:type="gramStart"/>
      <w:r w:rsidR="00E37C9D">
        <w:t xml:space="preserve"> </w:t>
      </w:r>
      <w:proofErr w:type="gramEnd"/>
      <w:r w:rsidR="00E37C9D">
        <w:t>For the former</w:t>
      </w:r>
      <w:r w:rsidR="00C7618F">
        <w:t xml:space="preserve"> group</w:t>
      </w:r>
      <w:r w:rsidR="00E37C9D">
        <w:t xml:space="preserve">, the estimate fell </w:t>
      </w:r>
      <w:r>
        <w:t xml:space="preserve">from </w:t>
      </w:r>
      <w:r w:rsidR="00E37C9D">
        <w:t>40.52</w:t>
      </w:r>
      <w:r>
        <w:t xml:space="preserve"> in 1989 to </w:t>
      </w:r>
      <w:r w:rsidR="00E37C9D">
        <w:t>1</w:t>
      </w:r>
      <w:r>
        <w:t>3.</w:t>
      </w:r>
      <w:r w:rsidR="00E37C9D">
        <w:t>28</w:t>
      </w:r>
      <w:r>
        <w:t xml:space="preserve"> in 2013</w:t>
      </w:r>
      <w:r w:rsidR="00C7618F">
        <w:t xml:space="preserve">, while for </w:t>
      </w:r>
      <w:r>
        <w:t>Whites/other ethnicities</w:t>
      </w:r>
      <w:r w:rsidR="00C7618F">
        <w:t xml:space="preserve"> it</w:t>
      </w:r>
      <w:r>
        <w:t xml:space="preserve"> declined from </w:t>
      </w:r>
      <w:r w:rsidR="00E37C9D">
        <w:t>50.07</w:t>
      </w:r>
      <w:r>
        <w:t xml:space="preserve"> in 1989 to </w:t>
      </w:r>
      <w:r w:rsidR="00E37C9D">
        <w:t xml:space="preserve">14.74 </w:t>
      </w:r>
      <w:r>
        <w:t xml:space="preserve">in 2013, with a low of </w:t>
      </w:r>
      <w:r w:rsidR="00E37C9D">
        <w:t>11.33</w:t>
      </w:r>
      <w:r>
        <w:t xml:space="preserve"> in 2010. </w:t>
      </w:r>
    </w:p>
    <w:p w14:paraId="7CF42B4C" w14:textId="2B63D4BA" w:rsidR="004B5F88" w:rsidRDefault="00391EEC" w:rsidP="004B5F88">
      <w:r>
        <w:t>In sum, relative incomes of Black and Latino households benefited to a smaller extent from greater relative holdings of other real estate, retirement and insurance assets, mortgages secured by main residence</w:t>
      </w:r>
      <w:r w:rsidR="00C7618F">
        <w:t>, and business equity since the subprime period</w:t>
      </w:r>
      <w:r>
        <w:t xml:space="preserve"> compared to White/other ethnicity households. Black and Latino households are found to rely comparatively more on relative holdings of vehicles</w:t>
      </w:r>
      <w:r w:rsidR="00C7618F">
        <w:t xml:space="preserve">, </w:t>
      </w:r>
      <w:r>
        <w:t>credit card debt</w:t>
      </w:r>
      <w:r w:rsidR="00C7618F">
        <w:t>, financial investment assets prior to 2013,</w:t>
      </w:r>
      <w:r>
        <w:t xml:space="preserve"> and higher leverage in improving their position in the income distribution compared to Whites/other ethnicities. Higher </w:t>
      </w:r>
      <w:r>
        <w:lastRenderedPageBreak/>
        <w:t xml:space="preserve">gains from relative holdings of primary residence for Blacks and Latinos indicate that rising homeownership rates among these groups </w:t>
      </w:r>
      <w:r w:rsidR="0091234C">
        <w:t>was associated with</w:t>
      </w:r>
      <w:r>
        <w:t xml:space="preserve"> higher gains in relative income, revealing a potential source of reducing racial income inequality. </w:t>
      </w:r>
    </w:p>
    <w:p w14:paraId="624CF340" w14:textId="77777777" w:rsidR="004B5F88" w:rsidRDefault="004B5F88" w:rsidP="00391EEC">
      <w:pPr>
        <w:ind w:firstLine="0"/>
        <w:rPr>
          <w:rFonts w:ascii="Times New Roman" w:hAnsi="Times New Roman" w:cs="Times New Roman"/>
        </w:rPr>
        <w:sectPr w:rsidR="004B5F88" w:rsidSect="005634A0">
          <w:pgSz w:w="11900" w:h="16840"/>
          <w:pgMar w:top="1440" w:right="1440" w:bottom="1440" w:left="1440" w:header="708" w:footer="708" w:gutter="0"/>
          <w:cols w:space="708"/>
          <w:docGrid w:linePitch="360"/>
        </w:sectPr>
      </w:pPr>
      <w:bookmarkStart w:id="2" w:name="_Toc496807500"/>
      <w:bookmarkStart w:id="3" w:name="_Toc496874365"/>
    </w:p>
    <w:p w14:paraId="3D344A37" w14:textId="2CB68CA9" w:rsidR="004B5F88" w:rsidRPr="004B5F88" w:rsidRDefault="004B5F88" w:rsidP="004B5F88">
      <w:pPr>
        <w:spacing w:after="0" w:line="240" w:lineRule="auto"/>
        <w:ind w:firstLine="0"/>
        <w:jc w:val="center"/>
        <w:rPr>
          <w:rFonts w:ascii="Times New Roman" w:eastAsia="Calibri" w:hAnsi="Times New Roman" w:cs="Times New Roman"/>
          <w:iCs/>
          <w:color w:val="000000"/>
          <w:szCs w:val="23"/>
        </w:rPr>
      </w:pPr>
      <w:r w:rsidRPr="004B5F88">
        <w:rPr>
          <w:rFonts w:ascii="Times New Roman" w:eastAsia="Calibri" w:hAnsi="Times New Roman" w:cs="Times New Roman"/>
          <w:b/>
          <w:iCs/>
          <w:color w:val="000000"/>
          <w:szCs w:val="23"/>
        </w:rPr>
        <w:lastRenderedPageBreak/>
        <w:t xml:space="preserve">Table </w:t>
      </w:r>
      <w:r w:rsidRPr="004B5F88">
        <w:rPr>
          <w:rFonts w:ascii="Times New Roman" w:eastAsia="Calibri" w:hAnsi="Times New Roman" w:cs="Times New Roman"/>
          <w:b/>
          <w:iCs/>
          <w:color w:val="000000"/>
          <w:szCs w:val="23"/>
        </w:rPr>
        <w:fldChar w:fldCharType="begin"/>
      </w:r>
      <w:r w:rsidRPr="004B5F88">
        <w:rPr>
          <w:rFonts w:ascii="Times New Roman" w:eastAsia="Calibri" w:hAnsi="Times New Roman" w:cs="Times New Roman"/>
          <w:b/>
          <w:iCs/>
          <w:color w:val="000000"/>
          <w:szCs w:val="23"/>
        </w:rPr>
        <w:instrText xml:space="preserve"> SEQ Table \* ARABIC </w:instrText>
      </w:r>
      <w:r w:rsidRPr="004B5F88">
        <w:rPr>
          <w:rFonts w:ascii="Times New Roman" w:eastAsia="Calibri" w:hAnsi="Times New Roman" w:cs="Times New Roman"/>
          <w:b/>
          <w:iCs/>
          <w:color w:val="000000"/>
          <w:szCs w:val="23"/>
        </w:rPr>
        <w:fldChar w:fldCharType="separate"/>
      </w:r>
      <w:r w:rsidRPr="004B5F88">
        <w:rPr>
          <w:rFonts w:ascii="Times New Roman" w:eastAsia="Calibri" w:hAnsi="Times New Roman" w:cs="Times New Roman"/>
          <w:b/>
          <w:iCs/>
          <w:color w:val="000000"/>
          <w:szCs w:val="23"/>
        </w:rPr>
        <w:t>4</w:t>
      </w:r>
      <w:r w:rsidRPr="004B5F88">
        <w:rPr>
          <w:rFonts w:ascii="Times New Roman" w:eastAsia="Calibri" w:hAnsi="Times New Roman" w:cs="Times New Roman"/>
          <w:b/>
          <w:iCs/>
          <w:color w:val="000000"/>
          <w:szCs w:val="23"/>
        </w:rPr>
        <w:fldChar w:fldCharType="end"/>
      </w:r>
      <w:r w:rsidRPr="004B5F88">
        <w:rPr>
          <w:rFonts w:ascii="Times New Roman" w:eastAsia="Calibri" w:hAnsi="Times New Roman" w:cs="Times New Roman"/>
          <w:b/>
          <w:iCs/>
          <w:color w:val="000000"/>
          <w:szCs w:val="23"/>
        </w:rPr>
        <w:t xml:space="preserve">. </w:t>
      </w:r>
      <w:r w:rsidRPr="004B5F88">
        <w:rPr>
          <w:rFonts w:ascii="Times New Roman" w:eastAsia="Calibri" w:hAnsi="Times New Roman" w:cs="Times New Roman"/>
          <w:iCs/>
          <w:color w:val="000000"/>
          <w:szCs w:val="23"/>
        </w:rPr>
        <w:t xml:space="preserve">Theil-Sen median slope for the </w:t>
      </w:r>
      <w:r w:rsidR="00AE300C">
        <w:rPr>
          <w:rFonts w:ascii="Times New Roman" w:eastAsia="Calibri" w:hAnsi="Times New Roman" w:cs="Times New Roman"/>
          <w:iCs/>
          <w:color w:val="000000"/>
          <w:szCs w:val="23"/>
        </w:rPr>
        <w:t>median income ratio</w:t>
      </w:r>
      <w:r w:rsidRPr="004B5F88">
        <w:rPr>
          <w:rFonts w:ascii="Times New Roman" w:eastAsia="Calibri" w:hAnsi="Times New Roman" w:cs="Times New Roman"/>
          <w:iCs/>
          <w:color w:val="000000"/>
          <w:szCs w:val="23"/>
        </w:rPr>
        <w:t>, by race of household head, 1989-2013</w:t>
      </w:r>
    </w:p>
    <w:tbl>
      <w:tblPr>
        <w:tblpPr w:leftFromText="180" w:rightFromText="180" w:vertAnchor="page" w:horzAnchor="margin" w:tblpXSpec="center" w:tblpY="2056"/>
        <w:tblW w:w="15993" w:type="dxa"/>
        <w:tblLayout w:type="fixed"/>
        <w:tblLook w:val="04A0" w:firstRow="1" w:lastRow="0" w:firstColumn="1" w:lastColumn="0" w:noHBand="0" w:noVBand="1"/>
      </w:tblPr>
      <w:tblGrid>
        <w:gridCol w:w="1701"/>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4B5F88" w:rsidRPr="004B5F88" w14:paraId="1234048E" w14:textId="77777777" w:rsidTr="004B5F88">
        <w:trPr>
          <w:trHeight w:val="227"/>
        </w:trPr>
        <w:tc>
          <w:tcPr>
            <w:tcW w:w="1701" w:type="dxa"/>
            <w:vMerge w:val="restart"/>
            <w:tcBorders>
              <w:top w:val="single" w:sz="4" w:space="0" w:color="auto"/>
              <w:left w:val="single" w:sz="4" w:space="0" w:color="auto"/>
              <w:right w:val="single" w:sz="4" w:space="0" w:color="auto"/>
            </w:tcBorders>
            <w:shd w:val="clear" w:color="auto" w:fill="auto"/>
            <w:noWrap/>
            <w:vAlign w:val="bottom"/>
            <w:hideMark/>
          </w:tcPr>
          <w:p w14:paraId="79CD36B7" w14:textId="776BF34D" w:rsidR="004B5F88" w:rsidRPr="004B5F88" w:rsidRDefault="00AE300C" w:rsidP="004B5F88">
            <w:pPr>
              <w:spacing w:after="0" w:line="240" w:lineRule="auto"/>
              <w:ind w:firstLine="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Median income ratio</w:t>
            </w:r>
          </w:p>
          <w:p w14:paraId="50B8FE52" w14:textId="77777777" w:rsidR="004B5F88" w:rsidRPr="004B5F88" w:rsidRDefault="004B5F88" w:rsidP="004B5F88">
            <w:pPr>
              <w:spacing w:after="0" w:line="240" w:lineRule="auto"/>
              <w:ind w:firstLine="0"/>
              <w:jc w:val="left"/>
              <w:rPr>
                <w:rFonts w:ascii="Times New Roman" w:eastAsia="Times New Roman" w:hAnsi="Times New Roman" w:cs="Times New Roman"/>
                <w:b/>
                <w:bCs/>
                <w:color w:val="000000"/>
                <w:sz w:val="20"/>
                <w:szCs w:val="20"/>
              </w:rPr>
            </w:pPr>
            <w:r w:rsidRPr="004B5F88">
              <w:rPr>
                <w:rFonts w:ascii="Times New Roman" w:eastAsia="Times New Roman" w:hAnsi="Times New Roman" w:cs="Times New Roman"/>
                <w:color w:val="000000"/>
                <w:sz w:val="20"/>
                <w:szCs w:val="20"/>
              </w:rPr>
              <w:t> </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0162BC"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1989</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35A30F"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1992</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BD4B58"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1995</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004117"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1998</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CDEC32"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2001</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EAEFAA"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2004</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F91AC3"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2007</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8461B1"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2010</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A47546" w14:textId="77777777" w:rsidR="004B5F88" w:rsidRPr="004B5F88" w:rsidRDefault="004B5F88" w:rsidP="004B5F88">
            <w:pPr>
              <w:spacing w:after="0" w:line="240" w:lineRule="auto"/>
              <w:ind w:firstLine="0"/>
              <w:jc w:val="center"/>
              <w:rPr>
                <w:rFonts w:ascii="Times New Roman" w:eastAsia="Times New Roman" w:hAnsi="Times New Roman" w:cs="Times New Roman"/>
                <w:b/>
                <w:color w:val="000000"/>
                <w:sz w:val="20"/>
                <w:szCs w:val="20"/>
              </w:rPr>
            </w:pPr>
            <w:r w:rsidRPr="004B5F88">
              <w:rPr>
                <w:rFonts w:ascii="Times New Roman" w:eastAsia="Times New Roman" w:hAnsi="Times New Roman" w:cs="Times New Roman"/>
                <w:b/>
                <w:color w:val="000000"/>
                <w:sz w:val="20"/>
                <w:szCs w:val="20"/>
              </w:rPr>
              <w:t>2013</w:t>
            </w:r>
          </w:p>
        </w:tc>
      </w:tr>
      <w:tr w:rsidR="004B5F88" w:rsidRPr="004B5F88" w14:paraId="162AF38D" w14:textId="77777777" w:rsidTr="004B5F88">
        <w:trPr>
          <w:trHeight w:val="227"/>
        </w:trPr>
        <w:tc>
          <w:tcPr>
            <w:tcW w:w="1701" w:type="dxa"/>
            <w:vMerge/>
            <w:tcBorders>
              <w:left w:val="single" w:sz="4" w:space="0" w:color="auto"/>
              <w:bottom w:val="single" w:sz="4" w:space="0" w:color="auto"/>
              <w:right w:val="single" w:sz="4" w:space="0" w:color="auto"/>
            </w:tcBorders>
            <w:shd w:val="clear" w:color="auto" w:fill="auto"/>
            <w:noWrap/>
            <w:vAlign w:val="bottom"/>
            <w:hideMark/>
          </w:tcPr>
          <w:p w14:paraId="709F7474" w14:textId="77777777" w:rsidR="004B5F88" w:rsidRPr="004B5F88" w:rsidRDefault="004B5F88" w:rsidP="004B5F88">
            <w:pPr>
              <w:spacing w:after="0" w:line="240" w:lineRule="auto"/>
              <w:ind w:firstLine="0"/>
              <w:jc w:val="left"/>
              <w:rPr>
                <w:rFonts w:ascii="Times New Roman" w:eastAsia="Times New Roman" w:hAnsi="Times New Roman" w:cs="Times New Roman"/>
                <w:color w:val="000000"/>
                <w:sz w:val="20"/>
                <w:szCs w:val="20"/>
              </w:rPr>
            </w:pPr>
          </w:p>
        </w:tc>
        <w:tc>
          <w:tcPr>
            <w:tcW w:w="794" w:type="dxa"/>
            <w:tcBorders>
              <w:top w:val="single" w:sz="4" w:space="0" w:color="auto"/>
              <w:left w:val="nil"/>
              <w:bottom w:val="single" w:sz="4" w:space="0" w:color="auto"/>
              <w:right w:val="nil"/>
            </w:tcBorders>
            <w:shd w:val="clear" w:color="auto" w:fill="auto"/>
            <w:noWrap/>
            <w:vAlign w:val="center"/>
            <w:hideMark/>
          </w:tcPr>
          <w:p w14:paraId="3043812D"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28BF58B7"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c>
          <w:tcPr>
            <w:tcW w:w="794" w:type="dxa"/>
            <w:tcBorders>
              <w:top w:val="single" w:sz="4" w:space="0" w:color="auto"/>
              <w:left w:val="nil"/>
              <w:bottom w:val="single" w:sz="4" w:space="0" w:color="auto"/>
              <w:right w:val="nil"/>
            </w:tcBorders>
            <w:shd w:val="clear" w:color="auto" w:fill="auto"/>
            <w:noWrap/>
            <w:vAlign w:val="center"/>
            <w:hideMark/>
          </w:tcPr>
          <w:p w14:paraId="4FBB3541"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5BF6D11C"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c>
          <w:tcPr>
            <w:tcW w:w="794" w:type="dxa"/>
            <w:tcBorders>
              <w:top w:val="single" w:sz="4" w:space="0" w:color="auto"/>
              <w:left w:val="nil"/>
              <w:bottom w:val="single" w:sz="4" w:space="0" w:color="auto"/>
              <w:right w:val="nil"/>
            </w:tcBorders>
            <w:shd w:val="clear" w:color="auto" w:fill="auto"/>
            <w:noWrap/>
            <w:vAlign w:val="center"/>
            <w:hideMark/>
          </w:tcPr>
          <w:p w14:paraId="26C0F87D"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54099AAB"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c>
          <w:tcPr>
            <w:tcW w:w="794" w:type="dxa"/>
            <w:tcBorders>
              <w:top w:val="single" w:sz="4" w:space="0" w:color="auto"/>
              <w:left w:val="nil"/>
              <w:bottom w:val="single" w:sz="4" w:space="0" w:color="auto"/>
              <w:right w:val="nil"/>
            </w:tcBorders>
            <w:shd w:val="clear" w:color="auto" w:fill="auto"/>
            <w:noWrap/>
            <w:vAlign w:val="center"/>
            <w:hideMark/>
          </w:tcPr>
          <w:p w14:paraId="0F7F61FF"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24DF3F3E"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c>
          <w:tcPr>
            <w:tcW w:w="794" w:type="dxa"/>
            <w:tcBorders>
              <w:top w:val="single" w:sz="4" w:space="0" w:color="auto"/>
              <w:left w:val="nil"/>
              <w:bottom w:val="single" w:sz="4" w:space="0" w:color="auto"/>
              <w:right w:val="nil"/>
            </w:tcBorders>
            <w:shd w:val="clear" w:color="auto" w:fill="auto"/>
            <w:noWrap/>
            <w:vAlign w:val="center"/>
            <w:hideMark/>
          </w:tcPr>
          <w:p w14:paraId="2389EB91"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7D1EDC6F"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c>
          <w:tcPr>
            <w:tcW w:w="794" w:type="dxa"/>
            <w:tcBorders>
              <w:top w:val="single" w:sz="4" w:space="0" w:color="auto"/>
              <w:left w:val="nil"/>
              <w:bottom w:val="single" w:sz="4" w:space="0" w:color="auto"/>
              <w:right w:val="nil"/>
            </w:tcBorders>
            <w:shd w:val="clear" w:color="auto" w:fill="auto"/>
            <w:noWrap/>
            <w:vAlign w:val="center"/>
            <w:hideMark/>
          </w:tcPr>
          <w:p w14:paraId="23FB8876"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03AECD58"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c>
          <w:tcPr>
            <w:tcW w:w="794" w:type="dxa"/>
            <w:tcBorders>
              <w:top w:val="single" w:sz="4" w:space="0" w:color="auto"/>
              <w:left w:val="nil"/>
              <w:bottom w:val="single" w:sz="4" w:space="0" w:color="auto"/>
              <w:right w:val="nil"/>
            </w:tcBorders>
            <w:shd w:val="clear" w:color="auto" w:fill="auto"/>
            <w:noWrap/>
            <w:vAlign w:val="center"/>
            <w:hideMark/>
          </w:tcPr>
          <w:p w14:paraId="64085E77"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301CEF98"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c>
          <w:tcPr>
            <w:tcW w:w="794" w:type="dxa"/>
            <w:tcBorders>
              <w:top w:val="single" w:sz="4" w:space="0" w:color="auto"/>
              <w:left w:val="nil"/>
              <w:bottom w:val="single" w:sz="4" w:space="0" w:color="auto"/>
              <w:right w:val="nil"/>
            </w:tcBorders>
            <w:shd w:val="clear" w:color="auto" w:fill="auto"/>
            <w:noWrap/>
            <w:vAlign w:val="center"/>
            <w:hideMark/>
          </w:tcPr>
          <w:p w14:paraId="6120776E"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35928F4D"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c>
          <w:tcPr>
            <w:tcW w:w="794" w:type="dxa"/>
            <w:tcBorders>
              <w:top w:val="single" w:sz="4" w:space="0" w:color="auto"/>
              <w:left w:val="nil"/>
              <w:bottom w:val="single" w:sz="4" w:space="0" w:color="auto"/>
              <w:right w:val="nil"/>
            </w:tcBorders>
            <w:shd w:val="clear" w:color="auto" w:fill="auto"/>
            <w:noWrap/>
            <w:vAlign w:val="center"/>
            <w:hideMark/>
          </w:tcPr>
          <w:p w14:paraId="52905CBB"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Black/Latino</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07425105" w14:textId="77777777" w:rsidR="004B5F88" w:rsidRPr="004B5F88" w:rsidRDefault="004B5F88" w:rsidP="004B5F88">
            <w:pPr>
              <w:spacing w:after="0" w:line="240" w:lineRule="auto"/>
              <w:ind w:firstLine="0"/>
              <w:jc w:val="center"/>
              <w:rPr>
                <w:rFonts w:ascii="Times New Roman" w:eastAsia="Times New Roman" w:hAnsi="Times New Roman" w:cs="Times New Roman"/>
                <w:color w:val="000000"/>
                <w:sz w:val="19"/>
                <w:szCs w:val="19"/>
              </w:rPr>
            </w:pPr>
            <w:r w:rsidRPr="004B5F88">
              <w:rPr>
                <w:rFonts w:ascii="Times New Roman" w:eastAsia="Times New Roman" w:hAnsi="Times New Roman" w:cs="Times New Roman"/>
                <w:color w:val="000000"/>
                <w:sz w:val="19"/>
                <w:szCs w:val="19"/>
              </w:rPr>
              <w:t>White/Other</w:t>
            </w:r>
          </w:p>
        </w:tc>
      </w:tr>
      <w:tr w:rsidR="004B5F88" w:rsidRPr="004B5F88" w14:paraId="68BB54A9" w14:textId="77777777" w:rsidTr="004B5F88">
        <w:trPr>
          <w:trHeight w:val="227"/>
        </w:trPr>
        <w:tc>
          <w:tcPr>
            <w:tcW w:w="15993" w:type="dxa"/>
            <w:gridSpan w:val="19"/>
            <w:tcBorders>
              <w:top w:val="nil"/>
              <w:left w:val="single" w:sz="4" w:space="0" w:color="auto"/>
              <w:bottom w:val="single" w:sz="4" w:space="0" w:color="auto"/>
              <w:right w:val="single" w:sz="4" w:space="0" w:color="auto"/>
            </w:tcBorders>
            <w:shd w:val="clear" w:color="auto" w:fill="auto"/>
            <w:noWrap/>
            <w:vAlign w:val="center"/>
            <w:hideMark/>
          </w:tcPr>
          <w:p w14:paraId="08CE2DAF" w14:textId="77777777" w:rsidR="004B5F88" w:rsidRPr="004B5F88" w:rsidRDefault="004B5F88" w:rsidP="004B5F88">
            <w:pPr>
              <w:spacing w:before="80" w:after="2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b/>
                <w:bCs/>
                <w:color w:val="000000"/>
                <w:sz w:val="20"/>
                <w:szCs w:val="20"/>
              </w:rPr>
              <w:t>Share of total assets</w:t>
            </w:r>
          </w:p>
        </w:tc>
      </w:tr>
      <w:tr w:rsidR="002F1955" w:rsidRPr="004B5F88" w14:paraId="715E774D"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75ABB92C"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Primary residence</w:t>
            </w:r>
          </w:p>
        </w:tc>
        <w:tc>
          <w:tcPr>
            <w:tcW w:w="794" w:type="dxa"/>
            <w:tcBorders>
              <w:top w:val="single" w:sz="4" w:space="0" w:color="auto"/>
              <w:left w:val="nil"/>
              <w:bottom w:val="nil"/>
              <w:right w:val="nil"/>
            </w:tcBorders>
            <w:shd w:val="clear" w:color="auto" w:fill="auto"/>
            <w:noWrap/>
            <w:vAlign w:val="center"/>
            <w:hideMark/>
          </w:tcPr>
          <w:p w14:paraId="57EBCEC2" w14:textId="52273139"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0.13</w:t>
            </w:r>
          </w:p>
        </w:tc>
        <w:tc>
          <w:tcPr>
            <w:tcW w:w="794" w:type="dxa"/>
            <w:tcBorders>
              <w:top w:val="single" w:sz="4" w:space="0" w:color="auto"/>
              <w:left w:val="nil"/>
              <w:bottom w:val="nil"/>
              <w:right w:val="single" w:sz="4" w:space="0" w:color="auto"/>
            </w:tcBorders>
            <w:shd w:val="clear" w:color="000000" w:fill="F2F2F2"/>
            <w:noWrap/>
            <w:vAlign w:val="center"/>
            <w:hideMark/>
          </w:tcPr>
          <w:p w14:paraId="0C67D966" w14:textId="2D9BA45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0.33</w:t>
            </w:r>
          </w:p>
        </w:tc>
        <w:tc>
          <w:tcPr>
            <w:tcW w:w="794" w:type="dxa"/>
            <w:tcBorders>
              <w:top w:val="single" w:sz="4" w:space="0" w:color="auto"/>
              <w:left w:val="nil"/>
              <w:bottom w:val="nil"/>
              <w:right w:val="nil"/>
            </w:tcBorders>
            <w:shd w:val="clear" w:color="auto" w:fill="auto"/>
            <w:noWrap/>
            <w:vAlign w:val="center"/>
            <w:hideMark/>
          </w:tcPr>
          <w:p w14:paraId="070BC745" w14:textId="4AF2A33E"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single" w:sz="4" w:space="0" w:color="auto"/>
              <w:left w:val="nil"/>
              <w:bottom w:val="nil"/>
              <w:right w:val="single" w:sz="4" w:space="0" w:color="auto"/>
            </w:tcBorders>
            <w:shd w:val="clear" w:color="000000" w:fill="F2F2F2"/>
            <w:noWrap/>
            <w:vAlign w:val="center"/>
            <w:hideMark/>
          </w:tcPr>
          <w:p w14:paraId="69E851CB" w14:textId="53652FC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0.12</w:t>
            </w:r>
          </w:p>
        </w:tc>
        <w:tc>
          <w:tcPr>
            <w:tcW w:w="794" w:type="dxa"/>
            <w:tcBorders>
              <w:top w:val="single" w:sz="4" w:space="0" w:color="auto"/>
              <w:left w:val="nil"/>
              <w:bottom w:val="nil"/>
              <w:right w:val="nil"/>
            </w:tcBorders>
            <w:shd w:val="clear" w:color="auto" w:fill="auto"/>
            <w:noWrap/>
            <w:vAlign w:val="center"/>
            <w:hideMark/>
          </w:tcPr>
          <w:p w14:paraId="1096CDA3" w14:textId="3ED53D6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0.29</w:t>
            </w:r>
          </w:p>
        </w:tc>
        <w:tc>
          <w:tcPr>
            <w:tcW w:w="794" w:type="dxa"/>
            <w:tcBorders>
              <w:top w:val="single" w:sz="4" w:space="0" w:color="auto"/>
              <w:left w:val="nil"/>
              <w:bottom w:val="nil"/>
              <w:right w:val="single" w:sz="4" w:space="0" w:color="auto"/>
            </w:tcBorders>
            <w:shd w:val="clear" w:color="000000" w:fill="F2F2F2"/>
            <w:noWrap/>
            <w:vAlign w:val="center"/>
            <w:hideMark/>
          </w:tcPr>
          <w:p w14:paraId="045BA77B" w14:textId="16EA048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0.15</w:t>
            </w:r>
          </w:p>
        </w:tc>
        <w:tc>
          <w:tcPr>
            <w:tcW w:w="794" w:type="dxa"/>
            <w:tcBorders>
              <w:top w:val="single" w:sz="4" w:space="0" w:color="auto"/>
              <w:left w:val="nil"/>
              <w:bottom w:val="nil"/>
              <w:right w:val="nil"/>
            </w:tcBorders>
            <w:shd w:val="clear" w:color="auto" w:fill="auto"/>
            <w:noWrap/>
            <w:vAlign w:val="center"/>
            <w:hideMark/>
          </w:tcPr>
          <w:p w14:paraId="4B34D52D" w14:textId="7D350FD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0.15</w:t>
            </w:r>
          </w:p>
        </w:tc>
        <w:tc>
          <w:tcPr>
            <w:tcW w:w="794" w:type="dxa"/>
            <w:tcBorders>
              <w:top w:val="single" w:sz="4" w:space="0" w:color="auto"/>
              <w:left w:val="nil"/>
              <w:bottom w:val="nil"/>
              <w:right w:val="single" w:sz="4" w:space="0" w:color="auto"/>
            </w:tcBorders>
            <w:shd w:val="clear" w:color="000000" w:fill="F2F2F2"/>
            <w:noWrap/>
            <w:vAlign w:val="center"/>
            <w:hideMark/>
          </w:tcPr>
          <w:p w14:paraId="44E301BB" w14:textId="6A336A7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0.21</w:t>
            </w:r>
          </w:p>
        </w:tc>
        <w:tc>
          <w:tcPr>
            <w:tcW w:w="794" w:type="dxa"/>
            <w:tcBorders>
              <w:top w:val="single" w:sz="4" w:space="0" w:color="auto"/>
              <w:left w:val="nil"/>
              <w:bottom w:val="nil"/>
              <w:right w:val="nil"/>
            </w:tcBorders>
            <w:shd w:val="clear" w:color="auto" w:fill="auto"/>
            <w:noWrap/>
            <w:vAlign w:val="center"/>
            <w:hideMark/>
          </w:tcPr>
          <w:p w14:paraId="53C6295E" w14:textId="52B1EC1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0.33</w:t>
            </w:r>
          </w:p>
        </w:tc>
        <w:tc>
          <w:tcPr>
            <w:tcW w:w="794" w:type="dxa"/>
            <w:tcBorders>
              <w:top w:val="single" w:sz="4" w:space="0" w:color="auto"/>
              <w:left w:val="nil"/>
              <w:bottom w:val="nil"/>
              <w:right w:val="single" w:sz="4" w:space="0" w:color="auto"/>
            </w:tcBorders>
            <w:shd w:val="clear" w:color="000000" w:fill="F2F2F2"/>
            <w:noWrap/>
            <w:vAlign w:val="center"/>
            <w:hideMark/>
          </w:tcPr>
          <w:p w14:paraId="742DCB18" w14:textId="10820123"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0.05</w:t>
            </w:r>
          </w:p>
        </w:tc>
        <w:tc>
          <w:tcPr>
            <w:tcW w:w="794" w:type="dxa"/>
            <w:tcBorders>
              <w:top w:val="single" w:sz="4" w:space="0" w:color="auto"/>
              <w:left w:val="nil"/>
              <w:bottom w:val="nil"/>
              <w:right w:val="nil"/>
            </w:tcBorders>
            <w:shd w:val="clear" w:color="auto" w:fill="auto"/>
            <w:noWrap/>
            <w:vAlign w:val="center"/>
            <w:hideMark/>
          </w:tcPr>
          <w:p w14:paraId="1BD550A8" w14:textId="495DA798"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0.13</w:t>
            </w:r>
          </w:p>
        </w:tc>
        <w:tc>
          <w:tcPr>
            <w:tcW w:w="794" w:type="dxa"/>
            <w:tcBorders>
              <w:top w:val="single" w:sz="4" w:space="0" w:color="auto"/>
              <w:left w:val="nil"/>
              <w:bottom w:val="nil"/>
              <w:right w:val="single" w:sz="4" w:space="0" w:color="auto"/>
            </w:tcBorders>
            <w:shd w:val="clear" w:color="000000" w:fill="F2F2F2"/>
            <w:noWrap/>
            <w:vAlign w:val="center"/>
            <w:hideMark/>
          </w:tcPr>
          <w:p w14:paraId="6183F719" w14:textId="1A071E1F"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0.15</w:t>
            </w:r>
          </w:p>
        </w:tc>
        <w:tc>
          <w:tcPr>
            <w:tcW w:w="794" w:type="dxa"/>
            <w:tcBorders>
              <w:top w:val="single" w:sz="4" w:space="0" w:color="auto"/>
              <w:left w:val="nil"/>
              <w:bottom w:val="nil"/>
              <w:right w:val="nil"/>
            </w:tcBorders>
            <w:shd w:val="clear" w:color="auto" w:fill="auto"/>
            <w:noWrap/>
            <w:vAlign w:val="center"/>
            <w:hideMark/>
          </w:tcPr>
          <w:p w14:paraId="1EAB7185" w14:textId="194AC76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0.36</w:t>
            </w:r>
          </w:p>
        </w:tc>
        <w:tc>
          <w:tcPr>
            <w:tcW w:w="794" w:type="dxa"/>
            <w:tcBorders>
              <w:top w:val="single" w:sz="4" w:space="0" w:color="auto"/>
              <w:left w:val="nil"/>
              <w:bottom w:val="nil"/>
              <w:right w:val="single" w:sz="4" w:space="0" w:color="auto"/>
            </w:tcBorders>
            <w:shd w:val="clear" w:color="000000" w:fill="F2F2F2"/>
            <w:noWrap/>
            <w:vAlign w:val="center"/>
            <w:hideMark/>
          </w:tcPr>
          <w:p w14:paraId="322EC353" w14:textId="41FCB40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0.14</w:t>
            </w:r>
          </w:p>
        </w:tc>
        <w:tc>
          <w:tcPr>
            <w:tcW w:w="794" w:type="dxa"/>
            <w:tcBorders>
              <w:top w:val="single" w:sz="4" w:space="0" w:color="auto"/>
              <w:left w:val="nil"/>
              <w:bottom w:val="nil"/>
              <w:right w:val="nil"/>
            </w:tcBorders>
            <w:shd w:val="clear" w:color="auto" w:fill="auto"/>
            <w:noWrap/>
            <w:vAlign w:val="center"/>
            <w:hideMark/>
          </w:tcPr>
          <w:p w14:paraId="47080FFC" w14:textId="3BF866B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0.28</w:t>
            </w:r>
          </w:p>
        </w:tc>
        <w:tc>
          <w:tcPr>
            <w:tcW w:w="794" w:type="dxa"/>
            <w:tcBorders>
              <w:top w:val="single" w:sz="4" w:space="0" w:color="auto"/>
              <w:left w:val="nil"/>
              <w:bottom w:val="nil"/>
              <w:right w:val="single" w:sz="4" w:space="0" w:color="auto"/>
            </w:tcBorders>
            <w:shd w:val="clear" w:color="000000" w:fill="F2F2F2"/>
            <w:noWrap/>
            <w:vAlign w:val="center"/>
            <w:hideMark/>
          </w:tcPr>
          <w:p w14:paraId="1B59FF4E" w14:textId="0891072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0.15</w:t>
            </w:r>
          </w:p>
        </w:tc>
        <w:tc>
          <w:tcPr>
            <w:tcW w:w="794" w:type="dxa"/>
            <w:tcBorders>
              <w:top w:val="single" w:sz="4" w:space="0" w:color="auto"/>
              <w:left w:val="nil"/>
              <w:bottom w:val="nil"/>
              <w:right w:val="nil"/>
            </w:tcBorders>
            <w:shd w:val="clear" w:color="auto" w:fill="auto"/>
            <w:noWrap/>
            <w:vAlign w:val="center"/>
            <w:hideMark/>
          </w:tcPr>
          <w:p w14:paraId="66A4151F" w14:textId="355CD75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0.28</w:t>
            </w:r>
          </w:p>
        </w:tc>
        <w:tc>
          <w:tcPr>
            <w:tcW w:w="794" w:type="dxa"/>
            <w:tcBorders>
              <w:top w:val="single" w:sz="4" w:space="0" w:color="auto"/>
              <w:left w:val="nil"/>
              <w:bottom w:val="nil"/>
              <w:right w:val="single" w:sz="4" w:space="0" w:color="auto"/>
            </w:tcBorders>
            <w:shd w:val="clear" w:color="000000" w:fill="F2F2F2"/>
            <w:noWrap/>
            <w:vAlign w:val="center"/>
            <w:hideMark/>
          </w:tcPr>
          <w:p w14:paraId="3FCB3289" w14:textId="0A405F5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r>
      <w:tr w:rsidR="002F1955" w:rsidRPr="004B5F88" w14:paraId="4C25437D"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5013B464"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Other property</w:t>
            </w:r>
          </w:p>
        </w:tc>
        <w:tc>
          <w:tcPr>
            <w:tcW w:w="794" w:type="dxa"/>
            <w:tcBorders>
              <w:top w:val="nil"/>
              <w:left w:val="nil"/>
              <w:bottom w:val="nil"/>
              <w:right w:val="nil"/>
            </w:tcBorders>
            <w:shd w:val="clear" w:color="auto" w:fill="auto"/>
            <w:noWrap/>
            <w:vAlign w:val="center"/>
            <w:hideMark/>
          </w:tcPr>
          <w:p w14:paraId="1EFC3E11" w14:textId="2FBC63A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1.66</w:t>
            </w:r>
          </w:p>
        </w:tc>
        <w:tc>
          <w:tcPr>
            <w:tcW w:w="794" w:type="dxa"/>
            <w:tcBorders>
              <w:top w:val="nil"/>
              <w:left w:val="nil"/>
              <w:bottom w:val="nil"/>
              <w:right w:val="single" w:sz="4" w:space="0" w:color="auto"/>
            </w:tcBorders>
            <w:shd w:val="clear" w:color="000000" w:fill="F2F2F2"/>
            <w:noWrap/>
            <w:vAlign w:val="center"/>
            <w:hideMark/>
          </w:tcPr>
          <w:p w14:paraId="4DE5CE91" w14:textId="26AD5A1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2.14</w:t>
            </w:r>
          </w:p>
        </w:tc>
        <w:tc>
          <w:tcPr>
            <w:tcW w:w="794" w:type="dxa"/>
            <w:tcBorders>
              <w:top w:val="nil"/>
              <w:left w:val="nil"/>
              <w:bottom w:val="nil"/>
              <w:right w:val="nil"/>
            </w:tcBorders>
            <w:shd w:val="clear" w:color="auto" w:fill="auto"/>
            <w:noWrap/>
            <w:vAlign w:val="center"/>
            <w:hideMark/>
          </w:tcPr>
          <w:p w14:paraId="043279F4" w14:textId="5E0BB0D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1.83</w:t>
            </w:r>
          </w:p>
        </w:tc>
        <w:tc>
          <w:tcPr>
            <w:tcW w:w="794" w:type="dxa"/>
            <w:tcBorders>
              <w:top w:val="nil"/>
              <w:left w:val="nil"/>
              <w:bottom w:val="nil"/>
              <w:right w:val="single" w:sz="4" w:space="0" w:color="auto"/>
            </w:tcBorders>
            <w:shd w:val="clear" w:color="000000" w:fill="F2F2F2"/>
            <w:noWrap/>
            <w:vAlign w:val="center"/>
            <w:hideMark/>
          </w:tcPr>
          <w:p w14:paraId="1F7D40FC" w14:textId="0039DC9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2.58</w:t>
            </w:r>
          </w:p>
        </w:tc>
        <w:tc>
          <w:tcPr>
            <w:tcW w:w="794" w:type="dxa"/>
            <w:tcBorders>
              <w:top w:val="nil"/>
              <w:left w:val="nil"/>
              <w:bottom w:val="nil"/>
              <w:right w:val="nil"/>
            </w:tcBorders>
            <w:shd w:val="clear" w:color="auto" w:fill="auto"/>
            <w:noWrap/>
            <w:vAlign w:val="center"/>
            <w:hideMark/>
          </w:tcPr>
          <w:p w14:paraId="2332D7FE" w14:textId="23AFCC0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0.96</w:t>
            </w:r>
          </w:p>
        </w:tc>
        <w:tc>
          <w:tcPr>
            <w:tcW w:w="794" w:type="dxa"/>
            <w:tcBorders>
              <w:top w:val="nil"/>
              <w:left w:val="nil"/>
              <w:bottom w:val="nil"/>
              <w:right w:val="single" w:sz="4" w:space="0" w:color="auto"/>
            </w:tcBorders>
            <w:shd w:val="clear" w:color="000000" w:fill="F2F2F2"/>
            <w:noWrap/>
            <w:vAlign w:val="center"/>
            <w:hideMark/>
          </w:tcPr>
          <w:p w14:paraId="7094F9F2" w14:textId="0D77567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2.30</w:t>
            </w:r>
          </w:p>
        </w:tc>
        <w:tc>
          <w:tcPr>
            <w:tcW w:w="794" w:type="dxa"/>
            <w:tcBorders>
              <w:top w:val="nil"/>
              <w:left w:val="nil"/>
              <w:bottom w:val="nil"/>
              <w:right w:val="nil"/>
            </w:tcBorders>
            <w:shd w:val="clear" w:color="auto" w:fill="auto"/>
            <w:noWrap/>
            <w:vAlign w:val="center"/>
            <w:hideMark/>
          </w:tcPr>
          <w:p w14:paraId="1E45AE7B" w14:textId="4CF497C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2.36</w:t>
            </w:r>
          </w:p>
        </w:tc>
        <w:tc>
          <w:tcPr>
            <w:tcW w:w="794" w:type="dxa"/>
            <w:tcBorders>
              <w:top w:val="nil"/>
              <w:left w:val="nil"/>
              <w:bottom w:val="nil"/>
              <w:right w:val="single" w:sz="4" w:space="0" w:color="auto"/>
            </w:tcBorders>
            <w:shd w:val="clear" w:color="000000" w:fill="F2F2F2"/>
            <w:noWrap/>
            <w:vAlign w:val="center"/>
            <w:hideMark/>
          </w:tcPr>
          <w:p w14:paraId="72435802" w14:textId="572F8AA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2.74</w:t>
            </w:r>
          </w:p>
        </w:tc>
        <w:tc>
          <w:tcPr>
            <w:tcW w:w="794" w:type="dxa"/>
            <w:tcBorders>
              <w:top w:val="nil"/>
              <w:left w:val="nil"/>
              <w:bottom w:val="nil"/>
              <w:right w:val="nil"/>
            </w:tcBorders>
            <w:shd w:val="clear" w:color="auto" w:fill="auto"/>
            <w:noWrap/>
            <w:vAlign w:val="center"/>
            <w:hideMark/>
          </w:tcPr>
          <w:p w14:paraId="1C942ED4" w14:textId="10BE557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3.80</w:t>
            </w:r>
          </w:p>
        </w:tc>
        <w:tc>
          <w:tcPr>
            <w:tcW w:w="794" w:type="dxa"/>
            <w:tcBorders>
              <w:top w:val="nil"/>
              <w:left w:val="nil"/>
              <w:bottom w:val="nil"/>
              <w:right w:val="single" w:sz="4" w:space="0" w:color="auto"/>
            </w:tcBorders>
            <w:shd w:val="clear" w:color="000000" w:fill="F2F2F2"/>
            <w:noWrap/>
            <w:vAlign w:val="center"/>
            <w:hideMark/>
          </w:tcPr>
          <w:p w14:paraId="7BD53648" w14:textId="22EBFAC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3.23</w:t>
            </w:r>
          </w:p>
        </w:tc>
        <w:tc>
          <w:tcPr>
            <w:tcW w:w="794" w:type="dxa"/>
            <w:tcBorders>
              <w:top w:val="nil"/>
              <w:left w:val="nil"/>
              <w:bottom w:val="nil"/>
              <w:right w:val="nil"/>
            </w:tcBorders>
            <w:shd w:val="clear" w:color="auto" w:fill="auto"/>
            <w:noWrap/>
            <w:vAlign w:val="center"/>
            <w:hideMark/>
          </w:tcPr>
          <w:p w14:paraId="3D905BFF" w14:textId="72E62A3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1.76</w:t>
            </w:r>
          </w:p>
        </w:tc>
        <w:tc>
          <w:tcPr>
            <w:tcW w:w="794" w:type="dxa"/>
            <w:tcBorders>
              <w:top w:val="nil"/>
              <w:left w:val="nil"/>
              <w:bottom w:val="nil"/>
              <w:right w:val="single" w:sz="4" w:space="0" w:color="auto"/>
            </w:tcBorders>
            <w:shd w:val="clear" w:color="000000" w:fill="F2F2F2"/>
            <w:noWrap/>
            <w:vAlign w:val="center"/>
            <w:hideMark/>
          </w:tcPr>
          <w:p w14:paraId="66261895" w14:textId="149B471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3.53</w:t>
            </w:r>
          </w:p>
        </w:tc>
        <w:tc>
          <w:tcPr>
            <w:tcW w:w="794" w:type="dxa"/>
            <w:tcBorders>
              <w:top w:val="nil"/>
              <w:left w:val="nil"/>
              <w:bottom w:val="nil"/>
              <w:right w:val="nil"/>
            </w:tcBorders>
            <w:shd w:val="clear" w:color="auto" w:fill="auto"/>
            <w:noWrap/>
            <w:vAlign w:val="center"/>
            <w:hideMark/>
          </w:tcPr>
          <w:p w14:paraId="5E89E8E3" w14:textId="2C12977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2.04</w:t>
            </w:r>
          </w:p>
        </w:tc>
        <w:tc>
          <w:tcPr>
            <w:tcW w:w="794" w:type="dxa"/>
            <w:tcBorders>
              <w:top w:val="nil"/>
              <w:left w:val="nil"/>
              <w:bottom w:val="nil"/>
              <w:right w:val="single" w:sz="4" w:space="0" w:color="auto"/>
            </w:tcBorders>
            <w:shd w:val="clear" w:color="000000" w:fill="F2F2F2"/>
            <w:noWrap/>
            <w:vAlign w:val="center"/>
            <w:hideMark/>
          </w:tcPr>
          <w:p w14:paraId="6BB847B8" w14:textId="116AE09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3.41</w:t>
            </w:r>
          </w:p>
        </w:tc>
        <w:tc>
          <w:tcPr>
            <w:tcW w:w="794" w:type="dxa"/>
            <w:tcBorders>
              <w:top w:val="nil"/>
              <w:left w:val="nil"/>
              <w:bottom w:val="nil"/>
              <w:right w:val="nil"/>
            </w:tcBorders>
            <w:shd w:val="clear" w:color="auto" w:fill="auto"/>
            <w:noWrap/>
            <w:vAlign w:val="center"/>
            <w:hideMark/>
          </w:tcPr>
          <w:p w14:paraId="17A45655" w14:textId="7FCFB3C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2.32</w:t>
            </w:r>
          </w:p>
        </w:tc>
        <w:tc>
          <w:tcPr>
            <w:tcW w:w="794" w:type="dxa"/>
            <w:tcBorders>
              <w:top w:val="nil"/>
              <w:left w:val="nil"/>
              <w:bottom w:val="nil"/>
              <w:right w:val="single" w:sz="4" w:space="0" w:color="auto"/>
            </w:tcBorders>
            <w:shd w:val="clear" w:color="000000" w:fill="F2F2F2"/>
            <w:noWrap/>
            <w:vAlign w:val="center"/>
            <w:hideMark/>
          </w:tcPr>
          <w:p w14:paraId="1690B15B" w14:textId="0F7158C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2.97</w:t>
            </w:r>
          </w:p>
        </w:tc>
        <w:tc>
          <w:tcPr>
            <w:tcW w:w="794" w:type="dxa"/>
            <w:tcBorders>
              <w:top w:val="nil"/>
              <w:left w:val="nil"/>
              <w:bottom w:val="nil"/>
              <w:right w:val="nil"/>
            </w:tcBorders>
            <w:shd w:val="clear" w:color="auto" w:fill="auto"/>
            <w:noWrap/>
            <w:vAlign w:val="center"/>
            <w:hideMark/>
          </w:tcPr>
          <w:p w14:paraId="47F0A58F" w14:textId="506A9B4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1.99</w:t>
            </w:r>
          </w:p>
        </w:tc>
        <w:tc>
          <w:tcPr>
            <w:tcW w:w="794" w:type="dxa"/>
            <w:tcBorders>
              <w:top w:val="nil"/>
              <w:left w:val="nil"/>
              <w:bottom w:val="nil"/>
              <w:right w:val="single" w:sz="4" w:space="0" w:color="auto"/>
            </w:tcBorders>
            <w:shd w:val="clear" w:color="000000" w:fill="F2F2F2"/>
            <w:noWrap/>
            <w:vAlign w:val="center"/>
            <w:hideMark/>
          </w:tcPr>
          <w:p w14:paraId="760C2CF2" w14:textId="68D4BD4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4.03</w:t>
            </w:r>
          </w:p>
        </w:tc>
      </w:tr>
      <w:tr w:rsidR="002F1955" w:rsidRPr="004B5F88" w14:paraId="278EE29C"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4C9AEAC0"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Vehicles and other non-financial assets</w:t>
            </w:r>
          </w:p>
        </w:tc>
        <w:tc>
          <w:tcPr>
            <w:tcW w:w="794" w:type="dxa"/>
            <w:tcBorders>
              <w:top w:val="nil"/>
              <w:left w:val="nil"/>
              <w:bottom w:val="nil"/>
              <w:right w:val="nil"/>
            </w:tcBorders>
            <w:shd w:val="clear" w:color="auto" w:fill="auto"/>
            <w:noWrap/>
            <w:vAlign w:val="center"/>
            <w:hideMark/>
          </w:tcPr>
          <w:p w14:paraId="6E2CA782" w14:textId="38CE1AE5"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42230550" w14:textId="21FF0B7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-0.44</w:t>
            </w:r>
          </w:p>
        </w:tc>
        <w:tc>
          <w:tcPr>
            <w:tcW w:w="794" w:type="dxa"/>
            <w:tcBorders>
              <w:top w:val="nil"/>
              <w:left w:val="nil"/>
              <w:bottom w:val="nil"/>
              <w:right w:val="nil"/>
            </w:tcBorders>
            <w:shd w:val="clear" w:color="auto" w:fill="auto"/>
            <w:noWrap/>
            <w:vAlign w:val="center"/>
            <w:hideMark/>
          </w:tcPr>
          <w:p w14:paraId="548F94DE" w14:textId="222C2DE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0.03</w:t>
            </w:r>
          </w:p>
        </w:tc>
        <w:tc>
          <w:tcPr>
            <w:tcW w:w="794" w:type="dxa"/>
            <w:tcBorders>
              <w:top w:val="nil"/>
              <w:left w:val="nil"/>
              <w:bottom w:val="nil"/>
              <w:right w:val="single" w:sz="4" w:space="0" w:color="auto"/>
            </w:tcBorders>
            <w:shd w:val="clear" w:color="000000" w:fill="F2F2F2"/>
            <w:noWrap/>
            <w:vAlign w:val="center"/>
            <w:hideMark/>
          </w:tcPr>
          <w:p w14:paraId="234EFB71" w14:textId="220AD60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-0.44</w:t>
            </w:r>
          </w:p>
        </w:tc>
        <w:tc>
          <w:tcPr>
            <w:tcW w:w="794" w:type="dxa"/>
            <w:tcBorders>
              <w:top w:val="nil"/>
              <w:left w:val="nil"/>
              <w:bottom w:val="nil"/>
              <w:right w:val="nil"/>
            </w:tcBorders>
            <w:shd w:val="clear" w:color="auto" w:fill="auto"/>
            <w:noWrap/>
            <w:vAlign w:val="center"/>
            <w:hideMark/>
          </w:tcPr>
          <w:p w14:paraId="2810DC05" w14:textId="5D7F7DD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c>
          <w:tcPr>
            <w:tcW w:w="794" w:type="dxa"/>
            <w:tcBorders>
              <w:top w:val="nil"/>
              <w:left w:val="nil"/>
              <w:bottom w:val="nil"/>
              <w:right w:val="single" w:sz="4" w:space="0" w:color="auto"/>
            </w:tcBorders>
            <w:shd w:val="clear" w:color="000000" w:fill="F2F2F2"/>
            <w:noWrap/>
            <w:vAlign w:val="center"/>
            <w:hideMark/>
          </w:tcPr>
          <w:p w14:paraId="29D5679C" w14:textId="60EC3FC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-0.40</w:t>
            </w:r>
          </w:p>
        </w:tc>
        <w:tc>
          <w:tcPr>
            <w:tcW w:w="794" w:type="dxa"/>
            <w:tcBorders>
              <w:top w:val="nil"/>
              <w:left w:val="nil"/>
              <w:bottom w:val="nil"/>
              <w:right w:val="nil"/>
            </w:tcBorders>
            <w:shd w:val="clear" w:color="auto" w:fill="auto"/>
            <w:noWrap/>
            <w:vAlign w:val="center"/>
            <w:hideMark/>
          </w:tcPr>
          <w:p w14:paraId="7AF4A38F" w14:textId="3DDF5D17"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633A7A1" w14:textId="387F45C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-0.59</w:t>
            </w:r>
          </w:p>
        </w:tc>
        <w:tc>
          <w:tcPr>
            <w:tcW w:w="794" w:type="dxa"/>
            <w:tcBorders>
              <w:top w:val="nil"/>
              <w:left w:val="nil"/>
              <w:bottom w:val="nil"/>
              <w:right w:val="nil"/>
            </w:tcBorders>
            <w:shd w:val="clear" w:color="auto" w:fill="auto"/>
            <w:noWrap/>
            <w:vAlign w:val="center"/>
            <w:hideMark/>
          </w:tcPr>
          <w:p w14:paraId="56B27692" w14:textId="29B6F4BB"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-0.04</w:t>
            </w:r>
          </w:p>
        </w:tc>
        <w:tc>
          <w:tcPr>
            <w:tcW w:w="794" w:type="dxa"/>
            <w:tcBorders>
              <w:top w:val="nil"/>
              <w:left w:val="nil"/>
              <w:bottom w:val="nil"/>
              <w:right w:val="single" w:sz="4" w:space="0" w:color="auto"/>
            </w:tcBorders>
            <w:shd w:val="clear" w:color="000000" w:fill="F2F2F2"/>
            <w:noWrap/>
            <w:vAlign w:val="center"/>
            <w:hideMark/>
          </w:tcPr>
          <w:p w14:paraId="177BA9E4" w14:textId="660CF57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-0.77</w:t>
            </w:r>
          </w:p>
        </w:tc>
        <w:tc>
          <w:tcPr>
            <w:tcW w:w="794" w:type="dxa"/>
            <w:tcBorders>
              <w:top w:val="nil"/>
              <w:left w:val="nil"/>
              <w:bottom w:val="nil"/>
              <w:right w:val="nil"/>
            </w:tcBorders>
            <w:shd w:val="clear" w:color="auto" w:fill="auto"/>
            <w:noWrap/>
            <w:vAlign w:val="center"/>
            <w:hideMark/>
          </w:tcPr>
          <w:p w14:paraId="7E31440D" w14:textId="69CFEAF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-0.05</w:t>
            </w:r>
          </w:p>
        </w:tc>
        <w:tc>
          <w:tcPr>
            <w:tcW w:w="794" w:type="dxa"/>
            <w:tcBorders>
              <w:top w:val="nil"/>
              <w:left w:val="nil"/>
              <w:bottom w:val="nil"/>
              <w:right w:val="single" w:sz="4" w:space="0" w:color="auto"/>
            </w:tcBorders>
            <w:shd w:val="clear" w:color="000000" w:fill="F2F2F2"/>
            <w:noWrap/>
            <w:vAlign w:val="center"/>
            <w:hideMark/>
          </w:tcPr>
          <w:p w14:paraId="430C97B7" w14:textId="0CC3F91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-0.80</w:t>
            </w:r>
          </w:p>
        </w:tc>
        <w:tc>
          <w:tcPr>
            <w:tcW w:w="794" w:type="dxa"/>
            <w:tcBorders>
              <w:top w:val="nil"/>
              <w:left w:val="nil"/>
              <w:bottom w:val="nil"/>
              <w:right w:val="nil"/>
            </w:tcBorders>
            <w:shd w:val="clear" w:color="auto" w:fill="auto"/>
            <w:noWrap/>
            <w:vAlign w:val="center"/>
            <w:hideMark/>
          </w:tcPr>
          <w:p w14:paraId="55251E06" w14:textId="3EBA842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-0.21</w:t>
            </w:r>
          </w:p>
        </w:tc>
        <w:tc>
          <w:tcPr>
            <w:tcW w:w="794" w:type="dxa"/>
            <w:tcBorders>
              <w:top w:val="nil"/>
              <w:left w:val="nil"/>
              <w:bottom w:val="nil"/>
              <w:right w:val="single" w:sz="4" w:space="0" w:color="auto"/>
            </w:tcBorders>
            <w:shd w:val="clear" w:color="000000" w:fill="F2F2F2"/>
            <w:noWrap/>
            <w:vAlign w:val="center"/>
            <w:hideMark/>
          </w:tcPr>
          <w:p w14:paraId="0BFD9E28" w14:textId="4F845B9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-0.78</w:t>
            </w:r>
          </w:p>
        </w:tc>
        <w:tc>
          <w:tcPr>
            <w:tcW w:w="794" w:type="dxa"/>
            <w:tcBorders>
              <w:top w:val="nil"/>
              <w:left w:val="nil"/>
              <w:bottom w:val="nil"/>
              <w:right w:val="nil"/>
            </w:tcBorders>
            <w:shd w:val="clear" w:color="auto" w:fill="auto"/>
            <w:noWrap/>
            <w:vAlign w:val="center"/>
            <w:hideMark/>
          </w:tcPr>
          <w:p w14:paraId="1BA90D12" w14:textId="5702026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c>
          <w:tcPr>
            <w:tcW w:w="794" w:type="dxa"/>
            <w:tcBorders>
              <w:top w:val="nil"/>
              <w:left w:val="nil"/>
              <w:bottom w:val="nil"/>
              <w:right w:val="single" w:sz="4" w:space="0" w:color="auto"/>
            </w:tcBorders>
            <w:shd w:val="clear" w:color="000000" w:fill="F2F2F2"/>
            <w:noWrap/>
            <w:vAlign w:val="center"/>
            <w:hideMark/>
          </w:tcPr>
          <w:p w14:paraId="3F672948" w14:textId="52DE6A9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-0.82</w:t>
            </w:r>
          </w:p>
        </w:tc>
        <w:tc>
          <w:tcPr>
            <w:tcW w:w="794" w:type="dxa"/>
            <w:tcBorders>
              <w:top w:val="nil"/>
              <w:left w:val="nil"/>
              <w:bottom w:val="nil"/>
              <w:right w:val="nil"/>
            </w:tcBorders>
            <w:shd w:val="clear" w:color="auto" w:fill="auto"/>
            <w:noWrap/>
            <w:vAlign w:val="center"/>
            <w:hideMark/>
          </w:tcPr>
          <w:p w14:paraId="73A77C68" w14:textId="2B262E3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-0.10</w:t>
            </w:r>
          </w:p>
        </w:tc>
        <w:tc>
          <w:tcPr>
            <w:tcW w:w="794" w:type="dxa"/>
            <w:tcBorders>
              <w:top w:val="nil"/>
              <w:left w:val="nil"/>
              <w:bottom w:val="nil"/>
              <w:right w:val="single" w:sz="4" w:space="0" w:color="auto"/>
            </w:tcBorders>
            <w:shd w:val="clear" w:color="000000" w:fill="F2F2F2"/>
            <w:noWrap/>
            <w:vAlign w:val="center"/>
            <w:hideMark/>
          </w:tcPr>
          <w:p w14:paraId="7B5C8608" w14:textId="698834B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-0.93</w:t>
            </w:r>
          </w:p>
        </w:tc>
      </w:tr>
      <w:tr w:rsidR="002F1955" w:rsidRPr="004B5F88" w14:paraId="3ADE6CE3"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2F983E55"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Business equity</w:t>
            </w:r>
          </w:p>
        </w:tc>
        <w:tc>
          <w:tcPr>
            <w:tcW w:w="794" w:type="dxa"/>
            <w:tcBorders>
              <w:top w:val="nil"/>
              <w:left w:val="nil"/>
              <w:bottom w:val="nil"/>
              <w:right w:val="nil"/>
            </w:tcBorders>
            <w:shd w:val="clear" w:color="auto" w:fill="auto"/>
            <w:noWrap/>
            <w:vAlign w:val="center"/>
            <w:hideMark/>
          </w:tcPr>
          <w:p w14:paraId="7E9C1D8A" w14:textId="24041C0F"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4.10</w:t>
            </w:r>
          </w:p>
        </w:tc>
        <w:tc>
          <w:tcPr>
            <w:tcW w:w="794" w:type="dxa"/>
            <w:tcBorders>
              <w:top w:val="nil"/>
              <w:left w:val="nil"/>
              <w:bottom w:val="nil"/>
              <w:right w:val="single" w:sz="4" w:space="0" w:color="auto"/>
            </w:tcBorders>
            <w:shd w:val="clear" w:color="000000" w:fill="F2F2F2"/>
            <w:noWrap/>
            <w:vAlign w:val="center"/>
            <w:hideMark/>
          </w:tcPr>
          <w:p w14:paraId="46262F18" w14:textId="5B537D10"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2.09</w:t>
            </w:r>
          </w:p>
        </w:tc>
        <w:tc>
          <w:tcPr>
            <w:tcW w:w="794" w:type="dxa"/>
            <w:tcBorders>
              <w:top w:val="nil"/>
              <w:left w:val="nil"/>
              <w:bottom w:val="nil"/>
              <w:right w:val="nil"/>
            </w:tcBorders>
            <w:shd w:val="clear" w:color="auto" w:fill="auto"/>
            <w:noWrap/>
            <w:vAlign w:val="center"/>
            <w:hideMark/>
          </w:tcPr>
          <w:p w14:paraId="41E97E37" w14:textId="4E3BDC3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1.72</w:t>
            </w:r>
          </w:p>
        </w:tc>
        <w:tc>
          <w:tcPr>
            <w:tcW w:w="794" w:type="dxa"/>
            <w:tcBorders>
              <w:top w:val="nil"/>
              <w:left w:val="nil"/>
              <w:bottom w:val="nil"/>
              <w:right w:val="single" w:sz="4" w:space="0" w:color="auto"/>
            </w:tcBorders>
            <w:shd w:val="clear" w:color="000000" w:fill="F2F2F2"/>
            <w:noWrap/>
            <w:vAlign w:val="center"/>
            <w:hideMark/>
          </w:tcPr>
          <w:p w14:paraId="359BDD4C" w14:textId="41D7055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2.35</w:t>
            </w:r>
          </w:p>
        </w:tc>
        <w:tc>
          <w:tcPr>
            <w:tcW w:w="794" w:type="dxa"/>
            <w:tcBorders>
              <w:top w:val="nil"/>
              <w:left w:val="nil"/>
              <w:bottom w:val="nil"/>
              <w:right w:val="nil"/>
            </w:tcBorders>
            <w:shd w:val="clear" w:color="auto" w:fill="auto"/>
            <w:noWrap/>
            <w:vAlign w:val="center"/>
            <w:hideMark/>
          </w:tcPr>
          <w:p w14:paraId="378573DE" w14:textId="063A189F"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1.78</w:t>
            </w:r>
          </w:p>
        </w:tc>
        <w:tc>
          <w:tcPr>
            <w:tcW w:w="794" w:type="dxa"/>
            <w:tcBorders>
              <w:top w:val="nil"/>
              <w:left w:val="nil"/>
              <w:bottom w:val="nil"/>
              <w:right w:val="single" w:sz="4" w:space="0" w:color="auto"/>
            </w:tcBorders>
            <w:shd w:val="clear" w:color="000000" w:fill="F2F2F2"/>
            <w:noWrap/>
            <w:vAlign w:val="center"/>
            <w:hideMark/>
          </w:tcPr>
          <w:p w14:paraId="15BADB86" w14:textId="1149E964"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2.24</w:t>
            </w:r>
          </w:p>
        </w:tc>
        <w:tc>
          <w:tcPr>
            <w:tcW w:w="794" w:type="dxa"/>
            <w:tcBorders>
              <w:top w:val="nil"/>
              <w:left w:val="nil"/>
              <w:bottom w:val="nil"/>
              <w:right w:val="nil"/>
            </w:tcBorders>
            <w:shd w:val="clear" w:color="auto" w:fill="auto"/>
            <w:noWrap/>
            <w:vAlign w:val="center"/>
            <w:hideMark/>
          </w:tcPr>
          <w:p w14:paraId="3C846F48" w14:textId="09C5C59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5.66</w:t>
            </w:r>
          </w:p>
        </w:tc>
        <w:tc>
          <w:tcPr>
            <w:tcW w:w="794" w:type="dxa"/>
            <w:tcBorders>
              <w:top w:val="nil"/>
              <w:left w:val="nil"/>
              <w:bottom w:val="nil"/>
              <w:right w:val="single" w:sz="4" w:space="0" w:color="auto"/>
            </w:tcBorders>
            <w:shd w:val="clear" w:color="000000" w:fill="F2F2F2"/>
            <w:noWrap/>
            <w:vAlign w:val="center"/>
            <w:hideMark/>
          </w:tcPr>
          <w:p w14:paraId="3FAE018F" w14:textId="549778D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2.29</w:t>
            </w:r>
          </w:p>
        </w:tc>
        <w:tc>
          <w:tcPr>
            <w:tcW w:w="794" w:type="dxa"/>
            <w:tcBorders>
              <w:top w:val="nil"/>
              <w:left w:val="nil"/>
              <w:bottom w:val="nil"/>
              <w:right w:val="nil"/>
            </w:tcBorders>
            <w:shd w:val="clear" w:color="auto" w:fill="auto"/>
            <w:noWrap/>
            <w:vAlign w:val="center"/>
            <w:hideMark/>
          </w:tcPr>
          <w:p w14:paraId="117EB414" w14:textId="0CEA5712"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3.01</w:t>
            </w:r>
          </w:p>
        </w:tc>
        <w:tc>
          <w:tcPr>
            <w:tcW w:w="794" w:type="dxa"/>
            <w:tcBorders>
              <w:top w:val="nil"/>
              <w:left w:val="nil"/>
              <w:bottom w:val="nil"/>
              <w:right w:val="single" w:sz="4" w:space="0" w:color="auto"/>
            </w:tcBorders>
            <w:shd w:val="clear" w:color="000000" w:fill="F2F2F2"/>
            <w:noWrap/>
            <w:vAlign w:val="center"/>
            <w:hideMark/>
          </w:tcPr>
          <w:p w14:paraId="44CF10AC" w14:textId="4AE586E3"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3.27</w:t>
            </w:r>
          </w:p>
        </w:tc>
        <w:tc>
          <w:tcPr>
            <w:tcW w:w="794" w:type="dxa"/>
            <w:tcBorders>
              <w:top w:val="nil"/>
              <w:left w:val="nil"/>
              <w:bottom w:val="nil"/>
              <w:right w:val="nil"/>
            </w:tcBorders>
            <w:shd w:val="clear" w:color="auto" w:fill="auto"/>
            <w:noWrap/>
            <w:vAlign w:val="center"/>
            <w:hideMark/>
          </w:tcPr>
          <w:p w14:paraId="56BF732B" w14:textId="2E67E4C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1.90</w:t>
            </w:r>
          </w:p>
        </w:tc>
        <w:tc>
          <w:tcPr>
            <w:tcW w:w="794" w:type="dxa"/>
            <w:tcBorders>
              <w:top w:val="nil"/>
              <w:left w:val="nil"/>
              <w:bottom w:val="nil"/>
              <w:right w:val="single" w:sz="4" w:space="0" w:color="auto"/>
            </w:tcBorders>
            <w:shd w:val="clear" w:color="000000" w:fill="F2F2F2"/>
            <w:noWrap/>
            <w:vAlign w:val="center"/>
            <w:hideMark/>
          </w:tcPr>
          <w:p w14:paraId="09B22CEA" w14:textId="1F7C00A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2.86</w:t>
            </w:r>
          </w:p>
        </w:tc>
        <w:tc>
          <w:tcPr>
            <w:tcW w:w="794" w:type="dxa"/>
            <w:tcBorders>
              <w:top w:val="nil"/>
              <w:left w:val="nil"/>
              <w:bottom w:val="nil"/>
              <w:right w:val="nil"/>
            </w:tcBorders>
            <w:shd w:val="clear" w:color="auto" w:fill="auto"/>
            <w:noWrap/>
            <w:vAlign w:val="center"/>
            <w:hideMark/>
          </w:tcPr>
          <w:p w14:paraId="1371BCE4" w14:textId="6B3417F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2.30</w:t>
            </w:r>
          </w:p>
        </w:tc>
        <w:tc>
          <w:tcPr>
            <w:tcW w:w="794" w:type="dxa"/>
            <w:tcBorders>
              <w:top w:val="nil"/>
              <w:left w:val="nil"/>
              <w:bottom w:val="nil"/>
              <w:right w:val="single" w:sz="4" w:space="0" w:color="auto"/>
            </w:tcBorders>
            <w:shd w:val="clear" w:color="000000" w:fill="F2F2F2"/>
            <w:noWrap/>
            <w:vAlign w:val="center"/>
            <w:hideMark/>
          </w:tcPr>
          <w:p w14:paraId="0D682CEE" w14:textId="36BF59C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4.22</w:t>
            </w:r>
          </w:p>
        </w:tc>
        <w:tc>
          <w:tcPr>
            <w:tcW w:w="794" w:type="dxa"/>
            <w:tcBorders>
              <w:top w:val="nil"/>
              <w:left w:val="nil"/>
              <w:bottom w:val="nil"/>
              <w:right w:val="nil"/>
            </w:tcBorders>
            <w:shd w:val="clear" w:color="auto" w:fill="auto"/>
            <w:noWrap/>
            <w:vAlign w:val="center"/>
            <w:hideMark/>
          </w:tcPr>
          <w:p w14:paraId="70905F7B" w14:textId="562EA18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1.72</w:t>
            </w:r>
          </w:p>
        </w:tc>
        <w:tc>
          <w:tcPr>
            <w:tcW w:w="794" w:type="dxa"/>
            <w:tcBorders>
              <w:top w:val="nil"/>
              <w:left w:val="nil"/>
              <w:bottom w:val="nil"/>
              <w:right w:val="single" w:sz="4" w:space="0" w:color="auto"/>
            </w:tcBorders>
            <w:shd w:val="clear" w:color="000000" w:fill="F2F2F2"/>
            <w:noWrap/>
            <w:vAlign w:val="center"/>
            <w:hideMark/>
          </w:tcPr>
          <w:p w14:paraId="6DABD449" w14:textId="4600CFC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3.09</w:t>
            </w:r>
          </w:p>
        </w:tc>
        <w:tc>
          <w:tcPr>
            <w:tcW w:w="794" w:type="dxa"/>
            <w:tcBorders>
              <w:top w:val="nil"/>
              <w:left w:val="nil"/>
              <w:bottom w:val="nil"/>
              <w:right w:val="nil"/>
            </w:tcBorders>
            <w:shd w:val="clear" w:color="auto" w:fill="auto"/>
            <w:noWrap/>
            <w:vAlign w:val="center"/>
            <w:hideMark/>
          </w:tcPr>
          <w:p w14:paraId="73FBF638" w14:textId="402AFE5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2.02</w:t>
            </w:r>
          </w:p>
        </w:tc>
        <w:tc>
          <w:tcPr>
            <w:tcW w:w="794" w:type="dxa"/>
            <w:tcBorders>
              <w:top w:val="nil"/>
              <w:left w:val="nil"/>
              <w:bottom w:val="nil"/>
              <w:right w:val="single" w:sz="4" w:space="0" w:color="auto"/>
            </w:tcBorders>
            <w:shd w:val="clear" w:color="000000" w:fill="F2F2F2"/>
            <w:noWrap/>
            <w:vAlign w:val="center"/>
            <w:hideMark/>
          </w:tcPr>
          <w:p w14:paraId="2421AC5F" w14:textId="5CC3A14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4.54</w:t>
            </w:r>
          </w:p>
        </w:tc>
      </w:tr>
      <w:tr w:rsidR="002F1955" w:rsidRPr="004B5F88" w14:paraId="2E7DB962"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02041909"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Financial investment assets</w:t>
            </w:r>
          </w:p>
        </w:tc>
        <w:tc>
          <w:tcPr>
            <w:tcW w:w="794" w:type="dxa"/>
            <w:tcBorders>
              <w:top w:val="nil"/>
              <w:left w:val="nil"/>
              <w:bottom w:val="nil"/>
              <w:right w:val="nil"/>
            </w:tcBorders>
            <w:shd w:val="clear" w:color="auto" w:fill="auto"/>
            <w:noWrap/>
            <w:vAlign w:val="center"/>
            <w:hideMark/>
          </w:tcPr>
          <w:p w14:paraId="72411634" w14:textId="48FE2EC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4.95</w:t>
            </w:r>
          </w:p>
        </w:tc>
        <w:tc>
          <w:tcPr>
            <w:tcW w:w="794" w:type="dxa"/>
            <w:tcBorders>
              <w:top w:val="nil"/>
              <w:left w:val="nil"/>
              <w:bottom w:val="nil"/>
              <w:right w:val="single" w:sz="4" w:space="0" w:color="auto"/>
            </w:tcBorders>
            <w:shd w:val="clear" w:color="000000" w:fill="F2F2F2"/>
            <w:noWrap/>
            <w:vAlign w:val="center"/>
            <w:hideMark/>
          </w:tcPr>
          <w:p w14:paraId="45FDC1FA" w14:textId="71C5E39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1.41</w:t>
            </w:r>
          </w:p>
        </w:tc>
        <w:tc>
          <w:tcPr>
            <w:tcW w:w="794" w:type="dxa"/>
            <w:tcBorders>
              <w:top w:val="nil"/>
              <w:left w:val="nil"/>
              <w:bottom w:val="nil"/>
              <w:right w:val="nil"/>
            </w:tcBorders>
            <w:shd w:val="clear" w:color="auto" w:fill="auto"/>
            <w:noWrap/>
            <w:vAlign w:val="center"/>
            <w:hideMark/>
          </w:tcPr>
          <w:p w14:paraId="330772C1" w14:textId="31D0687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3.47</w:t>
            </w:r>
          </w:p>
        </w:tc>
        <w:tc>
          <w:tcPr>
            <w:tcW w:w="794" w:type="dxa"/>
            <w:tcBorders>
              <w:top w:val="nil"/>
              <w:left w:val="nil"/>
              <w:bottom w:val="nil"/>
              <w:right w:val="single" w:sz="4" w:space="0" w:color="auto"/>
            </w:tcBorders>
            <w:shd w:val="clear" w:color="000000" w:fill="F2F2F2"/>
            <w:noWrap/>
            <w:vAlign w:val="center"/>
            <w:hideMark/>
          </w:tcPr>
          <w:p w14:paraId="3FCA3546" w14:textId="390E3B4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1.53</w:t>
            </w:r>
          </w:p>
        </w:tc>
        <w:tc>
          <w:tcPr>
            <w:tcW w:w="794" w:type="dxa"/>
            <w:tcBorders>
              <w:top w:val="nil"/>
              <w:left w:val="nil"/>
              <w:bottom w:val="nil"/>
              <w:right w:val="nil"/>
            </w:tcBorders>
            <w:shd w:val="clear" w:color="auto" w:fill="auto"/>
            <w:noWrap/>
            <w:vAlign w:val="center"/>
            <w:hideMark/>
          </w:tcPr>
          <w:p w14:paraId="4B6A8C21" w14:textId="544CE155"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2.48</w:t>
            </w:r>
          </w:p>
        </w:tc>
        <w:tc>
          <w:tcPr>
            <w:tcW w:w="794" w:type="dxa"/>
            <w:tcBorders>
              <w:top w:val="nil"/>
              <w:left w:val="nil"/>
              <w:bottom w:val="nil"/>
              <w:right w:val="single" w:sz="4" w:space="0" w:color="auto"/>
            </w:tcBorders>
            <w:shd w:val="clear" w:color="000000" w:fill="F2F2F2"/>
            <w:noWrap/>
            <w:vAlign w:val="center"/>
            <w:hideMark/>
          </w:tcPr>
          <w:p w14:paraId="518EB5B0" w14:textId="1478E5C1"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1.74</w:t>
            </w:r>
          </w:p>
        </w:tc>
        <w:tc>
          <w:tcPr>
            <w:tcW w:w="794" w:type="dxa"/>
            <w:tcBorders>
              <w:top w:val="nil"/>
              <w:left w:val="nil"/>
              <w:bottom w:val="nil"/>
              <w:right w:val="nil"/>
            </w:tcBorders>
            <w:shd w:val="clear" w:color="auto" w:fill="auto"/>
            <w:noWrap/>
            <w:vAlign w:val="center"/>
            <w:hideMark/>
          </w:tcPr>
          <w:p w14:paraId="6ADD09C3" w14:textId="596B196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3.42</w:t>
            </w:r>
          </w:p>
        </w:tc>
        <w:tc>
          <w:tcPr>
            <w:tcW w:w="794" w:type="dxa"/>
            <w:tcBorders>
              <w:top w:val="nil"/>
              <w:left w:val="nil"/>
              <w:bottom w:val="nil"/>
              <w:right w:val="single" w:sz="4" w:space="0" w:color="auto"/>
            </w:tcBorders>
            <w:shd w:val="clear" w:color="000000" w:fill="F2F2F2"/>
            <w:noWrap/>
            <w:vAlign w:val="center"/>
            <w:hideMark/>
          </w:tcPr>
          <w:p w14:paraId="3CCC5C1A" w14:textId="13C1E70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1.66</w:t>
            </w:r>
          </w:p>
        </w:tc>
        <w:tc>
          <w:tcPr>
            <w:tcW w:w="794" w:type="dxa"/>
            <w:tcBorders>
              <w:top w:val="nil"/>
              <w:left w:val="nil"/>
              <w:bottom w:val="nil"/>
              <w:right w:val="nil"/>
            </w:tcBorders>
            <w:shd w:val="clear" w:color="auto" w:fill="auto"/>
            <w:noWrap/>
            <w:vAlign w:val="center"/>
            <w:hideMark/>
          </w:tcPr>
          <w:p w14:paraId="06F61868" w14:textId="05A4D0C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4.30</w:t>
            </w:r>
          </w:p>
        </w:tc>
        <w:tc>
          <w:tcPr>
            <w:tcW w:w="794" w:type="dxa"/>
            <w:tcBorders>
              <w:top w:val="nil"/>
              <w:left w:val="nil"/>
              <w:bottom w:val="nil"/>
              <w:right w:val="single" w:sz="4" w:space="0" w:color="auto"/>
            </w:tcBorders>
            <w:shd w:val="clear" w:color="000000" w:fill="F2F2F2"/>
            <w:noWrap/>
            <w:vAlign w:val="center"/>
            <w:hideMark/>
          </w:tcPr>
          <w:p w14:paraId="2A1301C8" w14:textId="296B50B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2.18</w:t>
            </w:r>
          </w:p>
        </w:tc>
        <w:tc>
          <w:tcPr>
            <w:tcW w:w="794" w:type="dxa"/>
            <w:tcBorders>
              <w:top w:val="nil"/>
              <w:left w:val="nil"/>
              <w:bottom w:val="nil"/>
              <w:right w:val="nil"/>
            </w:tcBorders>
            <w:shd w:val="clear" w:color="auto" w:fill="auto"/>
            <w:noWrap/>
            <w:vAlign w:val="center"/>
            <w:hideMark/>
          </w:tcPr>
          <w:p w14:paraId="363831BE" w14:textId="0EB95B6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5.53</w:t>
            </w:r>
          </w:p>
        </w:tc>
        <w:tc>
          <w:tcPr>
            <w:tcW w:w="794" w:type="dxa"/>
            <w:tcBorders>
              <w:top w:val="nil"/>
              <w:left w:val="nil"/>
              <w:bottom w:val="nil"/>
              <w:right w:val="single" w:sz="4" w:space="0" w:color="auto"/>
            </w:tcBorders>
            <w:shd w:val="clear" w:color="000000" w:fill="F2F2F2"/>
            <w:noWrap/>
            <w:vAlign w:val="center"/>
            <w:hideMark/>
          </w:tcPr>
          <w:p w14:paraId="24D928EE" w14:textId="6FFC9AE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2.48</w:t>
            </w:r>
          </w:p>
        </w:tc>
        <w:tc>
          <w:tcPr>
            <w:tcW w:w="794" w:type="dxa"/>
            <w:tcBorders>
              <w:top w:val="nil"/>
              <w:left w:val="nil"/>
              <w:bottom w:val="nil"/>
              <w:right w:val="nil"/>
            </w:tcBorders>
            <w:shd w:val="clear" w:color="auto" w:fill="auto"/>
            <w:noWrap/>
            <w:vAlign w:val="center"/>
            <w:hideMark/>
          </w:tcPr>
          <w:p w14:paraId="3A04034F" w14:textId="66F6DDF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8.56</w:t>
            </w:r>
          </w:p>
        </w:tc>
        <w:tc>
          <w:tcPr>
            <w:tcW w:w="794" w:type="dxa"/>
            <w:tcBorders>
              <w:top w:val="nil"/>
              <w:left w:val="nil"/>
              <w:bottom w:val="nil"/>
              <w:right w:val="single" w:sz="4" w:space="0" w:color="auto"/>
            </w:tcBorders>
            <w:shd w:val="clear" w:color="000000" w:fill="F2F2F2"/>
            <w:noWrap/>
            <w:vAlign w:val="center"/>
            <w:hideMark/>
          </w:tcPr>
          <w:p w14:paraId="46FFC72A" w14:textId="0CB512B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2.31</w:t>
            </w:r>
          </w:p>
        </w:tc>
        <w:tc>
          <w:tcPr>
            <w:tcW w:w="794" w:type="dxa"/>
            <w:tcBorders>
              <w:top w:val="nil"/>
              <w:left w:val="nil"/>
              <w:bottom w:val="nil"/>
              <w:right w:val="nil"/>
            </w:tcBorders>
            <w:shd w:val="clear" w:color="auto" w:fill="auto"/>
            <w:noWrap/>
            <w:vAlign w:val="center"/>
            <w:hideMark/>
          </w:tcPr>
          <w:p w14:paraId="5D886B73" w14:textId="326A351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3.43</w:t>
            </w:r>
          </w:p>
        </w:tc>
        <w:tc>
          <w:tcPr>
            <w:tcW w:w="794" w:type="dxa"/>
            <w:tcBorders>
              <w:top w:val="nil"/>
              <w:left w:val="nil"/>
              <w:bottom w:val="nil"/>
              <w:right w:val="single" w:sz="4" w:space="0" w:color="auto"/>
            </w:tcBorders>
            <w:shd w:val="clear" w:color="000000" w:fill="F2F2F2"/>
            <w:noWrap/>
            <w:vAlign w:val="center"/>
            <w:hideMark/>
          </w:tcPr>
          <w:p w14:paraId="558F08C5" w14:textId="77BDCEA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2.95</w:t>
            </w:r>
          </w:p>
        </w:tc>
        <w:tc>
          <w:tcPr>
            <w:tcW w:w="794" w:type="dxa"/>
            <w:tcBorders>
              <w:top w:val="nil"/>
              <w:left w:val="nil"/>
              <w:bottom w:val="nil"/>
              <w:right w:val="nil"/>
            </w:tcBorders>
            <w:shd w:val="clear" w:color="auto" w:fill="auto"/>
            <w:noWrap/>
            <w:vAlign w:val="center"/>
            <w:hideMark/>
          </w:tcPr>
          <w:p w14:paraId="6B506048" w14:textId="7E2893A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2.14</w:t>
            </w:r>
          </w:p>
        </w:tc>
        <w:tc>
          <w:tcPr>
            <w:tcW w:w="794" w:type="dxa"/>
            <w:tcBorders>
              <w:top w:val="nil"/>
              <w:left w:val="nil"/>
              <w:bottom w:val="nil"/>
              <w:right w:val="single" w:sz="4" w:space="0" w:color="auto"/>
            </w:tcBorders>
            <w:shd w:val="clear" w:color="000000" w:fill="F2F2F2"/>
            <w:noWrap/>
            <w:vAlign w:val="center"/>
            <w:hideMark/>
          </w:tcPr>
          <w:p w14:paraId="058A8785" w14:textId="39B54B9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3.60</w:t>
            </w:r>
          </w:p>
        </w:tc>
      </w:tr>
      <w:tr w:rsidR="002F1955" w:rsidRPr="004B5F88" w14:paraId="4E0FD113"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283DA3B1"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Transaction accounts</w:t>
            </w:r>
          </w:p>
        </w:tc>
        <w:tc>
          <w:tcPr>
            <w:tcW w:w="794" w:type="dxa"/>
            <w:tcBorders>
              <w:top w:val="nil"/>
              <w:left w:val="nil"/>
              <w:bottom w:val="nil"/>
              <w:right w:val="nil"/>
            </w:tcBorders>
            <w:shd w:val="clear" w:color="auto" w:fill="auto"/>
            <w:noWrap/>
            <w:vAlign w:val="center"/>
            <w:hideMark/>
          </w:tcPr>
          <w:p w14:paraId="5FBD94E4" w14:textId="74296D6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1.22</w:t>
            </w:r>
          </w:p>
        </w:tc>
        <w:tc>
          <w:tcPr>
            <w:tcW w:w="794" w:type="dxa"/>
            <w:tcBorders>
              <w:top w:val="nil"/>
              <w:left w:val="nil"/>
              <w:bottom w:val="nil"/>
              <w:right w:val="single" w:sz="4" w:space="0" w:color="auto"/>
            </w:tcBorders>
            <w:shd w:val="clear" w:color="000000" w:fill="F2F2F2"/>
            <w:noWrap/>
            <w:vAlign w:val="center"/>
            <w:hideMark/>
          </w:tcPr>
          <w:p w14:paraId="0705D5A2" w14:textId="73DA2ADD"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-0.22</w:t>
            </w:r>
          </w:p>
        </w:tc>
        <w:tc>
          <w:tcPr>
            <w:tcW w:w="794" w:type="dxa"/>
            <w:tcBorders>
              <w:top w:val="nil"/>
              <w:left w:val="nil"/>
              <w:bottom w:val="nil"/>
              <w:right w:val="nil"/>
            </w:tcBorders>
            <w:shd w:val="clear" w:color="auto" w:fill="auto"/>
            <w:noWrap/>
            <w:vAlign w:val="center"/>
            <w:hideMark/>
          </w:tcPr>
          <w:p w14:paraId="05E1636C" w14:textId="2C741D4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0.64</w:t>
            </w:r>
          </w:p>
        </w:tc>
        <w:tc>
          <w:tcPr>
            <w:tcW w:w="794" w:type="dxa"/>
            <w:tcBorders>
              <w:top w:val="nil"/>
              <w:left w:val="nil"/>
              <w:bottom w:val="nil"/>
              <w:right w:val="single" w:sz="4" w:space="0" w:color="auto"/>
            </w:tcBorders>
            <w:shd w:val="clear" w:color="000000" w:fill="F2F2F2"/>
            <w:noWrap/>
            <w:vAlign w:val="center"/>
            <w:hideMark/>
          </w:tcPr>
          <w:p w14:paraId="32AFE939" w14:textId="2250A481"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0.06</w:t>
            </w:r>
          </w:p>
        </w:tc>
        <w:tc>
          <w:tcPr>
            <w:tcW w:w="794" w:type="dxa"/>
            <w:tcBorders>
              <w:top w:val="nil"/>
              <w:left w:val="nil"/>
              <w:bottom w:val="nil"/>
              <w:right w:val="nil"/>
            </w:tcBorders>
            <w:shd w:val="clear" w:color="auto" w:fill="auto"/>
            <w:noWrap/>
            <w:vAlign w:val="center"/>
            <w:hideMark/>
          </w:tcPr>
          <w:p w14:paraId="2192F205" w14:textId="11E092C6"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0.66</w:t>
            </w:r>
          </w:p>
        </w:tc>
        <w:tc>
          <w:tcPr>
            <w:tcW w:w="794" w:type="dxa"/>
            <w:tcBorders>
              <w:top w:val="nil"/>
              <w:left w:val="nil"/>
              <w:bottom w:val="nil"/>
              <w:right w:val="single" w:sz="4" w:space="0" w:color="auto"/>
            </w:tcBorders>
            <w:shd w:val="clear" w:color="000000" w:fill="F2F2F2"/>
            <w:noWrap/>
            <w:vAlign w:val="center"/>
            <w:hideMark/>
          </w:tcPr>
          <w:p w14:paraId="1D5B7A24" w14:textId="08DF73A0"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0.16</w:t>
            </w:r>
          </w:p>
        </w:tc>
        <w:tc>
          <w:tcPr>
            <w:tcW w:w="794" w:type="dxa"/>
            <w:tcBorders>
              <w:top w:val="nil"/>
              <w:left w:val="nil"/>
              <w:bottom w:val="nil"/>
              <w:right w:val="nil"/>
            </w:tcBorders>
            <w:shd w:val="clear" w:color="auto" w:fill="auto"/>
            <w:noWrap/>
            <w:vAlign w:val="center"/>
            <w:hideMark/>
          </w:tcPr>
          <w:p w14:paraId="59698620" w14:textId="2799714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0.65</w:t>
            </w:r>
          </w:p>
        </w:tc>
        <w:tc>
          <w:tcPr>
            <w:tcW w:w="794" w:type="dxa"/>
            <w:tcBorders>
              <w:top w:val="nil"/>
              <w:left w:val="nil"/>
              <w:bottom w:val="nil"/>
              <w:right w:val="single" w:sz="4" w:space="0" w:color="auto"/>
            </w:tcBorders>
            <w:shd w:val="clear" w:color="000000" w:fill="F2F2F2"/>
            <w:noWrap/>
            <w:vAlign w:val="center"/>
            <w:hideMark/>
          </w:tcPr>
          <w:p w14:paraId="404B6BAB" w14:textId="4535787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-0.21</w:t>
            </w:r>
          </w:p>
        </w:tc>
        <w:tc>
          <w:tcPr>
            <w:tcW w:w="794" w:type="dxa"/>
            <w:tcBorders>
              <w:top w:val="nil"/>
              <w:left w:val="nil"/>
              <w:bottom w:val="nil"/>
              <w:right w:val="nil"/>
            </w:tcBorders>
            <w:shd w:val="clear" w:color="auto" w:fill="auto"/>
            <w:noWrap/>
            <w:vAlign w:val="center"/>
            <w:hideMark/>
          </w:tcPr>
          <w:p w14:paraId="286E4422" w14:textId="626DC264"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29388AFE" w14:textId="2563C766"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-0.19</w:t>
            </w:r>
          </w:p>
        </w:tc>
        <w:tc>
          <w:tcPr>
            <w:tcW w:w="794" w:type="dxa"/>
            <w:tcBorders>
              <w:top w:val="nil"/>
              <w:left w:val="nil"/>
              <w:bottom w:val="nil"/>
              <w:right w:val="nil"/>
            </w:tcBorders>
            <w:shd w:val="clear" w:color="auto" w:fill="auto"/>
            <w:noWrap/>
            <w:vAlign w:val="center"/>
            <w:hideMark/>
          </w:tcPr>
          <w:p w14:paraId="7939066A" w14:textId="1A91371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0.34</w:t>
            </w:r>
          </w:p>
        </w:tc>
        <w:tc>
          <w:tcPr>
            <w:tcW w:w="794" w:type="dxa"/>
            <w:tcBorders>
              <w:top w:val="nil"/>
              <w:left w:val="nil"/>
              <w:bottom w:val="nil"/>
              <w:right w:val="single" w:sz="4" w:space="0" w:color="auto"/>
            </w:tcBorders>
            <w:shd w:val="clear" w:color="000000" w:fill="F2F2F2"/>
            <w:noWrap/>
            <w:vAlign w:val="center"/>
            <w:hideMark/>
          </w:tcPr>
          <w:p w14:paraId="1BB8100A" w14:textId="7CBACC3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c>
          <w:tcPr>
            <w:tcW w:w="794" w:type="dxa"/>
            <w:tcBorders>
              <w:top w:val="nil"/>
              <w:left w:val="nil"/>
              <w:bottom w:val="nil"/>
              <w:right w:val="nil"/>
            </w:tcBorders>
            <w:shd w:val="clear" w:color="auto" w:fill="auto"/>
            <w:noWrap/>
            <w:vAlign w:val="center"/>
            <w:hideMark/>
          </w:tcPr>
          <w:p w14:paraId="7F4C0919" w14:textId="11292AF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0.22</w:t>
            </w:r>
          </w:p>
        </w:tc>
        <w:tc>
          <w:tcPr>
            <w:tcW w:w="794" w:type="dxa"/>
            <w:tcBorders>
              <w:top w:val="nil"/>
              <w:left w:val="nil"/>
              <w:bottom w:val="nil"/>
              <w:right w:val="single" w:sz="4" w:space="0" w:color="auto"/>
            </w:tcBorders>
            <w:shd w:val="clear" w:color="000000" w:fill="F2F2F2"/>
            <w:noWrap/>
            <w:vAlign w:val="center"/>
            <w:hideMark/>
          </w:tcPr>
          <w:p w14:paraId="23061080" w14:textId="6866E74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0.11</w:t>
            </w:r>
          </w:p>
        </w:tc>
        <w:tc>
          <w:tcPr>
            <w:tcW w:w="794" w:type="dxa"/>
            <w:tcBorders>
              <w:top w:val="nil"/>
              <w:left w:val="nil"/>
              <w:bottom w:val="nil"/>
              <w:right w:val="nil"/>
            </w:tcBorders>
            <w:shd w:val="clear" w:color="auto" w:fill="auto"/>
            <w:noWrap/>
            <w:vAlign w:val="center"/>
            <w:hideMark/>
          </w:tcPr>
          <w:p w14:paraId="3AB3C143" w14:textId="5B63DAF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0.10</w:t>
            </w:r>
          </w:p>
        </w:tc>
        <w:tc>
          <w:tcPr>
            <w:tcW w:w="794" w:type="dxa"/>
            <w:tcBorders>
              <w:top w:val="nil"/>
              <w:left w:val="nil"/>
              <w:bottom w:val="nil"/>
              <w:right w:val="single" w:sz="4" w:space="0" w:color="auto"/>
            </w:tcBorders>
            <w:shd w:val="clear" w:color="000000" w:fill="F2F2F2"/>
            <w:noWrap/>
            <w:vAlign w:val="center"/>
            <w:hideMark/>
          </w:tcPr>
          <w:p w14:paraId="1D09FB1D" w14:textId="2D22798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0.22</w:t>
            </w:r>
          </w:p>
        </w:tc>
        <w:tc>
          <w:tcPr>
            <w:tcW w:w="794" w:type="dxa"/>
            <w:tcBorders>
              <w:top w:val="nil"/>
              <w:left w:val="nil"/>
              <w:bottom w:val="nil"/>
              <w:right w:val="nil"/>
            </w:tcBorders>
            <w:shd w:val="clear" w:color="auto" w:fill="auto"/>
            <w:noWrap/>
            <w:vAlign w:val="center"/>
            <w:hideMark/>
          </w:tcPr>
          <w:p w14:paraId="22F33DDC" w14:textId="5C61FD2E"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6898EED8" w14:textId="04B04D1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0.26</w:t>
            </w:r>
          </w:p>
        </w:tc>
      </w:tr>
      <w:tr w:rsidR="002F1955" w:rsidRPr="004B5F88" w14:paraId="2ACADC83" w14:textId="77777777" w:rsidTr="002F1955">
        <w:trPr>
          <w:trHeight w:val="227"/>
        </w:trPr>
        <w:tc>
          <w:tcPr>
            <w:tcW w:w="1701" w:type="dxa"/>
            <w:tcBorders>
              <w:top w:val="nil"/>
              <w:left w:val="single" w:sz="4" w:space="0" w:color="auto"/>
              <w:right w:val="single" w:sz="4" w:space="0" w:color="auto"/>
            </w:tcBorders>
            <w:shd w:val="clear" w:color="auto" w:fill="auto"/>
            <w:noWrap/>
            <w:vAlign w:val="bottom"/>
            <w:hideMark/>
          </w:tcPr>
          <w:p w14:paraId="4FD4A25D"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Retirement and insurance assets</w:t>
            </w:r>
          </w:p>
        </w:tc>
        <w:tc>
          <w:tcPr>
            <w:tcW w:w="794" w:type="dxa"/>
            <w:tcBorders>
              <w:top w:val="nil"/>
              <w:left w:val="nil"/>
              <w:right w:val="nil"/>
            </w:tcBorders>
            <w:shd w:val="clear" w:color="auto" w:fill="auto"/>
            <w:noWrap/>
            <w:vAlign w:val="center"/>
            <w:hideMark/>
          </w:tcPr>
          <w:p w14:paraId="2B65A92C" w14:textId="1A3063B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3.87</w:t>
            </w:r>
          </w:p>
        </w:tc>
        <w:tc>
          <w:tcPr>
            <w:tcW w:w="794" w:type="dxa"/>
            <w:tcBorders>
              <w:top w:val="nil"/>
              <w:left w:val="nil"/>
              <w:right w:val="single" w:sz="4" w:space="0" w:color="auto"/>
            </w:tcBorders>
            <w:shd w:val="clear" w:color="000000" w:fill="F2F2F2"/>
            <w:noWrap/>
            <w:vAlign w:val="center"/>
            <w:hideMark/>
          </w:tcPr>
          <w:p w14:paraId="7617B939" w14:textId="177E581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4.03</w:t>
            </w:r>
          </w:p>
        </w:tc>
        <w:tc>
          <w:tcPr>
            <w:tcW w:w="794" w:type="dxa"/>
            <w:tcBorders>
              <w:top w:val="nil"/>
              <w:left w:val="nil"/>
              <w:right w:val="nil"/>
            </w:tcBorders>
            <w:shd w:val="clear" w:color="auto" w:fill="auto"/>
            <w:noWrap/>
            <w:vAlign w:val="center"/>
            <w:hideMark/>
          </w:tcPr>
          <w:p w14:paraId="0729C169" w14:textId="6682DF6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1.40</w:t>
            </w:r>
          </w:p>
        </w:tc>
        <w:tc>
          <w:tcPr>
            <w:tcW w:w="794" w:type="dxa"/>
            <w:tcBorders>
              <w:top w:val="nil"/>
              <w:left w:val="nil"/>
              <w:right w:val="single" w:sz="4" w:space="0" w:color="auto"/>
            </w:tcBorders>
            <w:shd w:val="clear" w:color="000000" w:fill="F2F2F2"/>
            <w:noWrap/>
            <w:vAlign w:val="center"/>
            <w:hideMark/>
          </w:tcPr>
          <w:p w14:paraId="67ED9CCD" w14:textId="0477382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3.66</w:t>
            </w:r>
          </w:p>
        </w:tc>
        <w:tc>
          <w:tcPr>
            <w:tcW w:w="794" w:type="dxa"/>
            <w:tcBorders>
              <w:top w:val="nil"/>
              <w:left w:val="nil"/>
              <w:right w:val="nil"/>
            </w:tcBorders>
            <w:shd w:val="clear" w:color="auto" w:fill="auto"/>
            <w:noWrap/>
            <w:vAlign w:val="center"/>
            <w:hideMark/>
          </w:tcPr>
          <w:p w14:paraId="21A56580" w14:textId="7298D6D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0.89</w:t>
            </w:r>
          </w:p>
        </w:tc>
        <w:tc>
          <w:tcPr>
            <w:tcW w:w="794" w:type="dxa"/>
            <w:tcBorders>
              <w:top w:val="nil"/>
              <w:left w:val="nil"/>
              <w:right w:val="single" w:sz="4" w:space="0" w:color="auto"/>
            </w:tcBorders>
            <w:shd w:val="clear" w:color="000000" w:fill="F2F2F2"/>
            <w:noWrap/>
            <w:vAlign w:val="center"/>
            <w:hideMark/>
          </w:tcPr>
          <w:p w14:paraId="6133B118" w14:textId="08DF8D8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2.65</w:t>
            </w:r>
          </w:p>
        </w:tc>
        <w:tc>
          <w:tcPr>
            <w:tcW w:w="794" w:type="dxa"/>
            <w:tcBorders>
              <w:top w:val="nil"/>
              <w:left w:val="nil"/>
              <w:right w:val="nil"/>
            </w:tcBorders>
            <w:shd w:val="clear" w:color="auto" w:fill="auto"/>
            <w:noWrap/>
            <w:vAlign w:val="center"/>
            <w:hideMark/>
          </w:tcPr>
          <w:p w14:paraId="171DDE82" w14:textId="14E0A7B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0.96</w:t>
            </w:r>
          </w:p>
        </w:tc>
        <w:tc>
          <w:tcPr>
            <w:tcW w:w="794" w:type="dxa"/>
            <w:tcBorders>
              <w:top w:val="nil"/>
              <w:left w:val="nil"/>
              <w:right w:val="single" w:sz="4" w:space="0" w:color="auto"/>
            </w:tcBorders>
            <w:shd w:val="clear" w:color="000000" w:fill="F2F2F2"/>
            <w:noWrap/>
            <w:vAlign w:val="center"/>
            <w:hideMark/>
          </w:tcPr>
          <w:p w14:paraId="6FEDCD35" w14:textId="6F08E9A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2.61</w:t>
            </w:r>
          </w:p>
        </w:tc>
        <w:tc>
          <w:tcPr>
            <w:tcW w:w="794" w:type="dxa"/>
            <w:tcBorders>
              <w:top w:val="nil"/>
              <w:left w:val="nil"/>
              <w:right w:val="nil"/>
            </w:tcBorders>
            <w:shd w:val="clear" w:color="auto" w:fill="auto"/>
            <w:noWrap/>
            <w:vAlign w:val="center"/>
            <w:hideMark/>
          </w:tcPr>
          <w:p w14:paraId="10E65C00" w14:textId="1CF61B1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1.39</w:t>
            </w:r>
          </w:p>
        </w:tc>
        <w:tc>
          <w:tcPr>
            <w:tcW w:w="794" w:type="dxa"/>
            <w:tcBorders>
              <w:top w:val="nil"/>
              <w:left w:val="nil"/>
              <w:right w:val="single" w:sz="4" w:space="0" w:color="auto"/>
            </w:tcBorders>
            <w:shd w:val="clear" w:color="000000" w:fill="F2F2F2"/>
            <w:noWrap/>
            <w:vAlign w:val="center"/>
            <w:hideMark/>
          </w:tcPr>
          <w:p w14:paraId="70641548" w14:textId="4C94D06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2.58</w:t>
            </w:r>
          </w:p>
        </w:tc>
        <w:tc>
          <w:tcPr>
            <w:tcW w:w="794" w:type="dxa"/>
            <w:tcBorders>
              <w:top w:val="nil"/>
              <w:left w:val="nil"/>
              <w:right w:val="nil"/>
            </w:tcBorders>
            <w:shd w:val="clear" w:color="auto" w:fill="auto"/>
            <w:noWrap/>
            <w:vAlign w:val="center"/>
            <w:hideMark/>
          </w:tcPr>
          <w:p w14:paraId="4A916E95" w14:textId="476C0DF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1.85</w:t>
            </w:r>
          </w:p>
        </w:tc>
        <w:tc>
          <w:tcPr>
            <w:tcW w:w="794" w:type="dxa"/>
            <w:tcBorders>
              <w:top w:val="nil"/>
              <w:left w:val="nil"/>
              <w:right w:val="single" w:sz="4" w:space="0" w:color="auto"/>
            </w:tcBorders>
            <w:shd w:val="clear" w:color="000000" w:fill="F2F2F2"/>
            <w:noWrap/>
            <w:vAlign w:val="center"/>
            <w:hideMark/>
          </w:tcPr>
          <w:p w14:paraId="484C14AF" w14:textId="100A59C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3.51</w:t>
            </w:r>
          </w:p>
        </w:tc>
        <w:tc>
          <w:tcPr>
            <w:tcW w:w="794" w:type="dxa"/>
            <w:tcBorders>
              <w:top w:val="nil"/>
              <w:left w:val="nil"/>
              <w:right w:val="nil"/>
            </w:tcBorders>
            <w:shd w:val="clear" w:color="auto" w:fill="auto"/>
            <w:noWrap/>
            <w:vAlign w:val="center"/>
            <w:hideMark/>
          </w:tcPr>
          <w:p w14:paraId="29C24D26" w14:textId="0C38784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2.52</w:t>
            </w:r>
          </w:p>
        </w:tc>
        <w:tc>
          <w:tcPr>
            <w:tcW w:w="794" w:type="dxa"/>
            <w:tcBorders>
              <w:top w:val="nil"/>
              <w:left w:val="nil"/>
              <w:right w:val="single" w:sz="4" w:space="0" w:color="auto"/>
            </w:tcBorders>
            <w:shd w:val="clear" w:color="000000" w:fill="F2F2F2"/>
            <w:noWrap/>
            <w:vAlign w:val="center"/>
            <w:hideMark/>
          </w:tcPr>
          <w:p w14:paraId="1E1680E6" w14:textId="37A11BD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2.85</w:t>
            </w:r>
          </w:p>
        </w:tc>
        <w:tc>
          <w:tcPr>
            <w:tcW w:w="794" w:type="dxa"/>
            <w:tcBorders>
              <w:top w:val="nil"/>
              <w:left w:val="nil"/>
              <w:right w:val="nil"/>
            </w:tcBorders>
            <w:shd w:val="clear" w:color="auto" w:fill="auto"/>
            <w:noWrap/>
            <w:vAlign w:val="center"/>
            <w:hideMark/>
          </w:tcPr>
          <w:p w14:paraId="605BC614" w14:textId="4428DD6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1.78</w:t>
            </w:r>
          </w:p>
        </w:tc>
        <w:tc>
          <w:tcPr>
            <w:tcW w:w="794" w:type="dxa"/>
            <w:tcBorders>
              <w:top w:val="nil"/>
              <w:left w:val="nil"/>
              <w:right w:val="single" w:sz="4" w:space="0" w:color="auto"/>
            </w:tcBorders>
            <w:shd w:val="clear" w:color="000000" w:fill="F2F2F2"/>
            <w:noWrap/>
            <w:vAlign w:val="center"/>
            <w:hideMark/>
          </w:tcPr>
          <w:p w14:paraId="3BCAD4E4" w14:textId="3A7FF37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3.04</w:t>
            </w:r>
          </w:p>
        </w:tc>
        <w:tc>
          <w:tcPr>
            <w:tcW w:w="794" w:type="dxa"/>
            <w:tcBorders>
              <w:top w:val="nil"/>
              <w:left w:val="nil"/>
              <w:right w:val="nil"/>
            </w:tcBorders>
            <w:shd w:val="clear" w:color="auto" w:fill="auto"/>
            <w:noWrap/>
            <w:vAlign w:val="center"/>
            <w:hideMark/>
          </w:tcPr>
          <w:p w14:paraId="6F5610AF" w14:textId="5CA919F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1.47</w:t>
            </w:r>
          </w:p>
        </w:tc>
        <w:tc>
          <w:tcPr>
            <w:tcW w:w="794" w:type="dxa"/>
            <w:tcBorders>
              <w:top w:val="nil"/>
              <w:left w:val="nil"/>
              <w:right w:val="single" w:sz="4" w:space="0" w:color="auto"/>
            </w:tcBorders>
            <w:shd w:val="clear" w:color="000000" w:fill="F2F2F2"/>
            <w:noWrap/>
            <w:vAlign w:val="center"/>
            <w:hideMark/>
          </w:tcPr>
          <w:p w14:paraId="53CAEBF4" w14:textId="0B4E655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2.93</w:t>
            </w:r>
          </w:p>
        </w:tc>
      </w:tr>
      <w:tr w:rsidR="002F1955" w:rsidRPr="004B5F88" w14:paraId="4BF97A2B"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37A6482" w14:textId="77777777" w:rsidR="002F1955" w:rsidRPr="004B5F88"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496E9DAD" w14:textId="3DCA099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1,956</w:t>
            </w:r>
          </w:p>
        </w:tc>
        <w:tc>
          <w:tcPr>
            <w:tcW w:w="794" w:type="dxa"/>
            <w:tcBorders>
              <w:top w:val="nil"/>
              <w:left w:val="nil"/>
              <w:bottom w:val="single" w:sz="4" w:space="0" w:color="auto"/>
              <w:right w:val="nil"/>
            </w:tcBorders>
            <w:shd w:val="clear" w:color="000000" w:fill="F2F2F2"/>
            <w:noWrap/>
            <w:vAlign w:val="center"/>
            <w:hideMark/>
          </w:tcPr>
          <w:p w14:paraId="33A3D682" w14:textId="2102039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13,251</w:t>
            </w:r>
          </w:p>
        </w:tc>
        <w:tc>
          <w:tcPr>
            <w:tcW w:w="794" w:type="dxa"/>
            <w:tcBorders>
              <w:top w:val="nil"/>
              <w:left w:val="single" w:sz="4" w:space="0" w:color="auto"/>
              <w:bottom w:val="single" w:sz="4" w:space="0" w:color="auto"/>
              <w:right w:val="nil"/>
            </w:tcBorders>
            <w:shd w:val="clear" w:color="auto" w:fill="auto"/>
            <w:noWrap/>
            <w:vAlign w:val="center"/>
            <w:hideMark/>
          </w:tcPr>
          <w:p w14:paraId="2F68F8D8" w14:textId="609018B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2,473</w:t>
            </w:r>
          </w:p>
        </w:tc>
        <w:tc>
          <w:tcPr>
            <w:tcW w:w="794" w:type="dxa"/>
            <w:tcBorders>
              <w:top w:val="nil"/>
              <w:left w:val="nil"/>
              <w:bottom w:val="single" w:sz="4" w:space="0" w:color="auto"/>
              <w:right w:val="nil"/>
            </w:tcBorders>
            <w:shd w:val="clear" w:color="000000" w:fill="F2F2F2"/>
            <w:noWrap/>
            <w:vAlign w:val="center"/>
            <w:hideMark/>
          </w:tcPr>
          <w:p w14:paraId="691F321C" w14:textId="0B36414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16,483</w:t>
            </w:r>
          </w:p>
        </w:tc>
        <w:tc>
          <w:tcPr>
            <w:tcW w:w="794" w:type="dxa"/>
            <w:tcBorders>
              <w:top w:val="nil"/>
              <w:left w:val="single" w:sz="4" w:space="0" w:color="auto"/>
              <w:bottom w:val="single" w:sz="4" w:space="0" w:color="auto"/>
              <w:right w:val="nil"/>
            </w:tcBorders>
            <w:shd w:val="clear" w:color="auto" w:fill="auto"/>
            <w:noWrap/>
            <w:vAlign w:val="center"/>
            <w:hideMark/>
          </w:tcPr>
          <w:p w14:paraId="6CD24C7D" w14:textId="4673315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2,446</w:t>
            </w:r>
          </w:p>
        </w:tc>
        <w:tc>
          <w:tcPr>
            <w:tcW w:w="794" w:type="dxa"/>
            <w:tcBorders>
              <w:top w:val="nil"/>
              <w:left w:val="nil"/>
              <w:bottom w:val="single" w:sz="4" w:space="0" w:color="auto"/>
              <w:right w:val="single" w:sz="4" w:space="0" w:color="auto"/>
            </w:tcBorders>
            <w:shd w:val="clear" w:color="000000" w:fill="F2F2F2"/>
            <w:noWrap/>
            <w:vAlign w:val="center"/>
            <w:hideMark/>
          </w:tcPr>
          <w:p w14:paraId="5ACD3BF6" w14:textId="1A5353F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18,519</w:t>
            </w:r>
          </w:p>
        </w:tc>
        <w:tc>
          <w:tcPr>
            <w:tcW w:w="794" w:type="dxa"/>
            <w:tcBorders>
              <w:top w:val="nil"/>
              <w:left w:val="nil"/>
              <w:bottom w:val="single" w:sz="4" w:space="0" w:color="auto"/>
              <w:right w:val="nil"/>
            </w:tcBorders>
            <w:shd w:val="clear" w:color="auto" w:fill="auto"/>
            <w:noWrap/>
            <w:vAlign w:val="center"/>
            <w:hideMark/>
          </w:tcPr>
          <w:p w14:paraId="0E824395" w14:textId="52C02D0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2,924</w:t>
            </w:r>
          </w:p>
        </w:tc>
        <w:tc>
          <w:tcPr>
            <w:tcW w:w="794" w:type="dxa"/>
            <w:tcBorders>
              <w:top w:val="nil"/>
              <w:left w:val="nil"/>
              <w:bottom w:val="single" w:sz="4" w:space="0" w:color="auto"/>
              <w:right w:val="single" w:sz="4" w:space="0" w:color="auto"/>
            </w:tcBorders>
            <w:shd w:val="clear" w:color="000000" w:fill="F2F2F2"/>
            <w:noWrap/>
            <w:vAlign w:val="center"/>
            <w:hideMark/>
          </w:tcPr>
          <w:p w14:paraId="36675E3B" w14:textId="0C3AB5C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18,016</w:t>
            </w:r>
          </w:p>
        </w:tc>
        <w:tc>
          <w:tcPr>
            <w:tcW w:w="794" w:type="dxa"/>
            <w:tcBorders>
              <w:top w:val="nil"/>
              <w:left w:val="nil"/>
              <w:bottom w:val="single" w:sz="4" w:space="0" w:color="auto"/>
              <w:right w:val="nil"/>
            </w:tcBorders>
            <w:shd w:val="clear" w:color="auto" w:fill="auto"/>
            <w:noWrap/>
            <w:vAlign w:val="center"/>
            <w:hideMark/>
          </w:tcPr>
          <w:p w14:paraId="3696D2A1" w14:textId="3804E72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3,277</w:t>
            </w:r>
          </w:p>
        </w:tc>
        <w:tc>
          <w:tcPr>
            <w:tcW w:w="794" w:type="dxa"/>
            <w:tcBorders>
              <w:top w:val="nil"/>
              <w:left w:val="nil"/>
              <w:bottom w:val="single" w:sz="4" w:space="0" w:color="auto"/>
              <w:right w:val="single" w:sz="4" w:space="0" w:color="auto"/>
            </w:tcBorders>
            <w:shd w:val="clear" w:color="000000" w:fill="F2F2F2"/>
            <w:noWrap/>
            <w:vAlign w:val="center"/>
            <w:hideMark/>
          </w:tcPr>
          <w:p w14:paraId="531B321E" w14:textId="2D6B479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18,335</w:t>
            </w:r>
          </w:p>
        </w:tc>
        <w:tc>
          <w:tcPr>
            <w:tcW w:w="794" w:type="dxa"/>
            <w:tcBorders>
              <w:top w:val="nil"/>
              <w:left w:val="nil"/>
              <w:bottom w:val="single" w:sz="4" w:space="0" w:color="auto"/>
              <w:right w:val="nil"/>
            </w:tcBorders>
            <w:shd w:val="clear" w:color="auto" w:fill="auto"/>
            <w:noWrap/>
            <w:vAlign w:val="center"/>
            <w:hideMark/>
          </w:tcPr>
          <w:p w14:paraId="555E9B9D" w14:textId="0888EE8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3,865</w:t>
            </w:r>
          </w:p>
        </w:tc>
        <w:tc>
          <w:tcPr>
            <w:tcW w:w="794" w:type="dxa"/>
            <w:tcBorders>
              <w:top w:val="nil"/>
              <w:left w:val="nil"/>
              <w:bottom w:val="single" w:sz="4" w:space="0" w:color="auto"/>
              <w:right w:val="single" w:sz="4" w:space="0" w:color="auto"/>
            </w:tcBorders>
            <w:shd w:val="clear" w:color="000000" w:fill="F2F2F2"/>
            <w:noWrap/>
            <w:vAlign w:val="center"/>
            <w:hideMark/>
          </w:tcPr>
          <w:p w14:paraId="2984B366" w14:textId="312F12D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18,326</w:t>
            </w:r>
          </w:p>
        </w:tc>
        <w:tc>
          <w:tcPr>
            <w:tcW w:w="794" w:type="dxa"/>
            <w:tcBorders>
              <w:top w:val="nil"/>
              <w:left w:val="nil"/>
              <w:bottom w:val="single" w:sz="4" w:space="0" w:color="auto"/>
              <w:right w:val="nil"/>
            </w:tcBorders>
            <w:shd w:val="clear" w:color="auto" w:fill="auto"/>
            <w:noWrap/>
            <w:vAlign w:val="center"/>
            <w:hideMark/>
          </w:tcPr>
          <w:p w14:paraId="62E30FF7" w14:textId="7874D7A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3,365</w:t>
            </w:r>
          </w:p>
        </w:tc>
        <w:tc>
          <w:tcPr>
            <w:tcW w:w="794" w:type="dxa"/>
            <w:tcBorders>
              <w:top w:val="nil"/>
              <w:left w:val="nil"/>
              <w:bottom w:val="single" w:sz="4" w:space="0" w:color="auto"/>
              <w:right w:val="single" w:sz="4" w:space="0" w:color="auto"/>
            </w:tcBorders>
            <w:shd w:val="clear" w:color="000000" w:fill="F2F2F2"/>
            <w:noWrap/>
            <w:vAlign w:val="center"/>
            <w:hideMark/>
          </w:tcPr>
          <w:p w14:paraId="3BE8749C" w14:textId="580A6B6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18,329</w:t>
            </w:r>
          </w:p>
        </w:tc>
        <w:tc>
          <w:tcPr>
            <w:tcW w:w="794" w:type="dxa"/>
            <w:tcBorders>
              <w:top w:val="nil"/>
              <w:left w:val="nil"/>
              <w:bottom w:val="single" w:sz="4" w:space="0" w:color="auto"/>
              <w:right w:val="nil"/>
            </w:tcBorders>
            <w:shd w:val="clear" w:color="auto" w:fill="auto"/>
            <w:noWrap/>
            <w:vAlign w:val="center"/>
            <w:hideMark/>
          </w:tcPr>
          <w:p w14:paraId="5FCE6481" w14:textId="66C938F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6,608</w:t>
            </w:r>
          </w:p>
        </w:tc>
        <w:tc>
          <w:tcPr>
            <w:tcW w:w="794" w:type="dxa"/>
            <w:tcBorders>
              <w:top w:val="nil"/>
              <w:left w:val="nil"/>
              <w:bottom w:val="single" w:sz="4" w:space="0" w:color="auto"/>
              <w:right w:val="single" w:sz="4" w:space="0" w:color="auto"/>
            </w:tcBorders>
            <w:shd w:val="clear" w:color="000000" w:fill="F2F2F2"/>
            <w:noWrap/>
            <w:vAlign w:val="center"/>
            <w:hideMark/>
          </w:tcPr>
          <w:p w14:paraId="0BF28EEB" w14:textId="09838FC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25,008</w:t>
            </w:r>
          </w:p>
        </w:tc>
        <w:tc>
          <w:tcPr>
            <w:tcW w:w="794" w:type="dxa"/>
            <w:tcBorders>
              <w:top w:val="nil"/>
              <w:left w:val="nil"/>
              <w:bottom w:val="single" w:sz="4" w:space="0" w:color="auto"/>
              <w:right w:val="nil"/>
            </w:tcBorders>
            <w:shd w:val="clear" w:color="auto" w:fill="auto"/>
            <w:noWrap/>
            <w:vAlign w:val="center"/>
            <w:hideMark/>
          </w:tcPr>
          <w:p w14:paraId="73618FFB" w14:textId="7022236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6,103</w:t>
            </w:r>
          </w:p>
        </w:tc>
        <w:tc>
          <w:tcPr>
            <w:tcW w:w="794" w:type="dxa"/>
            <w:tcBorders>
              <w:top w:val="nil"/>
              <w:left w:val="nil"/>
              <w:bottom w:val="single" w:sz="4" w:space="0" w:color="auto"/>
              <w:right w:val="single" w:sz="4" w:space="0" w:color="auto"/>
            </w:tcBorders>
            <w:shd w:val="clear" w:color="000000" w:fill="F2F2F2"/>
            <w:noWrap/>
            <w:vAlign w:val="center"/>
            <w:hideMark/>
          </w:tcPr>
          <w:p w14:paraId="00DD7C62" w14:textId="644475C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23,397</w:t>
            </w:r>
          </w:p>
        </w:tc>
      </w:tr>
      <w:tr w:rsidR="004B5F88" w:rsidRPr="004B5F88" w14:paraId="284FCADC" w14:textId="77777777" w:rsidTr="004B5F88">
        <w:trPr>
          <w:trHeight w:val="227"/>
        </w:trPr>
        <w:tc>
          <w:tcPr>
            <w:tcW w:w="15993" w:type="dxa"/>
            <w:gridSpan w:val="19"/>
            <w:tcBorders>
              <w:top w:val="single" w:sz="4" w:space="0" w:color="auto"/>
              <w:left w:val="single" w:sz="4" w:space="0" w:color="auto"/>
              <w:bottom w:val="nil"/>
              <w:right w:val="single" w:sz="4" w:space="0" w:color="auto"/>
            </w:tcBorders>
            <w:shd w:val="clear" w:color="auto" w:fill="auto"/>
            <w:noWrap/>
            <w:vAlign w:val="center"/>
            <w:hideMark/>
          </w:tcPr>
          <w:p w14:paraId="3CD090CD" w14:textId="77777777" w:rsidR="004B5F88" w:rsidRPr="004B5F88" w:rsidRDefault="004B5F88" w:rsidP="004B5F88">
            <w:pPr>
              <w:spacing w:before="80" w:after="2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b/>
                <w:bCs/>
                <w:color w:val="000000"/>
                <w:sz w:val="20"/>
                <w:szCs w:val="20"/>
              </w:rPr>
              <w:t>Share of total debt</w:t>
            </w:r>
          </w:p>
        </w:tc>
      </w:tr>
      <w:tr w:rsidR="002F1955" w:rsidRPr="004B5F88" w14:paraId="26B7EBB3"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18263137"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Debt secured by primary residence</w:t>
            </w:r>
          </w:p>
        </w:tc>
        <w:tc>
          <w:tcPr>
            <w:tcW w:w="794" w:type="dxa"/>
            <w:tcBorders>
              <w:top w:val="single" w:sz="4" w:space="0" w:color="auto"/>
              <w:left w:val="nil"/>
              <w:bottom w:val="nil"/>
              <w:right w:val="nil"/>
            </w:tcBorders>
            <w:shd w:val="clear" w:color="auto" w:fill="auto"/>
            <w:noWrap/>
            <w:vAlign w:val="center"/>
            <w:hideMark/>
          </w:tcPr>
          <w:p w14:paraId="0C3AD5EA" w14:textId="4134C2C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0.57</w:t>
            </w:r>
          </w:p>
        </w:tc>
        <w:tc>
          <w:tcPr>
            <w:tcW w:w="794" w:type="dxa"/>
            <w:tcBorders>
              <w:top w:val="single" w:sz="4" w:space="0" w:color="auto"/>
              <w:left w:val="nil"/>
              <w:bottom w:val="nil"/>
              <w:right w:val="single" w:sz="4" w:space="0" w:color="auto"/>
            </w:tcBorders>
            <w:shd w:val="clear" w:color="000000" w:fill="F2F2F2"/>
            <w:noWrap/>
            <w:vAlign w:val="center"/>
            <w:hideMark/>
          </w:tcPr>
          <w:p w14:paraId="482D17B2" w14:textId="2B1B96F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0.81</w:t>
            </w:r>
          </w:p>
        </w:tc>
        <w:tc>
          <w:tcPr>
            <w:tcW w:w="794" w:type="dxa"/>
            <w:tcBorders>
              <w:top w:val="single" w:sz="4" w:space="0" w:color="auto"/>
              <w:left w:val="nil"/>
              <w:bottom w:val="nil"/>
              <w:right w:val="nil"/>
            </w:tcBorders>
            <w:shd w:val="clear" w:color="auto" w:fill="auto"/>
            <w:noWrap/>
            <w:vAlign w:val="center"/>
            <w:hideMark/>
          </w:tcPr>
          <w:p w14:paraId="04F2EF85" w14:textId="6F55A97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0.54</w:t>
            </w:r>
          </w:p>
        </w:tc>
        <w:tc>
          <w:tcPr>
            <w:tcW w:w="794" w:type="dxa"/>
            <w:tcBorders>
              <w:top w:val="single" w:sz="4" w:space="0" w:color="auto"/>
              <w:left w:val="nil"/>
              <w:bottom w:val="nil"/>
              <w:right w:val="single" w:sz="4" w:space="0" w:color="auto"/>
            </w:tcBorders>
            <w:shd w:val="clear" w:color="000000" w:fill="F2F2F2"/>
            <w:noWrap/>
            <w:vAlign w:val="center"/>
            <w:hideMark/>
          </w:tcPr>
          <w:p w14:paraId="76DB6B59" w14:textId="3F44AA2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0.87</w:t>
            </w:r>
          </w:p>
        </w:tc>
        <w:tc>
          <w:tcPr>
            <w:tcW w:w="794" w:type="dxa"/>
            <w:tcBorders>
              <w:top w:val="single" w:sz="4" w:space="0" w:color="auto"/>
              <w:left w:val="nil"/>
              <w:bottom w:val="nil"/>
              <w:right w:val="nil"/>
            </w:tcBorders>
            <w:shd w:val="clear" w:color="auto" w:fill="auto"/>
            <w:noWrap/>
            <w:vAlign w:val="center"/>
            <w:hideMark/>
          </w:tcPr>
          <w:p w14:paraId="5AB231B6" w14:textId="047D04B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0.46</w:t>
            </w:r>
          </w:p>
        </w:tc>
        <w:tc>
          <w:tcPr>
            <w:tcW w:w="794" w:type="dxa"/>
            <w:tcBorders>
              <w:top w:val="single" w:sz="4" w:space="0" w:color="auto"/>
              <w:left w:val="nil"/>
              <w:bottom w:val="nil"/>
              <w:right w:val="single" w:sz="4" w:space="0" w:color="auto"/>
            </w:tcBorders>
            <w:shd w:val="clear" w:color="000000" w:fill="F2F2F2"/>
            <w:noWrap/>
            <w:vAlign w:val="center"/>
            <w:hideMark/>
          </w:tcPr>
          <w:p w14:paraId="012A010B" w14:textId="45371F8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0.73</w:t>
            </w:r>
          </w:p>
        </w:tc>
        <w:tc>
          <w:tcPr>
            <w:tcW w:w="794" w:type="dxa"/>
            <w:tcBorders>
              <w:top w:val="single" w:sz="4" w:space="0" w:color="auto"/>
              <w:left w:val="nil"/>
              <w:bottom w:val="nil"/>
              <w:right w:val="nil"/>
            </w:tcBorders>
            <w:shd w:val="clear" w:color="auto" w:fill="auto"/>
            <w:noWrap/>
            <w:vAlign w:val="center"/>
            <w:hideMark/>
          </w:tcPr>
          <w:p w14:paraId="4376A204" w14:textId="2BFC272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0.49</w:t>
            </w:r>
          </w:p>
        </w:tc>
        <w:tc>
          <w:tcPr>
            <w:tcW w:w="794" w:type="dxa"/>
            <w:tcBorders>
              <w:top w:val="single" w:sz="4" w:space="0" w:color="auto"/>
              <w:left w:val="nil"/>
              <w:bottom w:val="nil"/>
              <w:right w:val="single" w:sz="4" w:space="0" w:color="auto"/>
            </w:tcBorders>
            <w:shd w:val="clear" w:color="000000" w:fill="F2F2F2"/>
            <w:noWrap/>
            <w:vAlign w:val="center"/>
            <w:hideMark/>
          </w:tcPr>
          <w:p w14:paraId="393254F0" w14:textId="304C529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0.82</w:t>
            </w:r>
          </w:p>
        </w:tc>
        <w:tc>
          <w:tcPr>
            <w:tcW w:w="794" w:type="dxa"/>
            <w:tcBorders>
              <w:top w:val="single" w:sz="4" w:space="0" w:color="auto"/>
              <w:left w:val="nil"/>
              <w:bottom w:val="nil"/>
              <w:right w:val="nil"/>
            </w:tcBorders>
            <w:shd w:val="clear" w:color="auto" w:fill="auto"/>
            <w:noWrap/>
            <w:vAlign w:val="center"/>
            <w:hideMark/>
          </w:tcPr>
          <w:p w14:paraId="5AF14630" w14:textId="18F9E00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0.48</w:t>
            </w:r>
          </w:p>
        </w:tc>
        <w:tc>
          <w:tcPr>
            <w:tcW w:w="794" w:type="dxa"/>
            <w:tcBorders>
              <w:top w:val="single" w:sz="4" w:space="0" w:color="auto"/>
              <w:left w:val="nil"/>
              <w:bottom w:val="nil"/>
              <w:right w:val="single" w:sz="4" w:space="0" w:color="auto"/>
            </w:tcBorders>
            <w:shd w:val="clear" w:color="000000" w:fill="F2F2F2"/>
            <w:noWrap/>
            <w:vAlign w:val="center"/>
            <w:hideMark/>
          </w:tcPr>
          <w:p w14:paraId="751E98D2" w14:textId="43D4CE6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0.85</w:t>
            </w:r>
          </w:p>
        </w:tc>
        <w:tc>
          <w:tcPr>
            <w:tcW w:w="794" w:type="dxa"/>
            <w:tcBorders>
              <w:top w:val="single" w:sz="4" w:space="0" w:color="auto"/>
              <w:left w:val="nil"/>
              <w:bottom w:val="nil"/>
              <w:right w:val="nil"/>
            </w:tcBorders>
            <w:shd w:val="clear" w:color="auto" w:fill="auto"/>
            <w:noWrap/>
            <w:vAlign w:val="center"/>
            <w:hideMark/>
          </w:tcPr>
          <w:p w14:paraId="31D99405" w14:textId="282AE7C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0.38</w:t>
            </w:r>
          </w:p>
        </w:tc>
        <w:tc>
          <w:tcPr>
            <w:tcW w:w="794" w:type="dxa"/>
            <w:tcBorders>
              <w:top w:val="single" w:sz="4" w:space="0" w:color="auto"/>
              <w:left w:val="nil"/>
              <w:bottom w:val="nil"/>
              <w:right w:val="single" w:sz="4" w:space="0" w:color="auto"/>
            </w:tcBorders>
            <w:shd w:val="clear" w:color="000000" w:fill="F2F2F2"/>
            <w:noWrap/>
            <w:vAlign w:val="center"/>
            <w:hideMark/>
          </w:tcPr>
          <w:p w14:paraId="031054AB" w14:textId="3E5A355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0.68</w:t>
            </w:r>
          </w:p>
        </w:tc>
        <w:tc>
          <w:tcPr>
            <w:tcW w:w="794" w:type="dxa"/>
            <w:tcBorders>
              <w:top w:val="single" w:sz="4" w:space="0" w:color="auto"/>
              <w:left w:val="nil"/>
              <w:bottom w:val="nil"/>
              <w:right w:val="nil"/>
            </w:tcBorders>
            <w:shd w:val="clear" w:color="auto" w:fill="auto"/>
            <w:noWrap/>
            <w:vAlign w:val="center"/>
            <w:hideMark/>
          </w:tcPr>
          <w:p w14:paraId="248CD739" w14:textId="697E7DC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0.61</w:t>
            </w:r>
          </w:p>
        </w:tc>
        <w:tc>
          <w:tcPr>
            <w:tcW w:w="794" w:type="dxa"/>
            <w:tcBorders>
              <w:top w:val="single" w:sz="4" w:space="0" w:color="auto"/>
              <w:left w:val="nil"/>
              <w:bottom w:val="nil"/>
              <w:right w:val="single" w:sz="4" w:space="0" w:color="auto"/>
            </w:tcBorders>
            <w:shd w:val="clear" w:color="000000" w:fill="F2F2F2"/>
            <w:noWrap/>
            <w:vAlign w:val="center"/>
            <w:hideMark/>
          </w:tcPr>
          <w:p w14:paraId="4A297AE7" w14:textId="549A81F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0.69</w:t>
            </w:r>
          </w:p>
        </w:tc>
        <w:tc>
          <w:tcPr>
            <w:tcW w:w="794" w:type="dxa"/>
            <w:tcBorders>
              <w:top w:val="single" w:sz="4" w:space="0" w:color="auto"/>
              <w:left w:val="nil"/>
              <w:bottom w:val="nil"/>
              <w:right w:val="nil"/>
            </w:tcBorders>
            <w:shd w:val="clear" w:color="auto" w:fill="auto"/>
            <w:noWrap/>
            <w:vAlign w:val="center"/>
            <w:hideMark/>
          </w:tcPr>
          <w:p w14:paraId="345CCE8E" w14:textId="790E4C3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0.45</w:t>
            </w:r>
          </w:p>
        </w:tc>
        <w:tc>
          <w:tcPr>
            <w:tcW w:w="794" w:type="dxa"/>
            <w:tcBorders>
              <w:top w:val="single" w:sz="4" w:space="0" w:color="auto"/>
              <w:left w:val="nil"/>
              <w:bottom w:val="nil"/>
              <w:right w:val="single" w:sz="4" w:space="0" w:color="auto"/>
            </w:tcBorders>
            <w:shd w:val="clear" w:color="000000" w:fill="F2F2F2"/>
            <w:noWrap/>
            <w:vAlign w:val="center"/>
            <w:hideMark/>
          </w:tcPr>
          <w:p w14:paraId="676CE0DF" w14:textId="46B9866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0.64</w:t>
            </w:r>
          </w:p>
        </w:tc>
        <w:tc>
          <w:tcPr>
            <w:tcW w:w="794" w:type="dxa"/>
            <w:tcBorders>
              <w:top w:val="single" w:sz="4" w:space="0" w:color="auto"/>
              <w:left w:val="nil"/>
              <w:bottom w:val="nil"/>
              <w:right w:val="nil"/>
            </w:tcBorders>
            <w:shd w:val="clear" w:color="auto" w:fill="auto"/>
            <w:noWrap/>
            <w:vAlign w:val="center"/>
            <w:hideMark/>
          </w:tcPr>
          <w:p w14:paraId="56FBA932" w14:textId="04C1D39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0.47</w:t>
            </w:r>
          </w:p>
        </w:tc>
        <w:tc>
          <w:tcPr>
            <w:tcW w:w="794" w:type="dxa"/>
            <w:tcBorders>
              <w:top w:val="single" w:sz="4" w:space="0" w:color="auto"/>
              <w:left w:val="nil"/>
              <w:bottom w:val="nil"/>
              <w:right w:val="single" w:sz="4" w:space="0" w:color="auto"/>
            </w:tcBorders>
            <w:shd w:val="clear" w:color="000000" w:fill="F2F2F2"/>
            <w:noWrap/>
            <w:vAlign w:val="center"/>
            <w:hideMark/>
          </w:tcPr>
          <w:p w14:paraId="0F96C95F" w14:textId="6762559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0.76</w:t>
            </w:r>
          </w:p>
        </w:tc>
      </w:tr>
      <w:tr w:rsidR="002F1955" w:rsidRPr="004B5F88" w14:paraId="54DE45DE"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78D9EF9E"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Debt secured by other property</w:t>
            </w:r>
          </w:p>
        </w:tc>
        <w:tc>
          <w:tcPr>
            <w:tcW w:w="794" w:type="dxa"/>
            <w:tcBorders>
              <w:top w:val="nil"/>
              <w:left w:val="nil"/>
              <w:bottom w:val="nil"/>
              <w:right w:val="nil"/>
            </w:tcBorders>
            <w:shd w:val="clear" w:color="auto" w:fill="auto"/>
            <w:noWrap/>
            <w:vAlign w:val="center"/>
            <w:hideMark/>
          </w:tcPr>
          <w:p w14:paraId="5BCA6613" w14:textId="5EBFBBB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3.58</w:t>
            </w:r>
          </w:p>
        </w:tc>
        <w:tc>
          <w:tcPr>
            <w:tcW w:w="794" w:type="dxa"/>
            <w:tcBorders>
              <w:top w:val="nil"/>
              <w:left w:val="nil"/>
              <w:bottom w:val="nil"/>
              <w:right w:val="single" w:sz="4" w:space="0" w:color="auto"/>
            </w:tcBorders>
            <w:shd w:val="clear" w:color="000000" w:fill="F2F2F2"/>
            <w:noWrap/>
            <w:vAlign w:val="center"/>
            <w:hideMark/>
          </w:tcPr>
          <w:p w14:paraId="7EBAD378" w14:textId="76B526D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2.09</w:t>
            </w:r>
          </w:p>
        </w:tc>
        <w:tc>
          <w:tcPr>
            <w:tcW w:w="794" w:type="dxa"/>
            <w:tcBorders>
              <w:top w:val="nil"/>
              <w:left w:val="nil"/>
              <w:bottom w:val="nil"/>
              <w:right w:val="nil"/>
            </w:tcBorders>
            <w:shd w:val="clear" w:color="auto" w:fill="auto"/>
            <w:noWrap/>
            <w:vAlign w:val="center"/>
            <w:hideMark/>
          </w:tcPr>
          <w:p w14:paraId="604FAA5D" w14:textId="692AB0B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4.20</w:t>
            </w:r>
          </w:p>
        </w:tc>
        <w:tc>
          <w:tcPr>
            <w:tcW w:w="794" w:type="dxa"/>
            <w:tcBorders>
              <w:top w:val="nil"/>
              <w:left w:val="nil"/>
              <w:bottom w:val="nil"/>
              <w:right w:val="single" w:sz="4" w:space="0" w:color="auto"/>
            </w:tcBorders>
            <w:shd w:val="clear" w:color="000000" w:fill="F2F2F2"/>
            <w:noWrap/>
            <w:vAlign w:val="center"/>
            <w:hideMark/>
          </w:tcPr>
          <w:p w14:paraId="6B4790B8" w14:textId="0A6DA6C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2.08</w:t>
            </w:r>
          </w:p>
        </w:tc>
        <w:tc>
          <w:tcPr>
            <w:tcW w:w="794" w:type="dxa"/>
            <w:tcBorders>
              <w:top w:val="nil"/>
              <w:left w:val="nil"/>
              <w:bottom w:val="nil"/>
              <w:right w:val="nil"/>
            </w:tcBorders>
            <w:shd w:val="clear" w:color="auto" w:fill="auto"/>
            <w:noWrap/>
            <w:vAlign w:val="center"/>
            <w:hideMark/>
          </w:tcPr>
          <w:p w14:paraId="3387C201" w14:textId="392D7D7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1.00</w:t>
            </w:r>
          </w:p>
        </w:tc>
        <w:tc>
          <w:tcPr>
            <w:tcW w:w="794" w:type="dxa"/>
            <w:tcBorders>
              <w:top w:val="nil"/>
              <w:left w:val="nil"/>
              <w:bottom w:val="nil"/>
              <w:right w:val="single" w:sz="4" w:space="0" w:color="auto"/>
            </w:tcBorders>
            <w:shd w:val="clear" w:color="000000" w:fill="F2F2F2"/>
            <w:noWrap/>
            <w:vAlign w:val="center"/>
            <w:hideMark/>
          </w:tcPr>
          <w:p w14:paraId="7A2A6E36" w14:textId="193B9CD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2.03</w:t>
            </w:r>
          </w:p>
        </w:tc>
        <w:tc>
          <w:tcPr>
            <w:tcW w:w="794" w:type="dxa"/>
            <w:tcBorders>
              <w:top w:val="nil"/>
              <w:left w:val="nil"/>
              <w:bottom w:val="nil"/>
              <w:right w:val="nil"/>
            </w:tcBorders>
            <w:shd w:val="clear" w:color="auto" w:fill="auto"/>
            <w:noWrap/>
            <w:vAlign w:val="center"/>
            <w:hideMark/>
          </w:tcPr>
          <w:p w14:paraId="48D30341" w14:textId="64B5F48E"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1.62</w:t>
            </w:r>
          </w:p>
        </w:tc>
        <w:tc>
          <w:tcPr>
            <w:tcW w:w="794" w:type="dxa"/>
            <w:tcBorders>
              <w:top w:val="nil"/>
              <w:left w:val="nil"/>
              <w:bottom w:val="nil"/>
              <w:right w:val="single" w:sz="4" w:space="0" w:color="auto"/>
            </w:tcBorders>
            <w:shd w:val="clear" w:color="000000" w:fill="F2F2F2"/>
            <w:noWrap/>
            <w:vAlign w:val="center"/>
            <w:hideMark/>
          </w:tcPr>
          <w:p w14:paraId="6230B558" w14:textId="7BD9D339"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u w:val="single"/>
              </w:rPr>
              <w:t>1.77</w:t>
            </w:r>
          </w:p>
        </w:tc>
        <w:tc>
          <w:tcPr>
            <w:tcW w:w="794" w:type="dxa"/>
            <w:tcBorders>
              <w:top w:val="nil"/>
              <w:left w:val="nil"/>
              <w:bottom w:val="nil"/>
              <w:right w:val="nil"/>
            </w:tcBorders>
            <w:shd w:val="clear" w:color="auto" w:fill="auto"/>
            <w:noWrap/>
            <w:vAlign w:val="center"/>
            <w:hideMark/>
          </w:tcPr>
          <w:p w14:paraId="01A9DDEB" w14:textId="1F2476A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2.89</w:t>
            </w:r>
          </w:p>
        </w:tc>
        <w:tc>
          <w:tcPr>
            <w:tcW w:w="794" w:type="dxa"/>
            <w:tcBorders>
              <w:top w:val="nil"/>
              <w:left w:val="nil"/>
              <w:bottom w:val="nil"/>
              <w:right w:val="single" w:sz="4" w:space="0" w:color="auto"/>
            </w:tcBorders>
            <w:shd w:val="clear" w:color="000000" w:fill="F2F2F2"/>
            <w:noWrap/>
            <w:vAlign w:val="center"/>
            <w:hideMark/>
          </w:tcPr>
          <w:p w14:paraId="6CB337E4" w14:textId="6932D82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1.91</w:t>
            </w:r>
          </w:p>
        </w:tc>
        <w:tc>
          <w:tcPr>
            <w:tcW w:w="794" w:type="dxa"/>
            <w:tcBorders>
              <w:top w:val="nil"/>
              <w:left w:val="nil"/>
              <w:bottom w:val="nil"/>
              <w:right w:val="nil"/>
            </w:tcBorders>
            <w:shd w:val="clear" w:color="auto" w:fill="auto"/>
            <w:noWrap/>
            <w:vAlign w:val="center"/>
            <w:hideMark/>
          </w:tcPr>
          <w:p w14:paraId="32741686" w14:textId="6A8BAA8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0.71</w:t>
            </w:r>
          </w:p>
        </w:tc>
        <w:tc>
          <w:tcPr>
            <w:tcW w:w="794" w:type="dxa"/>
            <w:tcBorders>
              <w:top w:val="nil"/>
              <w:left w:val="nil"/>
              <w:bottom w:val="nil"/>
              <w:right w:val="single" w:sz="4" w:space="0" w:color="auto"/>
            </w:tcBorders>
            <w:shd w:val="clear" w:color="000000" w:fill="F2F2F2"/>
            <w:noWrap/>
            <w:vAlign w:val="center"/>
            <w:hideMark/>
          </w:tcPr>
          <w:p w14:paraId="2A90D8E4" w14:textId="1C2FDC5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3.07</w:t>
            </w:r>
          </w:p>
        </w:tc>
        <w:tc>
          <w:tcPr>
            <w:tcW w:w="794" w:type="dxa"/>
            <w:tcBorders>
              <w:top w:val="nil"/>
              <w:left w:val="nil"/>
              <w:bottom w:val="nil"/>
              <w:right w:val="nil"/>
            </w:tcBorders>
            <w:shd w:val="clear" w:color="auto" w:fill="auto"/>
            <w:noWrap/>
            <w:vAlign w:val="center"/>
            <w:hideMark/>
          </w:tcPr>
          <w:p w14:paraId="11DD5DE0" w14:textId="6F21736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1.73</w:t>
            </w:r>
          </w:p>
        </w:tc>
        <w:tc>
          <w:tcPr>
            <w:tcW w:w="794" w:type="dxa"/>
            <w:tcBorders>
              <w:top w:val="nil"/>
              <w:left w:val="nil"/>
              <w:bottom w:val="nil"/>
              <w:right w:val="single" w:sz="4" w:space="0" w:color="auto"/>
            </w:tcBorders>
            <w:shd w:val="clear" w:color="000000" w:fill="F2F2F2"/>
            <w:noWrap/>
            <w:vAlign w:val="center"/>
            <w:hideMark/>
          </w:tcPr>
          <w:p w14:paraId="746712F1" w14:textId="659D19E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3.44</w:t>
            </w:r>
          </w:p>
        </w:tc>
        <w:tc>
          <w:tcPr>
            <w:tcW w:w="794" w:type="dxa"/>
            <w:tcBorders>
              <w:top w:val="nil"/>
              <w:left w:val="nil"/>
              <w:bottom w:val="nil"/>
              <w:right w:val="nil"/>
            </w:tcBorders>
            <w:shd w:val="clear" w:color="auto" w:fill="auto"/>
            <w:noWrap/>
            <w:vAlign w:val="center"/>
            <w:hideMark/>
          </w:tcPr>
          <w:p w14:paraId="314EAD13" w14:textId="6BB8870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2.08</w:t>
            </w:r>
          </w:p>
        </w:tc>
        <w:tc>
          <w:tcPr>
            <w:tcW w:w="794" w:type="dxa"/>
            <w:tcBorders>
              <w:top w:val="nil"/>
              <w:left w:val="nil"/>
              <w:bottom w:val="nil"/>
              <w:right w:val="single" w:sz="4" w:space="0" w:color="auto"/>
            </w:tcBorders>
            <w:shd w:val="clear" w:color="000000" w:fill="F2F2F2"/>
            <w:noWrap/>
            <w:vAlign w:val="center"/>
            <w:hideMark/>
          </w:tcPr>
          <w:p w14:paraId="32527FC1" w14:textId="7B84DC5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2.78</w:t>
            </w:r>
          </w:p>
        </w:tc>
        <w:tc>
          <w:tcPr>
            <w:tcW w:w="794" w:type="dxa"/>
            <w:tcBorders>
              <w:top w:val="nil"/>
              <w:left w:val="nil"/>
              <w:bottom w:val="nil"/>
              <w:right w:val="nil"/>
            </w:tcBorders>
            <w:shd w:val="clear" w:color="auto" w:fill="auto"/>
            <w:noWrap/>
            <w:vAlign w:val="center"/>
            <w:hideMark/>
          </w:tcPr>
          <w:p w14:paraId="21FBDE64" w14:textId="0D22EDC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1.23</w:t>
            </w:r>
          </w:p>
        </w:tc>
        <w:tc>
          <w:tcPr>
            <w:tcW w:w="794" w:type="dxa"/>
            <w:tcBorders>
              <w:top w:val="nil"/>
              <w:left w:val="nil"/>
              <w:bottom w:val="nil"/>
              <w:right w:val="single" w:sz="4" w:space="0" w:color="auto"/>
            </w:tcBorders>
            <w:shd w:val="clear" w:color="000000" w:fill="F2F2F2"/>
            <w:noWrap/>
            <w:vAlign w:val="center"/>
            <w:hideMark/>
          </w:tcPr>
          <w:p w14:paraId="568F5C8C" w14:textId="2CC144D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2.50</w:t>
            </w:r>
          </w:p>
        </w:tc>
      </w:tr>
      <w:tr w:rsidR="002F1955" w:rsidRPr="004B5F88" w14:paraId="77B5712A"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6E2B3BC6"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Instalment debt</w:t>
            </w:r>
          </w:p>
        </w:tc>
        <w:tc>
          <w:tcPr>
            <w:tcW w:w="794" w:type="dxa"/>
            <w:tcBorders>
              <w:top w:val="nil"/>
              <w:left w:val="nil"/>
              <w:bottom w:val="nil"/>
              <w:right w:val="nil"/>
            </w:tcBorders>
            <w:shd w:val="clear" w:color="auto" w:fill="auto"/>
            <w:noWrap/>
            <w:vAlign w:val="center"/>
            <w:hideMark/>
          </w:tcPr>
          <w:p w14:paraId="0BA10AE0" w14:textId="28FA4B0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-0.39</w:t>
            </w:r>
          </w:p>
        </w:tc>
        <w:tc>
          <w:tcPr>
            <w:tcW w:w="794" w:type="dxa"/>
            <w:tcBorders>
              <w:top w:val="nil"/>
              <w:left w:val="nil"/>
              <w:bottom w:val="nil"/>
              <w:right w:val="single" w:sz="4" w:space="0" w:color="auto"/>
            </w:tcBorders>
            <w:shd w:val="clear" w:color="000000" w:fill="F2F2F2"/>
            <w:noWrap/>
            <w:vAlign w:val="center"/>
            <w:hideMark/>
          </w:tcPr>
          <w:p w14:paraId="3C2AF53D" w14:textId="70DE455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-0.65</w:t>
            </w:r>
          </w:p>
        </w:tc>
        <w:tc>
          <w:tcPr>
            <w:tcW w:w="794" w:type="dxa"/>
            <w:tcBorders>
              <w:top w:val="nil"/>
              <w:left w:val="nil"/>
              <w:bottom w:val="nil"/>
              <w:right w:val="nil"/>
            </w:tcBorders>
            <w:shd w:val="clear" w:color="auto" w:fill="auto"/>
            <w:noWrap/>
            <w:vAlign w:val="center"/>
            <w:hideMark/>
          </w:tcPr>
          <w:p w14:paraId="570EF209" w14:textId="6717EF2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-0.12</w:t>
            </w:r>
          </w:p>
        </w:tc>
        <w:tc>
          <w:tcPr>
            <w:tcW w:w="794" w:type="dxa"/>
            <w:tcBorders>
              <w:top w:val="nil"/>
              <w:left w:val="nil"/>
              <w:bottom w:val="nil"/>
              <w:right w:val="single" w:sz="4" w:space="0" w:color="auto"/>
            </w:tcBorders>
            <w:shd w:val="clear" w:color="000000" w:fill="F2F2F2"/>
            <w:noWrap/>
            <w:vAlign w:val="center"/>
            <w:hideMark/>
          </w:tcPr>
          <w:p w14:paraId="73682B0B" w14:textId="31150A1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-0.66</w:t>
            </w:r>
          </w:p>
        </w:tc>
        <w:tc>
          <w:tcPr>
            <w:tcW w:w="794" w:type="dxa"/>
            <w:tcBorders>
              <w:top w:val="nil"/>
              <w:left w:val="nil"/>
              <w:bottom w:val="nil"/>
              <w:right w:val="nil"/>
            </w:tcBorders>
            <w:shd w:val="clear" w:color="auto" w:fill="auto"/>
            <w:noWrap/>
            <w:vAlign w:val="center"/>
            <w:hideMark/>
          </w:tcPr>
          <w:p w14:paraId="7E4834C9" w14:textId="3C4C65B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-0.10</w:t>
            </w:r>
          </w:p>
        </w:tc>
        <w:tc>
          <w:tcPr>
            <w:tcW w:w="794" w:type="dxa"/>
            <w:tcBorders>
              <w:top w:val="nil"/>
              <w:left w:val="nil"/>
              <w:bottom w:val="nil"/>
              <w:right w:val="single" w:sz="4" w:space="0" w:color="auto"/>
            </w:tcBorders>
            <w:shd w:val="clear" w:color="000000" w:fill="F2F2F2"/>
            <w:noWrap/>
            <w:vAlign w:val="center"/>
            <w:hideMark/>
          </w:tcPr>
          <w:p w14:paraId="331E0386" w14:textId="6A1E046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-0.37</w:t>
            </w:r>
          </w:p>
        </w:tc>
        <w:tc>
          <w:tcPr>
            <w:tcW w:w="794" w:type="dxa"/>
            <w:tcBorders>
              <w:top w:val="nil"/>
              <w:left w:val="nil"/>
              <w:bottom w:val="nil"/>
              <w:right w:val="nil"/>
            </w:tcBorders>
            <w:shd w:val="clear" w:color="auto" w:fill="auto"/>
            <w:noWrap/>
            <w:vAlign w:val="center"/>
            <w:hideMark/>
          </w:tcPr>
          <w:p w14:paraId="2179F2F0" w14:textId="153E204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-0.18</w:t>
            </w:r>
          </w:p>
        </w:tc>
        <w:tc>
          <w:tcPr>
            <w:tcW w:w="794" w:type="dxa"/>
            <w:tcBorders>
              <w:top w:val="nil"/>
              <w:left w:val="nil"/>
              <w:bottom w:val="nil"/>
              <w:right w:val="single" w:sz="4" w:space="0" w:color="auto"/>
            </w:tcBorders>
            <w:shd w:val="clear" w:color="000000" w:fill="F2F2F2"/>
            <w:noWrap/>
            <w:vAlign w:val="center"/>
            <w:hideMark/>
          </w:tcPr>
          <w:p w14:paraId="5E69B10F" w14:textId="6C68F4C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-0.41</w:t>
            </w:r>
          </w:p>
        </w:tc>
        <w:tc>
          <w:tcPr>
            <w:tcW w:w="794" w:type="dxa"/>
            <w:tcBorders>
              <w:top w:val="nil"/>
              <w:left w:val="nil"/>
              <w:bottom w:val="nil"/>
              <w:right w:val="nil"/>
            </w:tcBorders>
            <w:shd w:val="clear" w:color="auto" w:fill="auto"/>
            <w:noWrap/>
            <w:vAlign w:val="center"/>
            <w:hideMark/>
          </w:tcPr>
          <w:p w14:paraId="17BA7E6B" w14:textId="17CB50B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-0.08</w:t>
            </w:r>
          </w:p>
        </w:tc>
        <w:tc>
          <w:tcPr>
            <w:tcW w:w="794" w:type="dxa"/>
            <w:tcBorders>
              <w:top w:val="nil"/>
              <w:left w:val="nil"/>
              <w:bottom w:val="nil"/>
              <w:right w:val="single" w:sz="4" w:space="0" w:color="auto"/>
            </w:tcBorders>
            <w:shd w:val="clear" w:color="000000" w:fill="F2F2F2"/>
            <w:noWrap/>
            <w:vAlign w:val="center"/>
            <w:hideMark/>
          </w:tcPr>
          <w:p w14:paraId="68908CE9" w14:textId="15E314E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-0.45</w:t>
            </w:r>
          </w:p>
        </w:tc>
        <w:tc>
          <w:tcPr>
            <w:tcW w:w="794" w:type="dxa"/>
            <w:tcBorders>
              <w:top w:val="nil"/>
              <w:left w:val="nil"/>
              <w:bottom w:val="nil"/>
              <w:right w:val="nil"/>
            </w:tcBorders>
            <w:shd w:val="clear" w:color="auto" w:fill="auto"/>
            <w:noWrap/>
            <w:vAlign w:val="center"/>
            <w:hideMark/>
          </w:tcPr>
          <w:p w14:paraId="0C7AAFC6" w14:textId="22A5C2D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-0.12</w:t>
            </w:r>
          </w:p>
        </w:tc>
        <w:tc>
          <w:tcPr>
            <w:tcW w:w="794" w:type="dxa"/>
            <w:tcBorders>
              <w:top w:val="nil"/>
              <w:left w:val="nil"/>
              <w:bottom w:val="nil"/>
              <w:right w:val="single" w:sz="4" w:space="0" w:color="auto"/>
            </w:tcBorders>
            <w:shd w:val="clear" w:color="000000" w:fill="F2F2F2"/>
            <w:noWrap/>
            <w:vAlign w:val="center"/>
            <w:hideMark/>
          </w:tcPr>
          <w:p w14:paraId="59B5EC56" w14:textId="7AF1B18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-0.36</w:t>
            </w:r>
          </w:p>
        </w:tc>
        <w:tc>
          <w:tcPr>
            <w:tcW w:w="794" w:type="dxa"/>
            <w:tcBorders>
              <w:top w:val="nil"/>
              <w:left w:val="nil"/>
              <w:bottom w:val="nil"/>
              <w:right w:val="nil"/>
            </w:tcBorders>
            <w:shd w:val="clear" w:color="auto" w:fill="auto"/>
            <w:noWrap/>
            <w:vAlign w:val="center"/>
            <w:hideMark/>
          </w:tcPr>
          <w:p w14:paraId="33387BEE" w14:textId="0E24D9F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-0.27</w:t>
            </w:r>
          </w:p>
        </w:tc>
        <w:tc>
          <w:tcPr>
            <w:tcW w:w="794" w:type="dxa"/>
            <w:tcBorders>
              <w:top w:val="nil"/>
              <w:left w:val="nil"/>
              <w:bottom w:val="nil"/>
              <w:right w:val="single" w:sz="4" w:space="0" w:color="auto"/>
            </w:tcBorders>
            <w:shd w:val="clear" w:color="000000" w:fill="F2F2F2"/>
            <w:noWrap/>
            <w:vAlign w:val="center"/>
            <w:hideMark/>
          </w:tcPr>
          <w:p w14:paraId="18F72764" w14:textId="325B1AE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-0.46</w:t>
            </w:r>
          </w:p>
        </w:tc>
        <w:tc>
          <w:tcPr>
            <w:tcW w:w="794" w:type="dxa"/>
            <w:tcBorders>
              <w:top w:val="nil"/>
              <w:left w:val="nil"/>
              <w:bottom w:val="nil"/>
              <w:right w:val="nil"/>
            </w:tcBorders>
            <w:shd w:val="clear" w:color="auto" w:fill="auto"/>
            <w:noWrap/>
            <w:vAlign w:val="center"/>
            <w:hideMark/>
          </w:tcPr>
          <w:p w14:paraId="5CAED735" w14:textId="2904DED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-0.28</w:t>
            </w:r>
          </w:p>
        </w:tc>
        <w:tc>
          <w:tcPr>
            <w:tcW w:w="794" w:type="dxa"/>
            <w:tcBorders>
              <w:top w:val="nil"/>
              <w:left w:val="nil"/>
              <w:bottom w:val="nil"/>
              <w:right w:val="single" w:sz="4" w:space="0" w:color="auto"/>
            </w:tcBorders>
            <w:shd w:val="clear" w:color="000000" w:fill="F2F2F2"/>
            <w:noWrap/>
            <w:vAlign w:val="center"/>
            <w:hideMark/>
          </w:tcPr>
          <w:p w14:paraId="3A82E8B7" w14:textId="2A950F6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-0.51</w:t>
            </w:r>
          </w:p>
        </w:tc>
        <w:tc>
          <w:tcPr>
            <w:tcW w:w="794" w:type="dxa"/>
            <w:tcBorders>
              <w:top w:val="nil"/>
              <w:left w:val="nil"/>
              <w:bottom w:val="nil"/>
              <w:right w:val="nil"/>
            </w:tcBorders>
            <w:shd w:val="clear" w:color="auto" w:fill="auto"/>
            <w:noWrap/>
            <w:vAlign w:val="center"/>
            <w:hideMark/>
          </w:tcPr>
          <w:p w14:paraId="4B2693DD" w14:textId="2830F24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-0.26</w:t>
            </w:r>
          </w:p>
        </w:tc>
        <w:tc>
          <w:tcPr>
            <w:tcW w:w="794" w:type="dxa"/>
            <w:tcBorders>
              <w:top w:val="nil"/>
              <w:left w:val="nil"/>
              <w:bottom w:val="nil"/>
              <w:right w:val="single" w:sz="4" w:space="0" w:color="auto"/>
            </w:tcBorders>
            <w:shd w:val="clear" w:color="000000" w:fill="F2F2F2"/>
            <w:noWrap/>
            <w:vAlign w:val="center"/>
            <w:hideMark/>
          </w:tcPr>
          <w:p w14:paraId="220367E5" w14:textId="14636E4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-0.50</w:t>
            </w:r>
          </w:p>
        </w:tc>
      </w:tr>
      <w:tr w:rsidR="002F1955" w:rsidRPr="004B5F88" w14:paraId="17E2E35A"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06C34236"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Credit card balances</w:t>
            </w:r>
          </w:p>
        </w:tc>
        <w:tc>
          <w:tcPr>
            <w:tcW w:w="794" w:type="dxa"/>
            <w:tcBorders>
              <w:top w:val="nil"/>
              <w:left w:val="nil"/>
              <w:bottom w:val="nil"/>
              <w:right w:val="nil"/>
            </w:tcBorders>
            <w:shd w:val="clear" w:color="auto" w:fill="auto"/>
            <w:noWrap/>
            <w:vAlign w:val="center"/>
            <w:hideMark/>
          </w:tcPr>
          <w:p w14:paraId="0BCFBF1A" w14:textId="5B071D5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0.51</w:t>
            </w:r>
          </w:p>
        </w:tc>
        <w:tc>
          <w:tcPr>
            <w:tcW w:w="794" w:type="dxa"/>
            <w:tcBorders>
              <w:top w:val="nil"/>
              <w:left w:val="nil"/>
              <w:bottom w:val="nil"/>
              <w:right w:val="single" w:sz="4" w:space="0" w:color="auto"/>
            </w:tcBorders>
            <w:shd w:val="clear" w:color="000000" w:fill="F2F2F2"/>
            <w:noWrap/>
            <w:vAlign w:val="center"/>
            <w:hideMark/>
          </w:tcPr>
          <w:p w14:paraId="3BE305BD" w14:textId="5922241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-0.24</w:t>
            </w:r>
          </w:p>
        </w:tc>
        <w:tc>
          <w:tcPr>
            <w:tcW w:w="794" w:type="dxa"/>
            <w:tcBorders>
              <w:top w:val="nil"/>
              <w:left w:val="nil"/>
              <w:bottom w:val="nil"/>
              <w:right w:val="nil"/>
            </w:tcBorders>
            <w:shd w:val="clear" w:color="auto" w:fill="auto"/>
            <w:noWrap/>
            <w:vAlign w:val="center"/>
            <w:hideMark/>
          </w:tcPr>
          <w:p w14:paraId="0F5FED78" w14:textId="7B284F53"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-0.04</w:t>
            </w:r>
          </w:p>
        </w:tc>
        <w:tc>
          <w:tcPr>
            <w:tcW w:w="794" w:type="dxa"/>
            <w:tcBorders>
              <w:top w:val="nil"/>
              <w:left w:val="nil"/>
              <w:bottom w:val="nil"/>
              <w:right w:val="single" w:sz="4" w:space="0" w:color="auto"/>
            </w:tcBorders>
            <w:shd w:val="clear" w:color="000000" w:fill="F2F2F2"/>
            <w:noWrap/>
            <w:vAlign w:val="center"/>
            <w:hideMark/>
          </w:tcPr>
          <w:p w14:paraId="6E25C4D8" w14:textId="1D170CA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-0.66</w:t>
            </w:r>
          </w:p>
        </w:tc>
        <w:tc>
          <w:tcPr>
            <w:tcW w:w="794" w:type="dxa"/>
            <w:tcBorders>
              <w:top w:val="nil"/>
              <w:left w:val="nil"/>
              <w:bottom w:val="nil"/>
              <w:right w:val="nil"/>
            </w:tcBorders>
            <w:shd w:val="clear" w:color="auto" w:fill="auto"/>
            <w:noWrap/>
            <w:vAlign w:val="center"/>
            <w:hideMark/>
          </w:tcPr>
          <w:p w14:paraId="39FD91C6" w14:textId="68B4DAC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0.23</w:t>
            </w:r>
          </w:p>
        </w:tc>
        <w:tc>
          <w:tcPr>
            <w:tcW w:w="794" w:type="dxa"/>
            <w:tcBorders>
              <w:top w:val="nil"/>
              <w:left w:val="nil"/>
              <w:bottom w:val="nil"/>
              <w:right w:val="single" w:sz="4" w:space="0" w:color="auto"/>
            </w:tcBorders>
            <w:shd w:val="clear" w:color="000000" w:fill="F2F2F2"/>
            <w:noWrap/>
            <w:vAlign w:val="center"/>
            <w:hideMark/>
          </w:tcPr>
          <w:p w14:paraId="4FCE23C8" w14:textId="1E8FF96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-0.56</w:t>
            </w:r>
          </w:p>
        </w:tc>
        <w:tc>
          <w:tcPr>
            <w:tcW w:w="794" w:type="dxa"/>
            <w:tcBorders>
              <w:top w:val="nil"/>
              <w:left w:val="nil"/>
              <w:bottom w:val="nil"/>
              <w:right w:val="nil"/>
            </w:tcBorders>
            <w:shd w:val="clear" w:color="auto" w:fill="auto"/>
            <w:noWrap/>
            <w:vAlign w:val="center"/>
            <w:hideMark/>
          </w:tcPr>
          <w:p w14:paraId="323F9B1B" w14:textId="1CBE366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0.09</w:t>
            </w:r>
          </w:p>
        </w:tc>
        <w:tc>
          <w:tcPr>
            <w:tcW w:w="794" w:type="dxa"/>
            <w:tcBorders>
              <w:top w:val="nil"/>
              <w:left w:val="nil"/>
              <w:bottom w:val="nil"/>
              <w:right w:val="single" w:sz="4" w:space="0" w:color="auto"/>
            </w:tcBorders>
            <w:shd w:val="clear" w:color="000000" w:fill="F2F2F2"/>
            <w:noWrap/>
            <w:vAlign w:val="center"/>
            <w:hideMark/>
          </w:tcPr>
          <w:p w14:paraId="4D2E206B" w14:textId="1582F55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-0.64</w:t>
            </w:r>
          </w:p>
        </w:tc>
        <w:tc>
          <w:tcPr>
            <w:tcW w:w="794" w:type="dxa"/>
            <w:tcBorders>
              <w:top w:val="nil"/>
              <w:left w:val="nil"/>
              <w:bottom w:val="nil"/>
              <w:right w:val="nil"/>
            </w:tcBorders>
            <w:shd w:val="clear" w:color="auto" w:fill="auto"/>
            <w:noWrap/>
            <w:vAlign w:val="center"/>
            <w:hideMark/>
          </w:tcPr>
          <w:p w14:paraId="7D9E78E4" w14:textId="404B6DD4"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rPr>
              <w:t>-0.11</w:t>
            </w:r>
          </w:p>
        </w:tc>
        <w:tc>
          <w:tcPr>
            <w:tcW w:w="794" w:type="dxa"/>
            <w:tcBorders>
              <w:top w:val="nil"/>
              <w:left w:val="nil"/>
              <w:bottom w:val="nil"/>
              <w:right w:val="single" w:sz="4" w:space="0" w:color="auto"/>
            </w:tcBorders>
            <w:shd w:val="clear" w:color="000000" w:fill="F2F2F2"/>
            <w:noWrap/>
            <w:vAlign w:val="center"/>
            <w:hideMark/>
          </w:tcPr>
          <w:p w14:paraId="4390C2BB" w14:textId="197707F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-0.94</w:t>
            </w:r>
          </w:p>
        </w:tc>
        <w:tc>
          <w:tcPr>
            <w:tcW w:w="794" w:type="dxa"/>
            <w:tcBorders>
              <w:top w:val="nil"/>
              <w:left w:val="nil"/>
              <w:bottom w:val="nil"/>
              <w:right w:val="nil"/>
            </w:tcBorders>
            <w:shd w:val="clear" w:color="auto" w:fill="auto"/>
            <w:noWrap/>
            <w:vAlign w:val="center"/>
            <w:hideMark/>
          </w:tcPr>
          <w:p w14:paraId="238B5C2C" w14:textId="1A5D4DC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-0.05</w:t>
            </w:r>
          </w:p>
        </w:tc>
        <w:tc>
          <w:tcPr>
            <w:tcW w:w="794" w:type="dxa"/>
            <w:tcBorders>
              <w:top w:val="nil"/>
              <w:left w:val="nil"/>
              <w:bottom w:val="nil"/>
              <w:right w:val="single" w:sz="4" w:space="0" w:color="auto"/>
            </w:tcBorders>
            <w:shd w:val="clear" w:color="000000" w:fill="F2F2F2"/>
            <w:noWrap/>
            <w:vAlign w:val="center"/>
            <w:hideMark/>
          </w:tcPr>
          <w:p w14:paraId="345BCE77" w14:textId="33D072A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-0.71</w:t>
            </w:r>
          </w:p>
        </w:tc>
        <w:tc>
          <w:tcPr>
            <w:tcW w:w="794" w:type="dxa"/>
            <w:tcBorders>
              <w:top w:val="nil"/>
              <w:left w:val="nil"/>
              <w:bottom w:val="nil"/>
              <w:right w:val="nil"/>
            </w:tcBorders>
            <w:shd w:val="clear" w:color="auto" w:fill="auto"/>
            <w:noWrap/>
            <w:vAlign w:val="center"/>
            <w:hideMark/>
          </w:tcPr>
          <w:p w14:paraId="410C73D6" w14:textId="410E8625"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0.00</w:t>
            </w:r>
          </w:p>
        </w:tc>
        <w:tc>
          <w:tcPr>
            <w:tcW w:w="794" w:type="dxa"/>
            <w:tcBorders>
              <w:top w:val="nil"/>
              <w:left w:val="nil"/>
              <w:bottom w:val="nil"/>
              <w:right w:val="single" w:sz="4" w:space="0" w:color="auto"/>
            </w:tcBorders>
            <w:shd w:val="clear" w:color="000000" w:fill="F2F2F2"/>
            <w:noWrap/>
            <w:vAlign w:val="center"/>
            <w:hideMark/>
          </w:tcPr>
          <w:p w14:paraId="15C4B2F5" w14:textId="72F7046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-0.44</w:t>
            </w:r>
          </w:p>
        </w:tc>
        <w:tc>
          <w:tcPr>
            <w:tcW w:w="794" w:type="dxa"/>
            <w:tcBorders>
              <w:top w:val="nil"/>
              <w:left w:val="nil"/>
              <w:bottom w:val="nil"/>
              <w:right w:val="nil"/>
            </w:tcBorders>
            <w:shd w:val="clear" w:color="auto" w:fill="auto"/>
            <w:noWrap/>
            <w:vAlign w:val="center"/>
            <w:hideMark/>
          </w:tcPr>
          <w:p w14:paraId="36122F28" w14:textId="243319A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0.27</w:t>
            </w:r>
          </w:p>
        </w:tc>
        <w:tc>
          <w:tcPr>
            <w:tcW w:w="794" w:type="dxa"/>
            <w:tcBorders>
              <w:top w:val="nil"/>
              <w:left w:val="nil"/>
              <w:bottom w:val="nil"/>
              <w:right w:val="single" w:sz="4" w:space="0" w:color="auto"/>
            </w:tcBorders>
            <w:shd w:val="clear" w:color="000000" w:fill="F2F2F2"/>
            <w:noWrap/>
            <w:vAlign w:val="center"/>
            <w:hideMark/>
          </w:tcPr>
          <w:p w14:paraId="72A7D650" w14:textId="5D7AF5A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-0.36</w:t>
            </w:r>
          </w:p>
        </w:tc>
        <w:tc>
          <w:tcPr>
            <w:tcW w:w="794" w:type="dxa"/>
            <w:tcBorders>
              <w:top w:val="nil"/>
              <w:left w:val="nil"/>
              <w:bottom w:val="nil"/>
              <w:right w:val="nil"/>
            </w:tcBorders>
            <w:shd w:val="clear" w:color="auto" w:fill="auto"/>
            <w:noWrap/>
            <w:vAlign w:val="center"/>
            <w:hideMark/>
          </w:tcPr>
          <w:p w14:paraId="2BD5B187" w14:textId="2ECAB69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0.28</w:t>
            </w:r>
          </w:p>
        </w:tc>
        <w:tc>
          <w:tcPr>
            <w:tcW w:w="794" w:type="dxa"/>
            <w:tcBorders>
              <w:top w:val="nil"/>
              <w:left w:val="nil"/>
              <w:bottom w:val="nil"/>
              <w:right w:val="single" w:sz="4" w:space="0" w:color="auto"/>
            </w:tcBorders>
            <w:shd w:val="clear" w:color="000000" w:fill="F2F2F2"/>
            <w:noWrap/>
            <w:vAlign w:val="center"/>
            <w:hideMark/>
          </w:tcPr>
          <w:p w14:paraId="40084243" w14:textId="7F42A94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-0.57</w:t>
            </w:r>
          </w:p>
        </w:tc>
      </w:tr>
      <w:tr w:rsidR="002F1955" w:rsidRPr="004B5F88" w14:paraId="24851055" w14:textId="77777777" w:rsidTr="002F1955">
        <w:trPr>
          <w:trHeight w:val="227"/>
        </w:trPr>
        <w:tc>
          <w:tcPr>
            <w:tcW w:w="1701" w:type="dxa"/>
            <w:tcBorders>
              <w:top w:val="nil"/>
              <w:left w:val="single" w:sz="4" w:space="0" w:color="auto"/>
              <w:right w:val="single" w:sz="4" w:space="0" w:color="auto"/>
            </w:tcBorders>
            <w:shd w:val="clear" w:color="auto" w:fill="auto"/>
            <w:noWrap/>
            <w:vAlign w:val="bottom"/>
            <w:hideMark/>
          </w:tcPr>
          <w:p w14:paraId="7638B375"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Other types of debt</w:t>
            </w:r>
          </w:p>
        </w:tc>
        <w:tc>
          <w:tcPr>
            <w:tcW w:w="794" w:type="dxa"/>
            <w:tcBorders>
              <w:top w:val="nil"/>
              <w:left w:val="nil"/>
              <w:right w:val="nil"/>
            </w:tcBorders>
            <w:shd w:val="clear" w:color="auto" w:fill="auto"/>
            <w:noWrap/>
            <w:vAlign w:val="center"/>
            <w:hideMark/>
          </w:tcPr>
          <w:p w14:paraId="78497F72" w14:textId="2E928AE6"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0.38</w:t>
            </w:r>
          </w:p>
        </w:tc>
        <w:tc>
          <w:tcPr>
            <w:tcW w:w="794" w:type="dxa"/>
            <w:tcBorders>
              <w:top w:val="nil"/>
              <w:left w:val="nil"/>
              <w:right w:val="single" w:sz="4" w:space="0" w:color="auto"/>
            </w:tcBorders>
            <w:shd w:val="clear" w:color="000000" w:fill="F2F2F2"/>
            <w:noWrap/>
            <w:vAlign w:val="center"/>
            <w:hideMark/>
          </w:tcPr>
          <w:p w14:paraId="36AB20A4" w14:textId="36B8ED15" w:rsidR="002F1955" w:rsidRPr="002F1955" w:rsidRDefault="002F1955" w:rsidP="002F1955">
            <w:pPr>
              <w:spacing w:after="0" w:line="240" w:lineRule="auto"/>
              <w:ind w:firstLine="0"/>
              <w:jc w:val="center"/>
              <w:rPr>
                <w:rFonts w:eastAsia="Calibri" w:cs="Times New Roman"/>
                <w:color w:val="000000"/>
                <w:sz w:val="20"/>
                <w:szCs w:val="20"/>
                <w:u w:val="single"/>
              </w:rPr>
            </w:pPr>
            <w:r w:rsidRPr="002F1955">
              <w:rPr>
                <w:color w:val="000000"/>
                <w:sz w:val="20"/>
                <w:szCs w:val="20"/>
              </w:rPr>
              <w:t>0.61</w:t>
            </w:r>
          </w:p>
        </w:tc>
        <w:tc>
          <w:tcPr>
            <w:tcW w:w="794" w:type="dxa"/>
            <w:tcBorders>
              <w:top w:val="nil"/>
              <w:left w:val="nil"/>
              <w:right w:val="nil"/>
            </w:tcBorders>
            <w:shd w:val="clear" w:color="auto" w:fill="auto"/>
            <w:noWrap/>
            <w:vAlign w:val="center"/>
            <w:hideMark/>
          </w:tcPr>
          <w:p w14:paraId="5E100087" w14:textId="1F4178C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1.08</w:t>
            </w:r>
          </w:p>
        </w:tc>
        <w:tc>
          <w:tcPr>
            <w:tcW w:w="794" w:type="dxa"/>
            <w:tcBorders>
              <w:top w:val="nil"/>
              <w:left w:val="nil"/>
              <w:right w:val="single" w:sz="4" w:space="0" w:color="auto"/>
            </w:tcBorders>
            <w:shd w:val="clear" w:color="000000" w:fill="F2F2F2"/>
            <w:noWrap/>
            <w:vAlign w:val="center"/>
            <w:hideMark/>
          </w:tcPr>
          <w:p w14:paraId="26F129CA" w14:textId="4F4F073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0.45</w:t>
            </w:r>
          </w:p>
        </w:tc>
        <w:tc>
          <w:tcPr>
            <w:tcW w:w="794" w:type="dxa"/>
            <w:tcBorders>
              <w:top w:val="nil"/>
              <w:left w:val="nil"/>
              <w:right w:val="nil"/>
            </w:tcBorders>
            <w:shd w:val="clear" w:color="auto" w:fill="auto"/>
            <w:noWrap/>
            <w:vAlign w:val="center"/>
            <w:hideMark/>
          </w:tcPr>
          <w:p w14:paraId="0CDCEFB2" w14:textId="4EF1956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-0.24</w:t>
            </w:r>
          </w:p>
        </w:tc>
        <w:tc>
          <w:tcPr>
            <w:tcW w:w="794" w:type="dxa"/>
            <w:tcBorders>
              <w:top w:val="nil"/>
              <w:left w:val="nil"/>
              <w:right w:val="single" w:sz="4" w:space="0" w:color="auto"/>
            </w:tcBorders>
            <w:shd w:val="clear" w:color="000000" w:fill="F2F2F2"/>
            <w:noWrap/>
            <w:vAlign w:val="center"/>
            <w:hideMark/>
          </w:tcPr>
          <w:p w14:paraId="12E433D1" w14:textId="4F827AC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0.28</w:t>
            </w:r>
          </w:p>
        </w:tc>
        <w:tc>
          <w:tcPr>
            <w:tcW w:w="794" w:type="dxa"/>
            <w:tcBorders>
              <w:top w:val="nil"/>
              <w:left w:val="nil"/>
              <w:right w:val="nil"/>
            </w:tcBorders>
            <w:shd w:val="clear" w:color="auto" w:fill="auto"/>
            <w:noWrap/>
            <w:vAlign w:val="center"/>
            <w:hideMark/>
          </w:tcPr>
          <w:p w14:paraId="57A49C96" w14:textId="07FF986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-0.15</w:t>
            </w:r>
          </w:p>
        </w:tc>
        <w:tc>
          <w:tcPr>
            <w:tcW w:w="794" w:type="dxa"/>
            <w:tcBorders>
              <w:top w:val="nil"/>
              <w:left w:val="nil"/>
              <w:right w:val="single" w:sz="4" w:space="0" w:color="auto"/>
            </w:tcBorders>
            <w:shd w:val="clear" w:color="000000" w:fill="F2F2F2"/>
            <w:noWrap/>
            <w:vAlign w:val="center"/>
            <w:hideMark/>
          </w:tcPr>
          <w:p w14:paraId="61180127" w14:textId="0EFEDA4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1.04</w:t>
            </w:r>
          </w:p>
        </w:tc>
        <w:tc>
          <w:tcPr>
            <w:tcW w:w="794" w:type="dxa"/>
            <w:tcBorders>
              <w:top w:val="nil"/>
              <w:left w:val="nil"/>
              <w:right w:val="nil"/>
            </w:tcBorders>
            <w:shd w:val="clear" w:color="auto" w:fill="auto"/>
            <w:noWrap/>
            <w:vAlign w:val="center"/>
            <w:hideMark/>
          </w:tcPr>
          <w:p w14:paraId="70F12D20" w14:textId="6C2DAA09"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u w:val="single"/>
              </w:rPr>
              <w:t>-0.09</w:t>
            </w:r>
          </w:p>
        </w:tc>
        <w:tc>
          <w:tcPr>
            <w:tcW w:w="794" w:type="dxa"/>
            <w:tcBorders>
              <w:top w:val="nil"/>
              <w:left w:val="nil"/>
              <w:right w:val="single" w:sz="4" w:space="0" w:color="auto"/>
            </w:tcBorders>
            <w:shd w:val="clear" w:color="000000" w:fill="F2F2F2"/>
            <w:noWrap/>
            <w:vAlign w:val="center"/>
            <w:hideMark/>
          </w:tcPr>
          <w:p w14:paraId="6F5D1D68" w14:textId="096CAAC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-0.22</w:t>
            </w:r>
          </w:p>
        </w:tc>
        <w:tc>
          <w:tcPr>
            <w:tcW w:w="794" w:type="dxa"/>
            <w:tcBorders>
              <w:top w:val="nil"/>
              <w:left w:val="nil"/>
              <w:right w:val="nil"/>
            </w:tcBorders>
            <w:shd w:val="clear" w:color="auto" w:fill="auto"/>
            <w:noWrap/>
            <w:vAlign w:val="center"/>
            <w:hideMark/>
          </w:tcPr>
          <w:p w14:paraId="623E177D" w14:textId="5EA197F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0.24</w:t>
            </w:r>
          </w:p>
        </w:tc>
        <w:tc>
          <w:tcPr>
            <w:tcW w:w="794" w:type="dxa"/>
            <w:tcBorders>
              <w:top w:val="nil"/>
              <w:left w:val="nil"/>
              <w:right w:val="single" w:sz="4" w:space="0" w:color="auto"/>
            </w:tcBorders>
            <w:shd w:val="clear" w:color="000000" w:fill="F2F2F2"/>
            <w:noWrap/>
            <w:vAlign w:val="center"/>
            <w:hideMark/>
          </w:tcPr>
          <w:p w14:paraId="0318083B" w14:textId="53F9126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0.82</w:t>
            </w:r>
          </w:p>
        </w:tc>
        <w:tc>
          <w:tcPr>
            <w:tcW w:w="794" w:type="dxa"/>
            <w:tcBorders>
              <w:top w:val="nil"/>
              <w:left w:val="nil"/>
              <w:right w:val="nil"/>
            </w:tcBorders>
            <w:shd w:val="clear" w:color="auto" w:fill="auto"/>
            <w:noWrap/>
            <w:vAlign w:val="center"/>
            <w:hideMark/>
          </w:tcPr>
          <w:p w14:paraId="4C006F8A" w14:textId="5D7DFF3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0.26</w:t>
            </w:r>
          </w:p>
        </w:tc>
        <w:tc>
          <w:tcPr>
            <w:tcW w:w="794" w:type="dxa"/>
            <w:tcBorders>
              <w:top w:val="nil"/>
              <w:left w:val="nil"/>
              <w:right w:val="single" w:sz="4" w:space="0" w:color="auto"/>
            </w:tcBorders>
            <w:shd w:val="clear" w:color="000000" w:fill="F2F2F2"/>
            <w:noWrap/>
            <w:vAlign w:val="center"/>
            <w:hideMark/>
          </w:tcPr>
          <w:p w14:paraId="47C3CC23" w14:textId="23CB3162"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-0.05</w:t>
            </w:r>
          </w:p>
        </w:tc>
        <w:tc>
          <w:tcPr>
            <w:tcW w:w="794" w:type="dxa"/>
            <w:tcBorders>
              <w:top w:val="nil"/>
              <w:left w:val="nil"/>
              <w:right w:val="nil"/>
            </w:tcBorders>
            <w:shd w:val="clear" w:color="auto" w:fill="auto"/>
            <w:noWrap/>
            <w:vAlign w:val="center"/>
            <w:hideMark/>
          </w:tcPr>
          <w:p w14:paraId="3D7B44BD" w14:textId="34C3DA66"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i/>
                <w:iCs/>
                <w:color w:val="000000"/>
                <w:sz w:val="20"/>
                <w:szCs w:val="20"/>
              </w:rPr>
              <w:t>0.07</w:t>
            </w:r>
          </w:p>
        </w:tc>
        <w:tc>
          <w:tcPr>
            <w:tcW w:w="794" w:type="dxa"/>
            <w:tcBorders>
              <w:top w:val="nil"/>
              <w:left w:val="nil"/>
              <w:right w:val="single" w:sz="4" w:space="0" w:color="auto"/>
            </w:tcBorders>
            <w:shd w:val="clear" w:color="000000" w:fill="F2F2F2"/>
            <w:noWrap/>
            <w:vAlign w:val="center"/>
            <w:hideMark/>
          </w:tcPr>
          <w:p w14:paraId="3D08E153" w14:textId="4D09286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0.54</w:t>
            </w:r>
          </w:p>
        </w:tc>
        <w:tc>
          <w:tcPr>
            <w:tcW w:w="794" w:type="dxa"/>
            <w:tcBorders>
              <w:top w:val="nil"/>
              <w:left w:val="nil"/>
              <w:right w:val="nil"/>
            </w:tcBorders>
            <w:shd w:val="clear" w:color="auto" w:fill="auto"/>
            <w:noWrap/>
            <w:vAlign w:val="center"/>
            <w:hideMark/>
          </w:tcPr>
          <w:p w14:paraId="18B8FEC1" w14:textId="50C309A4" w:rsidR="002F1955" w:rsidRPr="002F1955" w:rsidRDefault="002F1955" w:rsidP="002F1955">
            <w:pPr>
              <w:spacing w:after="0" w:line="240" w:lineRule="auto"/>
              <w:ind w:firstLine="0"/>
              <w:jc w:val="center"/>
              <w:rPr>
                <w:rFonts w:eastAsia="Calibri" w:cs="Times New Roman"/>
                <w:color w:val="000000"/>
                <w:sz w:val="20"/>
                <w:szCs w:val="20"/>
              </w:rPr>
            </w:pPr>
            <w:r w:rsidRPr="002F1955">
              <w:rPr>
                <w:i/>
                <w:iCs/>
                <w:color w:val="000000"/>
                <w:sz w:val="20"/>
                <w:szCs w:val="20"/>
              </w:rPr>
              <w:t>0.07</w:t>
            </w:r>
          </w:p>
        </w:tc>
        <w:tc>
          <w:tcPr>
            <w:tcW w:w="794" w:type="dxa"/>
            <w:tcBorders>
              <w:top w:val="nil"/>
              <w:left w:val="nil"/>
              <w:right w:val="single" w:sz="4" w:space="0" w:color="auto"/>
            </w:tcBorders>
            <w:shd w:val="clear" w:color="000000" w:fill="F2F2F2"/>
            <w:noWrap/>
            <w:vAlign w:val="center"/>
            <w:hideMark/>
          </w:tcPr>
          <w:p w14:paraId="0C11DE2D" w14:textId="2223962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1.29</w:t>
            </w:r>
          </w:p>
        </w:tc>
      </w:tr>
      <w:tr w:rsidR="002F1955" w:rsidRPr="004B5F88" w14:paraId="0EB67A76"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FD05842" w14:textId="77777777" w:rsidR="002F1955" w:rsidRPr="004B5F88"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16D6AB7A" w14:textId="15E3B41E"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1,646</w:t>
            </w:r>
          </w:p>
        </w:tc>
        <w:tc>
          <w:tcPr>
            <w:tcW w:w="794" w:type="dxa"/>
            <w:tcBorders>
              <w:top w:val="nil"/>
              <w:left w:val="nil"/>
              <w:bottom w:val="single" w:sz="4" w:space="0" w:color="auto"/>
              <w:right w:val="single" w:sz="4" w:space="0" w:color="auto"/>
            </w:tcBorders>
            <w:shd w:val="clear" w:color="000000" w:fill="F2F2F2"/>
            <w:noWrap/>
            <w:vAlign w:val="center"/>
            <w:hideMark/>
          </w:tcPr>
          <w:p w14:paraId="447D3672" w14:textId="161F2AC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9,832</w:t>
            </w:r>
          </w:p>
        </w:tc>
        <w:tc>
          <w:tcPr>
            <w:tcW w:w="794" w:type="dxa"/>
            <w:tcBorders>
              <w:top w:val="nil"/>
              <w:left w:val="nil"/>
              <w:bottom w:val="single" w:sz="4" w:space="0" w:color="auto"/>
              <w:right w:val="nil"/>
            </w:tcBorders>
            <w:shd w:val="clear" w:color="auto" w:fill="auto"/>
            <w:noWrap/>
            <w:vAlign w:val="center"/>
            <w:hideMark/>
          </w:tcPr>
          <w:p w14:paraId="129E8610" w14:textId="1432F7A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2,039</w:t>
            </w:r>
          </w:p>
        </w:tc>
        <w:tc>
          <w:tcPr>
            <w:tcW w:w="794" w:type="dxa"/>
            <w:tcBorders>
              <w:top w:val="nil"/>
              <w:left w:val="nil"/>
              <w:bottom w:val="single" w:sz="4" w:space="0" w:color="auto"/>
              <w:right w:val="single" w:sz="4" w:space="0" w:color="auto"/>
            </w:tcBorders>
            <w:shd w:val="clear" w:color="000000" w:fill="F2F2F2"/>
            <w:noWrap/>
            <w:vAlign w:val="center"/>
            <w:hideMark/>
          </w:tcPr>
          <w:p w14:paraId="6689D4B3" w14:textId="4BFA5A4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12,146</w:t>
            </w:r>
          </w:p>
        </w:tc>
        <w:tc>
          <w:tcPr>
            <w:tcW w:w="794" w:type="dxa"/>
            <w:tcBorders>
              <w:top w:val="nil"/>
              <w:left w:val="nil"/>
              <w:bottom w:val="single" w:sz="4" w:space="0" w:color="auto"/>
              <w:right w:val="nil"/>
            </w:tcBorders>
            <w:shd w:val="clear" w:color="auto" w:fill="auto"/>
            <w:noWrap/>
            <w:vAlign w:val="center"/>
            <w:hideMark/>
          </w:tcPr>
          <w:p w14:paraId="50B1BC68" w14:textId="00A5C1A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2,065</w:t>
            </w:r>
          </w:p>
        </w:tc>
        <w:tc>
          <w:tcPr>
            <w:tcW w:w="794" w:type="dxa"/>
            <w:tcBorders>
              <w:top w:val="nil"/>
              <w:left w:val="nil"/>
              <w:bottom w:val="single" w:sz="4" w:space="0" w:color="auto"/>
              <w:right w:val="single" w:sz="4" w:space="0" w:color="auto"/>
            </w:tcBorders>
            <w:shd w:val="clear" w:color="000000" w:fill="F2F2F2"/>
            <w:noWrap/>
            <w:vAlign w:val="center"/>
            <w:hideMark/>
          </w:tcPr>
          <w:p w14:paraId="4D95B267" w14:textId="11C2AA8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13,726</w:t>
            </w:r>
          </w:p>
        </w:tc>
        <w:tc>
          <w:tcPr>
            <w:tcW w:w="794" w:type="dxa"/>
            <w:tcBorders>
              <w:top w:val="nil"/>
              <w:left w:val="nil"/>
              <w:bottom w:val="single" w:sz="4" w:space="0" w:color="auto"/>
              <w:right w:val="nil"/>
            </w:tcBorders>
            <w:shd w:val="clear" w:color="auto" w:fill="auto"/>
            <w:noWrap/>
            <w:vAlign w:val="center"/>
            <w:hideMark/>
          </w:tcPr>
          <w:p w14:paraId="02EA0458" w14:textId="4546907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2,283</w:t>
            </w:r>
          </w:p>
        </w:tc>
        <w:tc>
          <w:tcPr>
            <w:tcW w:w="794" w:type="dxa"/>
            <w:tcBorders>
              <w:top w:val="nil"/>
              <w:left w:val="nil"/>
              <w:bottom w:val="single" w:sz="4" w:space="0" w:color="auto"/>
              <w:right w:val="single" w:sz="4" w:space="0" w:color="auto"/>
            </w:tcBorders>
            <w:shd w:val="clear" w:color="000000" w:fill="F2F2F2"/>
            <w:noWrap/>
            <w:vAlign w:val="center"/>
            <w:hideMark/>
          </w:tcPr>
          <w:p w14:paraId="66B55F29" w14:textId="20A175F0"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13,472</w:t>
            </w:r>
          </w:p>
        </w:tc>
        <w:tc>
          <w:tcPr>
            <w:tcW w:w="794" w:type="dxa"/>
            <w:tcBorders>
              <w:top w:val="nil"/>
              <w:left w:val="nil"/>
              <w:bottom w:val="single" w:sz="4" w:space="0" w:color="auto"/>
              <w:right w:val="nil"/>
            </w:tcBorders>
            <w:shd w:val="clear" w:color="auto" w:fill="auto"/>
            <w:noWrap/>
            <w:vAlign w:val="center"/>
            <w:hideMark/>
          </w:tcPr>
          <w:p w14:paraId="571094C4" w14:textId="56ADF6F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2,664</w:t>
            </w:r>
          </w:p>
        </w:tc>
        <w:tc>
          <w:tcPr>
            <w:tcW w:w="794" w:type="dxa"/>
            <w:tcBorders>
              <w:top w:val="nil"/>
              <w:left w:val="nil"/>
              <w:bottom w:val="single" w:sz="4" w:space="0" w:color="auto"/>
              <w:right w:val="single" w:sz="4" w:space="0" w:color="auto"/>
            </w:tcBorders>
            <w:shd w:val="clear" w:color="000000" w:fill="F2F2F2"/>
            <w:noWrap/>
            <w:vAlign w:val="center"/>
            <w:hideMark/>
          </w:tcPr>
          <w:p w14:paraId="32281120" w14:textId="601B969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13,542</w:t>
            </w:r>
          </w:p>
        </w:tc>
        <w:tc>
          <w:tcPr>
            <w:tcW w:w="794" w:type="dxa"/>
            <w:tcBorders>
              <w:top w:val="nil"/>
              <w:left w:val="nil"/>
              <w:bottom w:val="single" w:sz="4" w:space="0" w:color="auto"/>
              <w:right w:val="nil"/>
            </w:tcBorders>
            <w:shd w:val="clear" w:color="auto" w:fill="auto"/>
            <w:noWrap/>
            <w:vAlign w:val="center"/>
            <w:hideMark/>
          </w:tcPr>
          <w:p w14:paraId="4625BE02" w14:textId="2720FDE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2,945</w:t>
            </w:r>
          </w:p>
        </w:tc>
        <w:tc>
          <w:tcPr>
            <w:tcW w:w="794" w:type="dxa"/>
            <w:tcBorders>
              <w:top w:val="nil"/>
              <w:left w:val="nil"/>
              <w:bottom w:val="single" w:sz="4" w:space="0" w:color="auto"/>
              <w:right w:val="single" w:sz="4" w:space="0" w:color="auto"/>
            </w:tcBorders>
            <w:shd w:val="clear" w:color="000000" w:fill="F2F2F2"/>
            <w:noWrap/>
            <w:vAlign w:val="center"/>
            <w:hideMark/>
          </w:tcPr>
          <w:p w14:paraId="30F73436" w14:textId="4ED2B02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13,761</w:t>
            </w:r>
          </w:p>
        </w:tc>
        <w:tc>
          <w:tcPr>
            <w:tcW w:w="794" w:type="dxa"/>
            <w:tcBorders>
              <w:top w:val="nil"/>
              <w:left w:val="nil"/>
              <w:bottom w:val="single" w:sz="4" w:space="0" w:color="auto"/>
              <w:right w:val="nil"/>
            </w:tcBorders>
            <w:shd w:val="clear" w:color="auto" w:fill="auto"/>
            <w:noWrap/>
            <w:vAlign w:val="center"/>
            <w:hideMark/>
          </w:tcPr>
          <w:p w14:paraId="169ABB29" w14:textId="75D101B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2,718</w:t>
            </w:r>
          </w:p>
        </w:tc>
        <w:tc>
          <w:tcPr>
            <w:tcW w:w="794" w:type="dxa"/>
            <w:tcBorders>
              <w:top w:val="nil"/>
              <w:left w:val="nil"/>
              <w:bottom w:val="single" w:sz="4" w:space="0" w:color="auto"/>
              <w:right w:val="single" w:sz="4" w:space="0" w:color="auto"/>
            </w:tcBorders>
            <w:shd w:val="clear" w:color="000000" w:fill="F2F2F2"/>
            <w:noWrap/>
            <w:vAlign w:val="center"/>
            <w:hideMark/>
          </w:tcPr>
          <w:p w14:paraId="490AC892" w14:textId="799D671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13,905</w:t>
            </w:r>
          </w:p>
        </w:tc>
        <w:tc>
          <w:tcPr>
            <w:tcW w:w="794" w:type="dxa"/>
            <w:tcBorders>
              <w:top w:val="nil"/>
              <w:left w:val="nil"/>
              <w:bottom w:val="single" w:sz="4" w:space="0" w:color="auto"/>
              <w:right w:val="nil"/>
            </w:tcBorders>
            <w:shd w:val="clear" w:color="auto" w:fill="auto"/>
            <w:noWrap/>
            <w:vAlign w:val="center"/>
            <w:hideMark/>
          </w:tcPr>
          <w:p w14:paraId="3DBD571D" w14:textId="0AD9E16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5,007</w:t>
            </w:r>
          </w:p>
        </w:tc>
        <w:tc>
          <w:tcPr>
            <w:tcW w:w="794" w:type="dxa"/>
            <w:tcBorders>
              <w:top w:val="nil"/>
              <w:left w:val="nil"/>
              <w:bottom w:val="single" w:sz="4" w:space="0" w:color="auto"/>
              <w:right w:val="single" w:sz="4" w:space="0" w:color="auto"/>
            </w:tcBorders>
            <w:shd w:val="clear" w:color="000000" w:fill="F2F2F2"/>
            <w:noWrap/>
            <w:vAlign w:val="center"/>
            <w:hideMark/>
          </w:tcPr>
          <w:p w14:paraId="23C3D7B7" w14:textId="0D33049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18,757</w:t>
            </w:r>
          </w:p>
        </w:tc>
        <w:tc>
          <w:tcPr>
            <w:tcW w:w="794" w:type="dxa"/>
            <w:tcBorders>
              <w:top w:val="nil"/>
              <w:left w:val="nil"/>
              <w:bottom w:val="single" w:sz="4" w:space="0" w:color="auto"/>
              <w:right w:val="nil"/>
            </w:tcBorders>
            <w:shd w:val="clear" w:color="auto" w:fill="auto"/>
            <w:noWrap/>
            <w:vAlign w:val="center"/>
            <w:hideMark/>
          </w:tcPr>
          <w:p w14:paraId="2B375BB4" w14:textId="1F4AF7D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4,746</w:t>
            </w:r>
          </w:p>
        </w:tc>
        <w:tc>
          <w:tcPr>
            <w:tcW w:w="794" w:type="dxa"/>
            <w:tcBorders>
              <w:top w:val="nil"/>
              <w:left w:val="nil"/>
              <w:bottom w:val="single" w:sz="4" w:space="0" w:color="auto"/>
              <w:right w:val="single" w:sz="4" w:space="0" w:color="auto"/>
            </w:tcBorders>
            <w:shd w:val="clear" w:color="000000" w:fill="F2F2F2"/>
            <w:noWrap/>
            <w:vAlign w:val="center"/>
            <w:hideMark/>
          </w:tcPr>
          <w:p w14:paraId="05C5C22A" w14:textId="713B978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17,087</w:t>
            </w:r>
          </w:p>
        </w:tc>
      </w:tr>
      <w:tr w:rsidR="004B5F88" w:rsidRPr="004B5F88" w14:paraId="42D3A7F8" w14:textId="77777777" w:rsidTr="004B5F88">
        <w:trPr>
          <w:trHeight w:val="227"/>
        </w:trPr>
        <w:tc>
          <w:tcPr>
            <w:tcW w:w="1599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B2FF" w14:textId="77777777" w:rsidR="004B5F88" w:rsidRPr="004B5F88" w:rsidRDefault="004B5F88" w:rsidP="004B5F88">
            <w:pPr>
              <w:spacing w:before="80" w:after="2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b/>
                <w:bCs/>
                <w:color w:val="000000"/>
                <w:sz w:val="20"/>
                <w:szCs w:val="20"/>
              </w:rPr>
              <w:t>Leverage measures</w:t>
            </w:r>
          </w:p>
        </w:tc>
      </w:tr>
      <w:tr w:rsidR="002F1955" w:rsidRPr="004B5F88" w14:paraId="768BD508" w14:textId="77777777" w:rsidTr="002F1955">
        <w:trPr>
          <w:trHeight w:val="227"/>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4CDFABEF"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 xml:space="preserve">Debt-service-to-income ratio </w:t>
            </w:r>
          </w:p>
        </w:tc>
        <w:tc>
          <w:tcPr>
            <w:tcW w:w="794" w:type="dxa"/>
            <w:tcBorders>
              <w:top w:val="single" w:sz="4" w:space="0" w:color="auto"/>
              <w:left w:val="nil"/>
              <w:bottom w:val="nil"/>
              <w:right w:val="nil"/>
            </w:tcBorders>
            <w:shd w:val="clear" w:color="auto" w:fill="auto"/>
            <w:noWrap/>
            <w:vAlign w:val="center"/>
            <w:hideMark/>
          </w:tcPr>
          <w:p w14:paraId="3BD3DDAB" w14:textId="5E97FB3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153.08</w:t>
            </w:r>
          </w:p>
        </w:tc>
        <w:tc>
          <w:tcPr>
            <w:tcW w:w="794" w:type="dxa"/>
            <w:tcBorders>
              <w:top w:val="single" w:sz="4" w:space="0" w:color="auto"/>
              <w:left w:val="nil"/>
              <w:bottom w:val="nil"/>
              <w:right w:val="single" w:sz="4" w:space="0" w:color="auto"/>
            </w:tcBorders>
            <w:shd w:val="clear" w:color="000000" w:fill="F2F2F2"/>
            <w:noWrap/>
            <w:vAlign w:val="center"/>
            <w:hideMark/>
          </w:tcPr>
          <w:p w14:paraId="49EBCDE6" w14:textId="3A98AAF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125.93</w:t>
            </w:r>
          </w:p>
        </w:tc>
        <w:tc>
          <w:tcPr>
            <w:tcW w:w="794" w:type="dxa"/>
            <w:tcBorders>
              <w:top w:val="single" w:sz="4" w:space="0" w:color="auto"/>
              <w:left w:val="nil"/>
              <w:bottom w:val="nil"/>
              <w:right w:val="nil"/>
            </w:tcBorders>
            <w:shd w:val="clear" w:color="auto" w:fill="auto"/>
            <w:noWrap/>
            <w:vAlign w:val="center"/>
            <w:hideMark/>
          </w:tcPr>
          <w:p w14:paraId="7646D628" w14:textId="7F3A0B4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130.91</w:t>
            </w:r>
          </w:p>
        </w:tc>
        <w:tc>
          <w:tcPr>
            <w:tcW w:w="794" w:type="dxa"/>
            <w:tcBorders>
              <w:top w:val="single" w:sz="4" w:space="0" w:color="auto"/>
              <w:left w:val="nil"/>
              <w:bottom w:val="nil"/>
              <w:right w:val="single" w:sz="4" w:space="0" w:color="auto"/>
            </w:tcBorders>
            <w:shd w:val="clear" w:color="000000" w:fill="F2F2F2"/>
            <w:noWrap/>
            <w:vAlign w:val="center"/>
            <w:hideMark/>
          </w:tcPr>
          <w:p w14:paraId="1692A210" w14:textId="488454C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112.78</w:t>
            </w:r>
          </w:p>
        </w:tc>
        <w:tc>
          <w:tcPr>
            <w:tcW w:w="794" w:type="dxa"/>
            <w:tcBorders>
              <w:top w:val="single" w:sz="4" w:space="0" w:color="auto"/>
              <w:left w:val="nil"/>
              <w:bottom w:val="nil"/>
              <w:right w:val="nil"/>
            </w:tcBorders>
            <w:shd w:val="clear" w:color="auto" w:fill="auto"/>
            <w:noWrap/>
            <w:vAlign w:val="center"/>
            <w:hideMark/>
          </w:tcPr>
          <w:p w14:paraId="125FF816" w14:textId="1647A79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118.38</w:t>
            </w:r>
          </w:p>
        </w:tc>
        <w:tc>
          <w:tcPr>
            <w:tcW w:w="794" w:type="dxa"/>
            <w:tcBorders>
              <w:top w:val="single" w:sz="4" w:space="0" w:color="auto"/>
              <w:left w:val="nil"/>
              <w:bottom w:val="nil"/>
              <w:right w:val="single" w:sz="4" w:space="0" w:color="auto"/>
            </w:tcBorders>
            <w:shd w:val="clear" w:color="000000" w:fill="F2F2F2"/>
            <w:noWrap/>
            <w:vAlign w:val="center"/>
            <w:hideMark/>
          </w:tcPr>
          <w:p w14:paraId="06BD2748" w14:textId="637BC29A" w:rsidR="002F1955" w:rsidRPr="002F1955" w:rsidRDefault="002F1955" w:rsidP="002F1955">
            <w:pPr>
              <w:spacing w:after="0" w:line="240" w:lineRule="auto"/>
              <w:ind w:firstLine="0"/>
              <w:jc w:val="center"/>
              <w:rPr>
                <w:rFonts w:eastAsia="Calibri" w:cs="Times New Roman"/>
                <w:i/>
                <w:iCs/>
                <w:color w:val="000000"/>
                <w:sz w:val="20"/>
                <w:szCs w:val="20"/>
              </w:rPr>
            </w:pPr>
            <w:r w:rsidRPr="002F1955">
              <w:rPr>
                <w:color w:val="000000"/>
                <w:sz w:val="20"/>
                <w:szCs w:val="20"/>
                <w:u w:val="single"/>
              </w:rPr>
              <w:t>108.48</w:t>
            </w:r>
          </w:p>
        </w:tc>
        <w:tc>
          <w:tcPr>
            <w:tcW w:w="794" w:type="dxa"/>
            <w:tcBorders>
              <w:top w:val="single" w:sz="4" w:space="0" w:color="auto"/>
              <w:left w:val="nil"/>
              <w:bottom w:val="nil"/>
              <w:right w:val="nil"/>
            </w:tcBorders>
            <w:shd w:val="clear" w:color="auto" w:fill="auto"/>
            <w:noWrap/>
            <w:vAlign w:val="center"/>
            <w:hideMark/>
          </w:tcPr>
          <w:p w14:paraId="2198ACFB" w14:textId="08E1AC9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128.20</w:t>
            </w:r>
          </w:p>
        </w:tc>
        <w:tc>
          <w:tcPr>
            <w:tcW w:w="794" w:type="dxa"/>
            <w:tcBorders>
              <w:top w:val="single" w:sz="4" w:space="0" w:color="auto"/>
              <w:left w:val="nil"/>
              <w:bottom w:val="nil"/>
              <w:right w:val="single" w:sz="4" w:space="0" w:color="auto"/>
            </w:tcBorders>
            <w:shd w:val="clear" w:color="000000" w:fill="F2F2F2"/>
            <w:noWrap/>
            <w:vAlign w:val="center"/>
            <w:hideMark/>
          </w:tcPr>
          <w:p w14:paraId="7930D905" w14:textId="4BEA545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99.63</w:t>
            </w:r>
          </w:p>
        </w:tc>
        <w:tc>
          <w:tcPr>
            <w:tcW w:w="794" w:type="dxa"/>
            <w:tcBorders>
              <w:top w:val="single" w:sz="4" w:space="0" w:color="auto"/>
              <w:left w:val="nil"/>
              <w:bottom w:val="nil"/>
              <w:right w:val="nil"/>
            </w:tcBorders>
            <w:shd w:val="clear" w:color="auto" w:fill="auto"/>
            <w:noWrap/>
            <w:vAlign w:val="center"/>
            <w:hideMark/>
          </w:tcPr>
          <w:p w14:paraId="62028BBA" w14:textId="07F9C80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114.83</w:t>
            </w:r>
          </w:p>
        </w:tc>
        <w:tc>
          <w:tcPr>
            <w:tcW w:w="794" w:type="dxa"/>
            <w:tcBorders>
              <w:top w:val="single" w:sz="4" w:space="0" w:color="auto"/>
              <w:left w:val="nil"/>
              <w:bottom w:val="nil"/>
              <w:right w:val="single" w:sz="4" w:space="0" w:color="auto"/>
            </w:tcBorders>
            <w:shd w:val="clear" w:color="000000" w:fill="F2F2F2"/>
            <w:noWrap/>
            <w:vAlign w:val="center"/>
            <w:hideMark/>
          </w:tcPr>
          <w:p w14:paraId="16B7429A" w14:textId="689857A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86.03</w:t>
            </w:r>
          </w:p>
        </w:tc>
        <w:tc>
          <w:tcPr>
            <w:tcW w:w="794" w:type="dxa"/>
            <w:tcBorders>
              <w:top w:val="single" w:sz="4" w:space="0" w:color="auto"/>
              <w:left w:val="nil"/>
              <w:bottom w:val="nil"/>
              <w:right w:val="nil"/>
            </w:tcBorders>
            <w:shd w:val="clear" w:color="auto" w:fill="auto"/>
            <w:noWrap/>
            <w:vAlign w:val="center"/>
            <w:hideMark/>
          </w:tcPr>
          <w:p w14:paraId="0F82D43B" w14:textId="0D43B74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91.61</w:t>
            </w:r>
          </w:p>
        </w:tc>
        <w:tc>
          <w:tcPr>
            <w:tcW w:w="794" w:type="dxa"/>
            <w:tcBorders>
              <w:top w:val="single" w:sz="4" w:space="0" w:color="auto"/>
              <w:left w:val="nil"/>
              <w:bottom w:val="nil"/>
              <w:right w:val="single" w:sz="4" w:space="0" w:color="auto"/>
            </w:tcBorders>
            <w:shd w:val="clear" w:color="000000" w:fill="F2F2F2"/>
            <w:noWrap/>
            <w:vAlign w:val="center"/>
            <w:hideMark/>
          </w:tcPr>
          <w:p w14:paraId="29149D72" w14:textId="5D7353B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74.47</w:t>
            </w:r>
          </w:p>
        </w:tc>
        <w:tc>
          <w:tcPr>
            <w:tcW w:w="794" w:type="dxa"/>
            <w:tcBorders>
              <w:top w:val="single" w:sz="4" w:space="0" w:color="auto"/>
              <w:left w:val="nil"/>
              <w:bottom w:val="nil"/>
              <w:right w:val="nil"/>
            </w:tcBorders>
            <w:shd w:val="clear" w:color="auto" w:fill="auto"/>
            <w:noWrap/>
            <w:vAlign w:val="center"/>
            <w:hideMark/>
          </w:tcPr>
          <w:p w14:paraId="16E8F93B" w14:textId="4E292F5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127.38</w:t>
            </w:r>
          </w:p>
        </w:tc>
        <w:tc>
          <w:tcPr>
            <w:tcW w:w="794" w:type="dxa"/>
            <w:tcBorders>
              <w:top w:val="single" w:sz="4" w:space="0" w:color="auto"/>
              <w:left w:val="nil"/>
              <w:bottom w:val="nil"/>
              <w:right w:val="single" w:sz="4" w:space="0" w:color="auto"/>
            </w:tcBorders>
            <w:shd w:val="clear" w:color="000000" w:fill="F2F2F2"/>
            <w:noWrap/>
            <w:vAlign w:val="center"/>
            <w:hideMark/>
          </w:tcPr>
          <w:p w14:paraId="02AE059C" w14:textId="35B8A4D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85.72</w:t>
            </w:r>
          </w:p>
        </w:tc>
        <w:tc>
          <w:tcPr>
            <w:tcW w:w="794" w:type="dxa"/>
            <w:tcBorders>
              <w:top w:val="single" w:sz="4" w:space="0" w:color="auto"/>
              <w:left w:val="nil"/>
              <w:bottom w:val="nil"/>
              <w:right w:val="nil"/>
            </w:tcBorders>
            <w:shd w:val="clear" w:color="auto" w:fill="auto"/>
            <w:noWrap/>
            <w:vAlign w:val="center"/>
            <w:hideMark/>
          </w:tcPr>
          <w:p w14:paraId="6919D57C" w14:textId="7EC55B6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129.74</w:t>
            </w:r>
          </w:p>
        </w:tc>
        <w:tc>
          <w:tcPr>
            <w:tcW w:w="794" w:type="dxa"/>
            <w:tcBorders>
              <w:top w:val="single" w:sz="4" w:space="0" w:color="auto"/>
              <w:left w:val="nil"/>
              <w:bottom w:val="nil"/>
              <w:right w:val="single" w:sz="4" w:space="0" w:color="auto"/>
            </w:tcBorders>
            <w:shd w:val="clear" w:color="000000" w:fill="F2F2F2"/>
            <w:noWrap/>
            <w:vAlign w:val="center"/>
            <w:hideMark/>
          </w:tcPr>
          <w:p w14:paraId="1F1FEF83" w14:textId="68B6046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73.92</w:t>
            </w:r>
          </w:p>
        </w:tc>
        <w:tc>
          <w:tcPr>
            <w:tcW w:w="794" w:type="dxa"/>
            <w:tcBorders>
              <w:top w:val="single" w:sz="4" w:space="0" w:color="auto"/>
              <w:left w:val="nil"/>
              <w:bottom w:val="nil"/>
              <w:right w:val="nil"/>
            </w:tcBorders>
            <w:shd w:val="clear" w:color="auto" w:fill="auto"/>
            <w:noWrap/>
            <w:vAlign w:val="center"/>
            <w:hideMark/>
          </w:tcPr>
          <w:p w14:paraId="27342991" w14:textId="2445252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129.83</w:t>
            </w:r>
          </w:p>
        </w:tc>
        <w:tc>
          <w:tcPr>
            <w:tcW w:w="794" w:type="dxa"/>
            <w:tcBorders>
              <w:top w:val="single" w:sz="4" w:space="0" w:color="auto"/>
              <w:left w:val="nil"/>
              <w:bottom w:val="nil"/>
              <w:right w:val="single" w:sz="4" w:space="0" w:color="auto"/>
            </w:tcBorders>
            <w:shd w:val="clear" w:color="000000" w:fill="F2F2F2"/>
            <w:noWrap/>
            <w:vAlign w:val="center"/>
            <w:hideMark/>
          </w:tcPr>
          <w:p w14:paraId="172B6344" w14:textId="016D824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96.67</w:t>
            </w:r>
          </w:p>
        </w:tc>
      </w:tr>
      <w:tr w:rsidR="002F1955" w:rsidRPr="004B5F88" w14:paraId="541947C0"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6D788FFC"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Debt-to-asset ratio</w:t>
            </w:r>
          </w:p>
        </w:tc>
        <w:tc>
          <w:tcPr>
            <w:tcW w:w="794" w:type="dxa"/>
            <w:tcBorders>
              <w:top w:val="nil"/>
              <w:left w:val="nil"/>
              <w:bottom w:val="nil"/>
              <w:right w:val="nil"/>
            </w:tcBorders>
            <w:shd w:val="clear" w:color="auto" w:fill="auto"/>
            <w:noWrap/>
            <w:vAlign w:val="center"/>
            <w:hideMark/>
          </w:tcPr>
          <w:p w14:paraId="4538AEF5" w14:textId="5F54170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40.52</w:t>
            </w:r>
          </w:p>
        </w:tc>
        <w:tc>
          <w:tcPr>
            <w:tcW w:w="794" w:type="dxa"/>
            <w:tcBorders>
              <w:top w:val="nil"/>
              <w:left w:val="nil"/>
              <w:bottom w:val="nil"/>
              <w:right w:val="single" w:sz="4" w:space="0" w:color="auto"/>
            </w:tcBorders>
            <w:shd w:val="clear" w:color="000000" w:fill="F2F2F2"/>
            <w:noWrap/>
            <w:vAlign w:val="center"/>
            <w:hideMark/>
          </w:tcPr>
          <w:p w14:paraId="2A9CC2F3" w14:textId="1E20A423"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50.07</w:t>
            </w:r>
          </w:p>
        </w:tc>
        <w:tc>
          <w:tcPr>
            <w:tcW w:w="794" w:type="dxa"/>
            <w:tcBorders>
              <w:top w:val="nil"/>
              <w:left w:val="nil"/>
              <w:bottom w:val="nil"/>
              <w:right w:val="nil"/>
            </w:tcBorders>
            <w:shd w:val="clear" w:color="auto" w:fill="auto"/>
            <w:noWrap/>
            <w:vAlign w:val="center"/>
            <w:hideMark/>
          </w:tcPr>
          <w:p w14:paraId="5AEFA4DD" w14:textId="37E36FD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29.34</w:t>
            </w:r>
          </w:p>
        </w:tc>
        <w:tc>
          <w:tcPr>
            <w:tcW w:w="794" w:type="dxa"/>
            <w:tcBorders>
              <w:top w:val="nil"/>
              <w:left w:val="nil"/>
              <w:bottom w:val="nil"/>
              <w:right w:val="single" w:sz="4" w:space="0" w:color="auto"/>
            </w:tcBorders>
            <w:shd w:val="clear" w:color="000000" w:fill="F2F2F2"/>
            <w:noWrap/>
            <w:vAlign w:val="center"/>
            <w:hideMark/>
          </w:tcPr>
          <w:p w14:paraId="3694A227" w14:textId="4A589E8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45.60</w:t>
            </w:r>
          </w:p>
        </w:tc>
        <w:tc>
          <w:tcPr>
            <w:tcW w:w="794" w:type="dxa"/>
            <w:tcBorders>
              <w:top w:val="nil"/>
              <w:left w:val="nil"/>
              <w:bottom w:val="nil"/>
              <w:right w:val="nil"/>
            </w:tcBorders>
            <w:shd w:val="clear" w:color="auto" w:fill="auto"/>
            <w:noWrap/>
            <w:vAlign w:val="center"/>
            <w:hideMark/>
          </w:tcPr>
          <w:p w14:paraId="7F1D9346" w14:textId="032497D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33.85</w:t>
            </w:r>
          </w:p>
        </w:tc>
        <w:tc>
          <w:tcPr>
            <w:tcW w:w="794" w:type="dxa"/>
            <w:tcBorders>
              <w:top w:val="nil"/>
              <w:left w:val="nil"/>
              <w:bottom w:val="nil"/>
              <w:right w:val="single" w:sz="4" w:space="0" w:color="auto"/>
            </w:tcBorders>
            <w:shd w:val="clear" w:color="000000" w:fill="F2F2F2"/>
            <w:noWrap/>
            <w:vAlign w:val="center"/>
            <w:hideMark/>
          </w:tcPr>
          <w:p w14:paraId="2CA7CDDB" w14:textId="5B2A28E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45.50</w:t>
            </w:r>
          </w:p>
        </w:tc>
        <w:tc>
          <w:tcPr>
            <w:tcW w:w="794" w:type="dxa"/>
            <w:tcBorders>
              <w:top w:val="nil"/>
              <w:left w:val="nil"/>
              <w:bottom w:val="nil"/>
              <w:right w:val="nil"/>
            </w:tcBorders>
            <w:shd w:val="clear" w:color="auto" w:fill="auto"/>
            <w:noWrap/>
            <w:vAlign w:val="center"/>
            <w:hideMark/>
          </w:tcPr>
          <w:p w14:paraId="3C9113EA" w14:textId="01B38AF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32.08</w:t>
            </w:r>
          </w:p>
        </w:tc>
        <w:tc>
          <w:tcPr>
            <w:tcW w:w="794" w:type="dxa"/>
            <w:tcBorders>
              <w:top w:val="nil"/>
              <w:left w:val="nil"/>
              <w:bottom w:val="nil"/>
              <w:right w:val="single" w:sz="4" w:space="0" w:color="auto"/>
            </w:tcBorders>
            <w:shd w:val="clear" w:color="000000" w:fill="F2F2F2"/>
            <w:noWrap/>
            <w:vAlign w:val="center"/>
            <w:hideMark/>
          </w:tcPr>
          <w:p w14:paraId="24B5CB2E" w14:textId="22C0776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35.57</w:t>
            </w:r>
          </w:p>
        </w:tc>
        <w:tc>
          <w:tcPr>
            <w:tcW w:w="794" w:type="dxa"/>
            <w:tcBorders>
              <w:top w:val="nil"/>
              <w:left w:val="nil"/>
              <w:bottom w:val="nil"/>
              <w:right w:val="nil"/>
            </w:tcBorders>
            <w:shd w:val="clear" w:color="auto" w:fill="auto"/>
            <w:noWrap/>
            <w:vAlign w:val="center"/>
            <w:hideMark/>
          </w:tcPr>
          <w:p w14:paraId="6D406F03" w14:textId="5264FB8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33.46</w:t>
            </w:r>
          </w:p>
        </w:tc>
        <w:tc>
          <w:tcPr>
            <w:tcW w:w="794" w:type="dxa"/>
            <w:tcBorders>
              <w:top w:val="nil"/>
              <w:left w:val="nil"/>
              <w:bottom w:val="nil"/>
              <w:right w:val="single" w:sz="4" w:space="0" w:color="auto"/>
            </w:tcBorders>
            <w:shd w:val="clear" w:color="000000" w:fill="F2F2F2"/>
            <w:noWrap/>
            <w:vAlign w:val="center"/>
            <w:hideMark/>
          </w:tcPr>
          <w:p w14:paraId="5BEFB4FB" w14:textId="06DC86F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26.66</w:t>
            </w:r>
          </w:p>
        </w:tc>
        <w:tc>
          <w:tcPr>
            <w:tcW w:w="794" w:type="dxa"/>
            <w:tcBorders>
              <w:top w:val="nil"/>
              <w:left w:val="nil"/>
              <w:bottom w:val="nil"/>
              <w:right w:val="nil"/>
            </w:tcBorders>
            <w:shd w:val="clear" w:color="auto" w:fill="auto"/>
            <w:noWrap/>
            <w:vAlign w:val="center"/>
            <w:hideMark/>
          </w:tcPr>
          <w:p w14:paraId="15FEFACC" w14:textId="353A5AE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25.98</w:t>
            </w:r>
          </w:p>
        </w:tc>
        <w:tc>
          <w:tcPr>
            <w:tcW w:w="794" w:type="dxa"/>
            <w:tcBorders>
              <w:top w:val="nil"/>
              <w:left w:val="nil"/>
              <w:bottom w:val="nil"/>
              <w:right w:val="single" w:sz="4" w:space="0" w:color="auto"/>
            </w:tcBorders>
            <w:shd w:val="clear" w:color="000000" w:fill="F2F2F2"/>
            <w:noWrap/>
            <w:vAlign w:val="center"/>
            <w:hideMark/>
          </w:tcPr>
          <w:p w14:paraId="71E81004" w14:textId="14FD057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19.20</w:t>
            </w:r>
          </w:p>
        </w:tc>
        <w:tc>
          <w:tcPr>
            <w:tcW w:w="794" w:type="dxa"/>
            <w:tcBorders>
              <w:top w:val="nil"/>
              <w:left w:val="nil"/>
              <w:bottom w:val="nil"/>
              <w:right w:val="nil"/>
            </w:tcBorders>
            <w:shd w:val="clear" w:color="auto" w:fill="auto"/>
            <w:noWrap/>
            <w:vAlign w:val="center"/>
            <w:hideMark/>
          </w:tcPr>
          <w:p w14:paraId="6EBB5439" w14:textId="5E3F28B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25.78</w:t>
            </w:r>
          </w:p>
        </w:tc>
        <w:tc>
          <w:tcPr>
            <w:tcW w:w="794" w:type="dxa"/>
            <w:tcBorders>
              <w:top w:val="nil"/>
              <w:left w:val="nil"/>
              <w:bottom w:val="nil"/>
              <w:right w:val="single" w:sz="4" w:space="0" w:color="auto"/>
            </w:tcBorders>
            <w:shd w:val="clear" w:color="000000" w:fill="F2F2F2"/>
            <w:noWrap/>
            <w:vAlign w:val="center"/>
            <w:hideMark/>
          </w:tcPr>
          <w:p w14:paraId="239B08C4" w14:textId="75EA967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25.99</w:t>
            </w:r>
          </w:p>
        </w:tc>
        <w:tc>
          <w:tcPr>
            <w:tcW w:w="794" w:type="dxa"/>
            <w:tcBorders>
              <w:top w:val="nil"/>
              <w:left w:val="nil"/>
              <w:bottom w:val="nil"/>
              <w:right w:val="nil"/>
            </w:tcBorders>
            <w:shd w:val="clear" w:color="auto" w:fill="auto"/>
            <w:noWrap/>
            <w:vAlign w:val="center"/>
            <w:hideMark/>
          </w:tcPr>
          <w:p w14:paraId="0DAC1D00" w14:textId="3DA2440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26.22</w:t>
            </w:r>
          </w:p>
        </w:tc>
        <w:tc>
          <w:tcPr>
            <w:tcW w:w="794" w:type="dxa"/>
            <w:tcBorders>
              <w:top w:val="nil"/>
              <w:left w:val="nil"/>
              <w:bottom w:val="nil"/>
              <w:right w:val="single" w:sz="4" w:space="0" w:color="auto"/>
            </w:tcBorders>
            <w:shd w:val="clear" w:color="000000" w:fill="F2F2F2"/>
            <w:noWrap/>
            <w:vAlign w:val="center"/>
            <w:hideMark/>
          </w:tcPr>
          <w:p w14:paraId="1EE13BA7" w14:textId="7392BAF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11.33</w:t>
            </w:r>
          </w:p>
        </w:tc>
        <w:tc>
          <w:tcPr>
            <w:tcW w:w="794" w:type="dxa"/>
            <w:tcBorders>
              <w:top w:val="nil"/>
              <w:left w:val="nil"/>
              <w:bottom w:val="nil"/>
              <w:right w:val="nil"/>
            </w:tcBorders>
            <w:shd w:val="clear" w:color="auto" w:fill="auto"/>
            <w:noWrap/>
            <w:vAlign w:val="center"/>
            <w:hideMark/>
          </w:tcPr>
          <w:p w14:paraId="41BA476A" w14:textId="1BA4CA0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13.28</w:t>
            </w:r>
          </w:p>
        </w:tc>
        <w:tc>
          <w:tcPr>
            <w:tcW w:w="794" w:type="dxa"/>
            <w:tcBorders>
              <w:top w:val="nil"/>
              <w:left w:val="nil"/>
              <w:bottom w:val="nil"/>
              <w:right w:val="single" w:sz="4" w:space="0" w:color="auto"/>
            </w:tcBorders>
            <w:shd w:val="clear" w:color="000000" w:fill="F2F2F2"/>
            <w:noWrap/>
            <w:vAlign w:val="center"/>
            <w:hideMark/>
          </w:tcPr>
          <w:p w14:paraId="22528DDE" w14:textId="6FF35AD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14.74</w:t>
            </w:r>
          </w:p>
        </w:tc>
      </w:tr>
      <w:tr w:rsidR="002F1955" w:rsidRPr="004B5F88" w14:paraId="0CC00134" w14:textId="77777777" w:rsidTr="002F1955">
        <w:trPr>
          <w:trHeight w:val="227"/>
        </w:trPr>
        <w:tc>
          <w:tcPr>
            <w:tcW w:w="1701" w:type="dxa"/>
            <w:tcBorders>
              <w:top w:val="nil"/>
              <w:left w:val="single" w:sz="4" w:space="0" w:color="auto"/>
              <w:bottom w:val="nil"/>
              <w:right w:val="single" w:sz="4" w:space="0" w:color="auto"/>
            </w:tcBorders>
            <w:shd w:val="clear" w:color="auto" w:fill="auto"/>
            <w:noWrap/>
            <w:vAlign w:val="bottom"/>
            <w:hideMark/>
          </w:tcPr>
          <w:p w14:paraId="68E2833D" w14:textId="77777777" w:rsidR="002F1955" w:rsidRPr="004B5F88" w:rsidRDefault="002F1955" w:rsidP="002F1955">
            <w:pPr>
              <w:spacing w:after="0" w:line="240" w:lineRule="auto"/>
              <w:ind w:firstLine="0"/>
              <w:jc w:val="lef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Debt-to-income ratio</w:t>
            </w:r>
          </w:p>
        </w:tc>
        <w:tc>
          <w:tcPr>
            <w:tcW w:w="794" w:type="dxa"/>
            <w:tcBorders>
              <w:top w:val="nil"/>
              <w:left w:val="nil"/>
              <w:bottom w:val="nil"/>
              <w:right w:val="nil"/>
            </w:tcBorders>
            <w:shd w:val="clear" w:color="auto" w:fill="auto"/>
            <w:noWrap/>
            <w:vAlign w:val="center"/>
            <w:hideMark/>
          </w:tcPr>
          <w:p w14:paraId="54D1A9FA" w14:textId="526B6FEC"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47.33</w:t>
            </w:r>
          </w:p>
        </w:tc>
        <w:tc>
          <w:tcPr>
            <w:tcW w:w="794" w:type="dxa"/>
            <w:tcBorders>
              <w:top w:val="nil"/>
              <w:left w:val="nil"/>
              <w:bottom w:val="nil"/>
              <w:right w:val="single" w:sz="4" w:space="0" w:color="auto"/>
            </w:tcBorders>
            <w:shd w:val="clear" w:color="000000" w:fill="F2F2F2"/>
            <w:noWrap/>
            <w:vAlign w:val="center"/>
            <w:hideMark/>
          </w:tcPr>
          <w:p w14:paraId="0A72CE77" w14:textId="7FEC6F3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42.27</w:t>
            </w:r>
          </w:p>
        </w:tc>
        <w:tc>
          <w:tcPr>
            <w:tcW w:w="794" w:type="dxa"/>
            <w:tcBorders>
              <w:top w:val="nil"/>
              <w:left w:val="nil"/>
              <w:bottom w:val="nil"/>
              <w:right w:val="nil"/>
            </w:tcBorders>
            <w:shd w:val="clear" w:color="auto" w:fill="auto"/>
            <w:noWrap/>
            <w:vAlign w:val="center"/>
            <w:hideMark/>
          </w:tcPr>
          <w:p w14:paraId="71675B42" w14:textId="7D21DD2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38.46</w:t>
            </w:r>
          </w:p>
        </w:tc>
        <w:tc>
          <w:tcPr>
            <w:tcW w:w="794" w:type="dxa"/>
            <w:tcBorders>
              <w:top w:val="nil"/>
              <w:left w:val="nil"/>
              <w:bottom w:val="nil"/>
              <w:right w:val="single" w:sz="4" w:space="0" w:color="auto"/>
            </w:tcBorders>
            <w:shd w:val="clear" w:color="000000" w:fill="F2F2F2"/>
            <w:noWrap/>
            <w:vAlign w:val="center"/>
            <w:hideMark/>
          </w:tcPr>
          <w:p w14:paraId="2524DD60" w14:textId="5D64867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32.49</w:t>
            </w:r>
          </w:p>
        </w:tc>
        <w:tc>
          <w:tcPr>
            <w:tcW w:w="794" w:type="dxa"/>
            <w:tcBorders>
              <w:top w:val="nil"/>
              <w:left w:val="nil"/>
              <w:bottom w:val="nil"/>
              <w:right w:val="nil"/>
            </w:tcBorders>
            <w:shd w:val="clear" w:color="auto" w:fill="auto"/>
            <w:noWrap/>
            <w:vAlign w:val="center"/>
            <w:hideMark/>
          </w:tcPr>
          <w:p w14:paraId="124D8305" w14:textId="118CFFA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25.20</w:t>
            </w:r>
          </w:p>
        </w:tc>
        <w:tc>
          <w:tcPr>
            <w:tcW w:w="794" w:type="dxa"/>
            <w:tcBorders>
              <w:top w:val="nil"/>
              <w:left w:val="nil"/>
              <w:bottom w:val="nil"/>
              <w:right w:val="single" w:sz="4" w:space="0" w:color="auto"/>
            </w:tcBorders>
            <w:shd w:val="clear" w:color="000000" w:fill="F2F2F2"/>
            <w:noWrap/>
            <w:vAlign w:val="center"/>
            <w:hideMark/>
          </w:tcPr>
          <w:p w14:paraId="42A813CF" w14:textId="54DE589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26.54</w:t>
            </w:r>
          </w:p>
        </w:tc>
        <w:tc>
          <w:tcPr>
            <w:tcW w:w="794" w:type="dxa"/>
            <w:tcBorders>
              <w:top w:val="nil"/>
              <w:left w:val="nil"/>
              <w:bottom w:val="nil"/>
              <w:right w:val="nil"/>
            </w:tcBorders>
            <w:shd w:val="clear" w:color="auto" w:fill="auto"/>
            <w:noWrap/>
            <w:vAlign w:val="center"/>
            <w:hideMark/>
          </w:tcPr>
          <w:p w14:paraId="450CC07E" w14:textId="08E604A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25.83</w:t>
            </w:r>
          </w:p>
        </w:tc>
        <w:tc>
          <w:tcPr>
            <w:tcW w:w="794" w:type="dxa"/>
            <w:tcBorders>
              <w:top w:val="nil"/>
              <w:left w:val="nil"/>
              <w:bottom w:val="nil"/>
              <w:right w:val="single" w:sz="4" w:space="0" w:color="auto"/>
            </w:tcBorders>
            <w:shd w:val="clear" w:color="000000" w:fill="F2F2F2"/>
            <w:noWrap/>
            <w:vAlign w:val="center"/>
            <w:hideMark/>
          </w:tcPr>
          <w:p w14:paraId="154188E1" w14:textId="3B0C826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u w:val="single"/>
              </w:rPr>
              <w:t>25.22</w:t>
            </w:r>
          </w:p>
        </w:tc>
        <w:tc>
          <w:tcPr>
            <w:tcW w:w="794" w:type="dxa"/>
            <w:tcBorders>
              <w:top w:val="nil"/>
              <w:left w:val="nil"/>
              <w:bottom w:val="nil"/>
              <w:right w:val="nil"/>
            </w:tcBorders>
            <w:shd w:val="clear" w:color="auto" w:fill="auto"/>
            <w:noWrap/>
            <w:vAlign w:val="center"/>
            <w:hideMark/>
          </w:tcPr>
          <w:p w14:paraId="0E2CD0D2" w14:textId="38A70A3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27.02</w:t>
            </w:r>
          </w:p>
        </w:tc>
        <w:tc>
          <w:tcPr>
            <w:tcW w:w="794" w:type="dxa"/>
            <w:tcBorders>
              <w:top w:val="nil"/>
              <w:left w:val="nil"/>
              <w:bottom w:val="nil"/>
              <w:right w:val="single" w:sz="4" w:space="0" w:color="auto"/>
            </w:tcBorders>
            <w:shd w:val="clear" w:color="000000" w:fill="F2F2F2"/>
            <w:noWrap/>
            <w:vAlign w:val="center"/>
            <w:hideMark/>
          </w:tcPr>
          <w:p w14:paraId="6853BACA" w14:textId="4BFB3B5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24.74</w:t>
            </w:r>
          </w:p>
        </w:tc>
        <w:tc>
          <w:tcPr>
            <w:tcW w:w="794" w:type="dxa"/>
            <w:tcBorders>
              <w:top w:val="nil"/>
              <w:left w:val="nil"/>
              <w:bottom w:val="nil"/>
              <w:right w:val="nil"/>
            </w:tcBorders>
            <w:shd w:val="clear" w:color="auto" w:fill="auto"/>
            <w:noWrap/>
            <w:vAlign w:val="center"/>
            <w:hideMark/>
          </w:tcPr>
          <w:p w14:paraId="6F31C18E" w14:textId="22E889A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17.72</w:t>
            </w:r>
          </w:p>
        </w:tc>
        <w:tc>
          <w:tcPr>
            <w:tcW w:w="794" w:type="dxa"/>
            <w:tcBorders>
              <w:top w:val="nil"/>
              <w:left w:val="nil"/>
              <w:bottom w:val="nil"/>
              <w:right w:val="single" w:sz="4" w:space="0" w:color="auto"/>
            </w:tcBorders>
            <w:shd w:val="clear" w:color="000000" w:fill="F2F2F2"/>
            <w:noWrap/>
            <w:vAlign w:val="center"/>
            <w:hideMark/>
          </w:tcPr>
          <w:p w14:paraId="62DB4D2F" w14:textId="5245D6CF"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15.20</w:t>
            </w:r>
          </w:p>
        </w:tc>
        <w:tc>
          <w:tcPr>
            <w:tcW w:w="794" w:type="dxa"/>
            <w:tcBorders>
              <w:top w:val="nil"/>
              <w:left w:val="nil"/>
              <w:bottom w:val="nil"/>
              <w:right w:val="nil"/>
            </w:tcBorders>
            <w:shd w:val="clear" w:color="auto" w:fill="auto"/>
            <w:noWrap/>
            <w:vAlign w:val="center"/>
            <w:hideMark/>
          </w:tcPr>
          <w:p w14:paraId="122CF3CC" w14:textId="4F69D49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19.98</w:t>
            </w:r>
          </w:p>
        </w:tc>
        <w:tc>
          <w:tcPr>
            <w:tcW w:w="794" w:type="dxa"/>
            <w:tcBorders>
              <w:top w:val="nil"/>
              <w:left w:val="nil"/>
              <w:bottom w:val="nil"/>
              <w:right w:val="single" w:sz="4" w:space="0" w:color="auto"/>
            </w:tcBorders>
            <w:shd w:val="clear" w:color="000000" w:fill="F2F2F2"/>
            <w:noWrap/>
            <w:vAlign w:val="center"/>
            <w:hideMark/>
          </w:tcPr>
          <w:p w14:paraId="619185EA" w14:textId="06C1E5B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17.69</w:t>
            </w:r>
          </w:p>
        </w:tc>
        <w:tc>
          <w:tcPr>
            <w:tcW w:w="794" w:type="dxa"/>
            <w:tcBorders>
              <w:top w:val="nil"/>
              <w:left w:val="nil"/>
              <w:bottom w:val="nil"/>
              <w:right w:val="nil"/>
            </w:tcBorders>
            <w:shd w:val="clear" w:color="auto" w:fill="auto"/>
            <w:noWrap/>
            <w:vAlign w:val="center"/>
            <w:hideMark/>
          </w:tcPr>
          <w:p w14:paraId="26CB53AD" w14:textId="45D62F2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17.70</w:t>
            </w:r>
          </w:p>
        </w:tc>
        <w:tc>
          <w:tcPr>
            <w:tcW w:w="794" w:type="dxa"/>
            <w:tcBorders>
              <w:top w:val="nil"/>
              <w:left w:val="nil"/>
              <w:bottom w:val="nil"/>
              <w:right w:val="single" w:sz="4" w:space="0" w:color="auto"/>
            </w:tcBorders>
            <w:shd w:val="clear" w:color="000000" w:fill="F2F2F2"/>
            <w:noWrap/>
            <w:vAlign w:val="center"/>
            <w:hideMark/>
          </w:tcPr>
          <w:p w14:paraId="6155DC60" w14:textId="348ADDD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11.64</w:t>
            </w:r>
          </w:p>
        </w:tc>
        <w:tc>
          <w:tcPr>
            <w:tcW w:w="794" w:type="dxa"/>
            <w:tcBorders>
              <w:top w:val="nil"/>
              <w:left w:val="nil"/>
              <w:bottom w:val="nil"/>
              <w:right w:val="nil"/>
            </w:tcBorders>
            <w:shd w:val="clear" w:color="auto" w:fill="auto"/>
            <w:noWrap/>
            <w:vAlign w:val="center"/>
            <w:hideMark/>
          </w:tcPr>
          <w:p w14:paraId="35F4487C" w14:textId="5874177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16.72</w:t>
            </w:r>
          </w:p>
        </w:tc>
        <w:tc>
          <w:tcPr>
            <w:tcW w:w="794" w:type="dxa"/>
            <w:tcBorders>
              <w:top w:val="nil"/>
              <w:left w:val="nil"/>
              <w:bottom w:val="nil"/>
              <w:right w:val="single" w:sz="4" w:space="0" w:color="auto"/>
            </w:tcBorders>
            <w:shd w:val="clear" w:color="000000" w:fill="F2F2F2"/>
            <w:noWrap/>
            <w:vAlign w:val="center"/>
            <w:hideMark/>
          </w:tcPr>
          <w:p w14:paraId="778D8F51" w14:textId="65B79DC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15.61</w:t>
            </w:r>
          </w:p>
        </w:tc>
      </w:tr>
      <w:tr w:rsidR="002F1955" w:rsidRPr="004B5F88" w14:paraId="5083AB62" w14:textId="77777777" w:rsidTr="002F1955">
        <w:trPr>
          <w:trHeight w:val="22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CFAD539" w14:textId="77777777" w:rsidR="002F1955" w:rsidRPr="004B5F88" w:rsidRDefault="002F1955" w:rsidP="002F1955">
            <w:pPr>
              <w:spacing w:after="0" w:line="240" w:lineRule="auto"/>
              <w:ind w:firstLine="0"/>
              <w:jc w:val="right"/>
              <w:rPr>
                <w:rFonts w:ascii="Times New Roman" w:eastAsia="Times New Roman" w:hAnsi="Times New Roman" w:cs="Times New Roman"/>
                <w:color w:val="000000"/>
                <w:sz w:val="20"/>
                <w:szCs w:val="20"/>
              </w:rPr>
            </w:pPr>
            <w:r w:rsidRPr="004B5F88">
              <w:rPr>
                <w:rFonts w:ascii="Times New Roman" w:eastAsia="Times New Roman" w:hAnsi="Times New Roman" w:cs="Times New Roman"/>
                <w:color w:val="000000"/>
                <w:sz w:val="20"/>
                <w:szCs w:val="20"/>
              </w:rPr>
              <w:t>N</w:t>
            </w:r>
          </w:p>
        </w:tc>
        <w:tc>
          <w:tcPr>
            <w:tcW w:w="794" w:type="dxa"/>
            <w:tcBorders>
              <w:top w:val="nil"/>
              <w:left w:val="nil"/>
              <w:bottom w:val="single" w:sz="4" w:space="0" w:color="auto"/>
              <w:right w:val="nil"/>
            </w:tcBorders>
            <w:shd w:val="clear" w:color="auto" w:fill="auto"/>
            <w:noWrap/>
            <w:vAlign w:val="center"/>
            <w:hideMark/>
          </w:tcPr>
          <w:p w14:paraId="7DD2C16C" w14:textId="3E78183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2,339</w:t>
            </w:r>
          </w:p>
        </w:tc>
        <w:tc>
          <w:tcPr>
            <w:tcW w:w="794" w:type="dxa"/>
            <w:tcBorders>
              <w:top w:val="nil"/>
              <w:left w:val="nil"/>
              <w:bottom w:val="single" w:sz="4" w:space="0" w:color="auto"/>
              <w:right w:val="single" w:sz="4" w:space="0" w:color="auto"/>
            </w:tcBorders>
            <w:shd w:val="clear" w:color="000000" w:fill="F2F2F2"/>
            <w:noWrap/>
            <w:vAlign w:val="center"/>
            <w:hideMark/>
          </w:tcPr>
          <w:p w14:paraId="195344A6" w14:textId="55C098A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13,371</w:t>
            </w:r>
          </w:p>
        </w:tc>
        <w:tc>
          <w:tcPr>
            <w:tcW w:w="794" w:type="dxa"/>
            <w:tcBorders>
              <w:top w:val="nil"/>
              <w:left w:val="nil"/>
              <w:bottom w:val="single" w:sz="4" w:space="0" w:color="auto"/>
              <w:right w:val="nil"/>
            </w:tcBorders>
            <w:shd w:val="clear" w:color="auto" w:fill="auto"/>
            <w:noWrap/>
            <w:vAlign w:val="center"/>
            <w:hideMark/>
          </w:tcPr>
          <w:p w14:paraId="2A7D43E3" w14:textId="02CE8DB2"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2,879</w:t>
            </w:r>
          </w:p>
        </w:tc>
        <w:tc>
          <w:tcPr>
            <w:tcW w:w="794" w:type="dxa"/>
            <w:tcBorders>
              <w:top w:val="nil"/>
              <w:left w:val="nil"/>
              <w:bottom w:val="single" w:sz="4" w:space="0" w:color="auto"/>
              <w:right w:val="single" w:sz="4" w:space="0" w:color="auto"/>
            </w:tcBorders>
            <w:shd w:val="clear" w:color="000000" w:fill="F2F2F2"/>
            <w:noWrap/>
            <w:vAlign w:val="center"/>
            <w:hideMark/>
          </w:tcPr>
          <w:p w14:paraId="22A21C0E" w14:textId="3794F85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16,651</w:t>
            </w:r>
          </w:p>
        </w:tc>
        <w:tc>
          <w:tcPr>
            <w:tcW w:w="794" w:type="dxa"/>
            <w:tcBorders>
              <w:top w:val="nil"/>
              <w:left w:val="nil"/>
              <w:bottom w:val="single" w:sz="4" w:space="0" w:color="auto"/>
              <w:right w:val="nil"/>
            </w:tcBorders>
            <w:shd w:val="clear" w:color="auto" w:fill="auto"/>
            <w:noWrap/>
            <w:vAlign w:val="center"/>
            <w:hideMark/>
          </w:tcPr>
          <w:p w14:paraId="401B0E97" w14:textId="063FD005"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2,785</w:t>
            </w:r>
          </w:p>
        </w:tc>
        <w:tc>
          <w:tcPr>
            <w:tcW w:w="794" w:type="dxa"/>
            <w:tcBorders>
              <w:top w:val="nil"/>
              <w:left w:val="nil"/>
              <w:bottom w:val="single" w:sz="4" w:space="0" w:color="auto"/>
              <w:right w:val="single" w:sz="4" w:space="0" w:color="auto"/>
            </w:tcBorders>
            <w:shd w:val="clear" w:color="000000" w:fill="F2F2F2"/>
            <w:noWrap/>
            <w:vAlign w:val="center"/>
            <w:hideMark/>
          </w:tcPr>
          <w:p w14:paraId="690B97F6" w14:textId="220D8D8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18,710</w:t>
            </w:r>
          </w:p>
        </w:tc>
        <w:tc>
          <w:tcPr>
            <w:tcW w:w="794" w:type="dxa"/>
            <w:tcBorders>
              <w:top w:val="nil"/>
              <w:left w:val="nil"/>
              <w:bottom w:val="single" w:sz="4" w:space="0" w:color="auto"/>
              <w:right w:val="nil"/>
            </w:tcBorders>
            <w:shd w:val="clear" w:color="auto" w:fill="auto"/>
            <w:noWrap/>
            <w:vAlign w:val="center"/>
            <w:hideMark/>
          </w:tcPr>
          <w:p w14:paraId="7CD1A1CA" w14:textId="6E866819"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3,322</w:t>
            </w:r>
          </w:p>
        </w:tc>
        <w:tc>
          <w:tcPr>
            <w:tcW w:w="794" w:type="dxa"/>
            <w:tcBorders>
              <w:top w:val="nil"/>
              <w:left w:val="nil"/>
              <w:bottom w:val="single" w:sz="4" w:space="0" w:color="auto"/>
              <w:right w:val="single" w:sz="4" w:space="0" w:color="auto"/>
            </w:tcBorders>
            <w:shd w:val="clear" w:color="000000" w:fill="F2F2F2"/>
            <w:noWrap/>
            <w:vAlign w:val="center"/>
            <w:hideMark/>
          </w:tcPr>
          <w:p w14:paraId="1138B207" w14:textId="072189E8"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18,203</w:t>
            </w:r>
          </w:p>
        </w:tc>
        <w:tc>
          <w:tcPr>
            <w:tcW w:w="794" w:type="dxa"/>
            <w:tcBorders>
              <w:top w:val="nil"/>
              <w:left w:val="nil"/>
              <w:bottom w:val="single" w:sz="4" w:space="0" w:color="auto"/>
              <w:right w:val="nil"/>
            </w:tcBorders>
            <w:shd w:val="clear" w:color="auto" w:fill="auto"/>
            <w:noWrap/>
            <w:vAlign w:val="center"/>
            <w:hideMark/>
          </w:tcPr>
          <w:p w14:paraId="471282E5" w14:textId="1BB67731"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3,705</w:t>
            </w:r>
          </w:p>
        </w:tc>
        <w:tc>
          <w:tcPr>
            <w:tcW w:w="794" w:type="dxa"/>
            <w:tcBorders>
              <w:top w:val="nil"/>
              <w:left w:val="nil"/>
              <w:bottom w:val="single" w:sz="4" w:space="0" w:color="auto"/>
              <w:right w:val="single" w:sz="4" w:space="0" w:color="auto"/>
            </w:tcBorders>
            <w:shd w:val="clear" w:color="000000" w:fill="F2F2F2"/>
            <w:noWrap/>
            <w:vAlign w:val="center"/>
            <w:hideMark/>
          </w:tcPr>
          <w:p w14:paraId="2C34688E" w14:textId="2D98728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18,505</w:t>
            </w:r>
          </w:p>
        </w:tc>
        <w:tc>
          <w:tcPr>
            <w:tcW w:w="794" w:type="dxa"/>
            <w:tcBorders>
              <w:top w:val="nil"/>
              <w:left w:val="nil"/>
              <w:bottom w:val="single" w:sz="4" w:space="0" w:color="auto"/>
              <w:right w:val="nil"/>
            </w:tcBorders>
            <w:shd w:val="clear" w:color="auto" w:fill="auto"/>
            <w:noWrap/>
            <w:vAlign w:val="center"/>
            <w:hideMark/>
          </w:tcPr>
          <w:p w14:paraId="719BCF7F" w14:textId="3FCB1D8D"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4,159</w:t>
            </w:r>
          </w:p>
        </w:tc>
        <w:tc>
          <w:tcPr>
            <w:tcW w:w="794" w:type="dxa"/>
            <w:tcBorders>
              <w:top w:val="nil"/>
              <w:left w:val="nil"/>
              <w:bottom w:val="single" w:sz="4" w:space="0" w:color="auto"/>
              <w:right w:val="single" w:sz="4" w:space="0" w:color="auto"/>
            </w:tcBorders>
            <w:shd w:val="clear" w:color="000000" w:fill="F2F2F2"/>
            <w:noWrap/>
            <w:vAlign w:val="center"/>
            <w:hideMark/>
          </w:tcPr>
          <w:p w14:paraId="01743905" w14:textId="2D4A657B"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18,436</w:t>
            </w:r>
          </w:p>
        </w:tc>
        <w:tc>
          <w:tcPr>
            <w:tcW w:w="794" w:type="dxa"/>
            <w:tcBorders>
              <w:top w:val="nil"/>
              <w:left w:val="nil"/>
              <w:bottom w:val="single" w:sz="4" w:space="0" w:color="auto"/>
              <w:right w:val="nil"/>
            </w:tcBorders>
            <w:shd w:val="clear" w:color="auto" w:fill="auto"/>
            <w:noWrap/>
            <w:vAlign w:val="center"/>
            <w:hideMark/>
          </w:tcPr>
          <w:p w14:paraId="62BC2E49" w14:textId="6EC1370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3,616</w:t>
            </w:r>
          </w:p>
        </w:tc>
        <w:tc>
          <w:tcPr>
            <w:tcW w:w="794" w:type="dxa"/>
            <w:tcBorders>
              <w:top w:val="nil"/>
              <w:left w:val="nil"/>
              <w:bottom w:val="single" w:sz="4" w:space="0" w:color="auto"/>
              <w:right w:val="single" w:sz="4" w:space="0" w:color="auto"/>
            </w:tcBorders>
            <w:shd w:val="clear" w:color="000000" w:fill="F2F2F2"/>
            <w:noWrap/>
            <w:vAlign w:val="center"/>
            <w:hideMark/>
          </w:tcPr>
          <w:p w14:paraId="68488C92" w14:textId="2378BFE7"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18,464</w:t>
            </w:r>
          </w:p>
        </w:tc>
        <w:tc>
          <w:tcPr>
            <w:tcW w:w="794" w:type="dxa"/>
            <w:tcBorders>
              <w:top w:val="nil"/>
              <w:left w:val="nil"/>
              <w:bottom w:val="single" w:sz="4" w:space="0" w:color="auto"/>
              <w:right w:val="nil"/>
            </w:tcBorders>
            <w:shd w:val="clear" w:color="auto" w:fill="auto"/>
            <w:noWrap/>
            <w:vAlign w:val="center"/>
            <w:hideMark/>
          </w:tcPr>
          <w:p w14:paraId="4245B17A" w14:textId="03C6D9F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7,149</w:t>
            </w:r>
          </w:p>
        </w:tc>
        <w:tc>
          <w:tcPr>
            <w:tcW w:w="794" w:type="dxa"/>
            <w:tcBorders>
              <w:top w:val="nil"/>
              <w:left w:val="nil"/>
              <w:bottom w:val="single" w:sz="4" w:space="0" w:color="auto"/>
              <w:right w:val="single" w:sz="4" w:space="0" w:color="auto"/>
            </w:tcBorders>
            <w:shd w:val="clear" w:color="000000" w:fill="F2F2F2"/>
            <w:noWrap/>
            <w:vAlign w:val="center"/>
            <w:hideMark/>
          </w:tcPr>
          <w:p w14:paraId="06B67981" w14:textId="196A493A"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25,261</w:t>
            </w:r>
          </w:p>
        </w:tc>
        <w:tc>
          <w:tcPr>
            <w:tcW w:w="794" w:type="dxa"/>
            <w:tcBorders>
              <w:top w:val="nil"/>
              <w:left w:val="nil"/>
              <w:bottom w:val="single" w:sz="4" w:space="0" w:color="auto"/>
              <w:right w:val="nil"/>
            </w:tcBorders>
            <w:shd w:val="clear" w:color="auto" w:fill="auto"/>
            <w:noWrap/>
            <w:vAlign w:val="center"/>
            <w:hideMark/>
          </w:tcPr>
          <w:p w14:paraId="215FF7B9" w14:textId="02736D66"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6,512</w:t>
            </w:r>
          </w:p>
        </w:tc>
        <w:tc>
          <w:tcPr>
            <w:tcW w:w="794" w:type="dxa"/>
            <w:tcBorders>
              <w:top w:val="nil"/>
              <w:left w:val="nil"/>
              <w:bottom w:val="single" w:sz="4" w:space="0" w:color="auto"/>
              <w:right w:val="single" w:sz="4" w:space="0" w:color="auto"/>
            </w:tcBorders>
            <w:shd w:val="clear" w:color="000000" w:fill="F2F2F2"/>
            <w:noWrap/>
            <w:vAlign w:val="center"/>
            <w:hideMark/>
          </w:tcPr>
          <w:p w14:paraId="79AF2DF9" w14:textId="103831D4" w:rsidR="002F1955" w:rsidRPr="002F1955" w:rsidRDefault="002F1955" w:rsidP="002F1955">
            <w:pPr>
              <w:spacing w:after="0" w:line="240" w:lineRule="auto"/>
              <w:ind w:firstLine="0"/>
              <w:jc w:val="center"/>
              <w:rPr>
                <w:rFonts w:eastAsia="Calibri" w:cs="Times New Roman"/>
                <w:color w:val="000000"/>
                <w:sz w:val="20"/>
                <w:szCs w:val="20"/>
              </w:rPr>
            </w:pPr>
            <w:r w:rsidRPr="002F1955">
              <w:rPr>
                <w:color w:val="000000"/>
                <w:sz w:val="20"/>
                <w:szCs w:val="20"/>
              </w:rPr>
              <w:t>23,563</w:t>
            </w:r>
          </w:p>
        </w:tc>
      </w:tr>
    </w:tbl>
    <w:p w14:paraId="3C3F5C8C" w14:textId="361BD31D" w:rsidR="004B5F88" w:rsidRPr="004B5F88" w:rsidRDefault="004B5F88" w:rsidP="004B5F88">
      <w:pPr>
        <w:spacing w:after="200" w:line="240" w:lineRule="auto"/>
        <w:ind w:firstLine="0"/>
        <w:jc w:val="center"/>
        <w:rPr>
          <w:rFonts w:ascii="Times New Roman" w:eastAsia="Calibri" w:hAnsi="Times New Roman" w:cs="Times New Roman"/>
          <w:iCs/>
          <w:color w:val="000000"/>
          <w:szCs w:val="23"/>
        </w:rPr>
      </w:pPr>
      <w:r w:rsidRPr="004B5F88">
        <w:rPr>
          <w:rFonts w:ascii="Times New Roman" w:eastAsia="Calibri" w:hAnsi="Times New Roman" w:cs="Times New Roman"/>
          <w:iCs/>
          <w:color w:val="000000"/>
          <w:szCs w:val="23"/>
        </w:rPr>
        <w:t xml:space="preserve"> (source: own calculations based on the U.S. Survey of Consumer Finances)</w:t>
      </w:r>
    </w:p>
    <w:p w14:paraId="65CE4AE3" w14:textId="77777777" w:rsidR="004B5F88" w:rsidRPr="00051E1D" w:rsidRDefault="004B5F88" w:rsidP="004B5F88">
      <w:pPr>
        <w:jc w:val="center"/>
        <w:rPr>
          <w:rFonts w:ascii="Times New Roman" w:hAnsi="Times New Roman" w:cs="Times New Roman"/>
          <w:sz w:val="20"/>
          <w:szCs w:val="20"/>
        </w:rPr>
      </w:pPr>
      <w:r w:rsidRPr="00051E1D">
        <w:rPr>
          <w:rFonts w:ascii="Times New Roman" w:hAnsi="Times New Roman" w:cs="Times New Roman"/>
          <w:b/>
          <w:sz w:val="20"/>
          <w:szCs w:val="20"/>
        </w:rPr>
        <w:t>Notes</w:t>
      </w:r>
      <w:r w:rsidRPr="00051E1D">
        <w:rPr>
          <w:rFonts w:ascii="Times New Roman" w:hAnsi="Times New Roman" w:cs="Times New Roman"/>
          <w:sz w:val="20"/>
          <w:szCs w:val="20"/>
        </w:rPr>
        <w:t>: Italics indicate that the Theil-Sen median slope is not statistically different from zero.</w:t>
      </w:r>
      <w:r>
        <w:rPr>
          <w:rFonts w:ascii="Times New Roman" w:hAnsi="Times New Roman" w:cs="Times New Roman"/>
          <w:sz w:val="20"/>
          <w:szCs w:val="20"/>
        </w:rPr>
        <w:t xml:space="preserve"> Underlined estimates indicate overlapping confidence intervals.</w:t>
      </w:r>
    </w:p>
    <w:p w14:paraId="0A4885CD" w14:textId="1765ECEF" w:rsidR="004B5F88" w:rsidRDefault="004B5F88" w:rsidP="009E5822">
      <w:pPr>
        <w:rPr>
          <w:rFonts w:ascii="Times New Roman" w:hAnsi="Times New Roman" w:cs="Times New Roman"/>
        </w:rPr>
        <w:sectPr w:rsidR="004B5F88" w:rsidSect="004B5F88">
          <w:pgSz w:w="16840" w:h="11900" w:orient="landscape"/>
          <w:pgMar w:top="720" w:right="720" w:bottom="720" w:left="720" w:header="708" w:footer="708" w:gutter="0"/>
          <w:cols w:space="708"/>
          <w:docGrid w:linePitch="360"/>
        </w:sectPr>
      </w:pPr>
    </w:p>
    <w:bookmarkEnd w:id="2"/>
    <w:bookmarkEnd w:id="3"/>
    <w:p w14:paraId="1870DE8F" w14:textId="7D5D5936" w:rsidR="00401C40" w:rsidRPr="006E4364" w:rsidRDefault="00401C40" w:rsidP="00401C40">
      <w:pPr>
        <w:pStyle w:val="MyHeading2"/>
        <w:numPr>
          <w:ilvl w:val="1"/>
          <w:numId w:val="2"/>
        </w:numPr>
        <w:ind w:left="426"/>
      </w:pPr>
      <w:r w:rsidRPr="00401C40">
        <w:lastRenderedPageBreak/>
        <w:t>Results</w:t>
      </w:r>
      <w:r w:rsidRPr="006E4364">
        <w:t xml:space="preserve"> by </w:t>
      </w:r>
      <w:r>
        <w:t xml:space="preserve">cohort </w:t>
      </w:r>
    </w:p>
    <w:p w14:paraId="2EAFA161" w14:textId="5D0F27FE" w:rsidR="00B964DD" w:rsidRDefault="00A13BA8" w:rsidP="00CA0E44">
      <w:pPr>
        <w:ind w:firstLine="0"/>
        <w:rPr>
          <w:rFonts w:ascii="Times New Roman" w:hAnsi="Times New Roman" w:cs="Times New Roman"/>
        </w:rPr>
      </w:pPr>
      <w:r>
        <w:rPr>
          <w:rFonts w:ascii="Times New Roman" w:hAnsi="Times New Roman" w:cs="Times New Roman"/>
        </w:rPr>
        <w:t>The Great Recession brought intergenerational differences in the standards of living</w:t>
      </w:r>
      <w:r w:rsidR="009B4069">
        <w:rPr>
          <w:rFonts w:ascii="Times New Roman" w:hAnsi="Times New Roman" w:cs="Times New Roman"/>
        </w:rPr>
        <w:t xml:space="preserve"> to the forefront of public debate. </w:t>
      </w:r>
      <w:r w:rsidR="00A83E55">
        <w:rPr>
          <w:rFonts w:ascii="Times New Roman" w:hAnsi="Times New Roman" w:cs="Times New Roman"/>
        </w:rPr>
        <w:t>The generation of millennials</w:t>
      </w:r>
      <w:r w:rsidR="0080111C">
        <w:rPr>
          <w:rStyle w:val="FootnoteReference"/>
        </w:rPr>
        <w:footnoteReference w:id="20"/>
      </w:r>
      <w:r w:rsidR="00A83E55">
        <w:rPr>
          <w:rFonts w:ascii="Times New Roman" w:hAnsi="Times New Roman" w:cs="Times New Roman"/>
        </w:rPr>
        <w:t xml:space="preserve"> has reportedly faced </w:t>
      </w:r>
      <w:r w:rsidR="00B964DD">
        <w:rPr>
          <w:rFonts w:ascii="Times New Roman" w:hAnsi="Times New Roman" w:cs="Times New Roman"/>
        </w:rPr>
        <w:t>worse</w:t>
      </w:r>
      <w:r w:rsidR="009B4069">
        <w:rPr>
          <w:rFonts w:ascii="Times New Roman" w:hAnsi="Times New Roman" w:cs="Times New Roman"/>
        </w:rPr>
        <w:t xml:space="preserve"> </w:t>
      </w:r>
      <w:r w:rsidR="00A83E55">
        <w:rPr>
          <w:rFonts w:ascii="Times New Roman" w:hAnsi="Times New Roman" w:cs="Times New Roman"/>
        </w:rPr>
        <w:t>income and wealth accumulation prospects compared to baby boomers</w:t>
      </w:r>
      <w:r w:rsidR="0080111C">
        <w:rPr>
          <w:rStyle w:val="FootnoteReference"/>
        </w:rPr>
        <w:footnoteReference w:id="21"/>
      </w:r>
      <w:r w:rsidR="009B4069">
        <w:rPr>
          <w:rFonts w:ascii="Times New Roman" w:hAnsi="Times New Roman" w:cs="Times New Roman"/>
        </w:rPr>
        <w:t xml:space="preserve">, driven by different institutional and policy context in which each generation has grown up (Taylor and Pew Research </w:t>
      </w:r>
      <w:proofErr w:type="spellStart"/>
      <w:r w:rsidR="009B4069">
        <w:rPr>
          <w:rFonts w:ascii="Times New Roman" w:hAnsi="Times New Roman" w:cs="Times New Roman"/>
        </w:rPr>
        <w:t>Center</w:t>
      </w:r>
      <w:proofErr w:type="spellEnd"/>
      <w:r w:rsidR="009B4069">
        <w:rPr>
          <w:rFonts w:ascii="Times New Roman" w:hAnsi="Times New Roman" w:cs="Times New Roman"/>
        </w:rPr>
        <w:t xml:space="preserve"> 2016). </w:t>
      </w:r>
      <w:r w:rsidR="0080111C">
        <w:rPr>
          <w:rFonts w:ascii="Times New Roman" w:hAnsi="Times New Roman" w:cs="Times New Roman"/>
        </w:rPr>
        <w:t>Baby boomers</w:t>
      </w:r>
      <w:r w:rsidR="00A83E55">
        <w:rPr>
          <w:rFonts w:ascii="Times New Roman" w:hAnsi="Times New Roman" w:cs="Times New Roman"/>
        </w:rPr>
        <w:t xml:space="preserve"> </w:t>
      </w:r>
      <w:r w:rsidR="00B964DD">
        <w:rPr>
          <w:rFonts w:ascii="Times New Roman" w:hAnsi="Times New Roman" w:cs="Times New Roman"/>
        </w:rPr>
        <w:t>grew up in</w:t>
      </w:r>
      <w:r w:rsidR="00A83E55">
        <w:rPr>
          <w:rFonts w:ascii="Times New Roman" w:hAnsi="Times New Roman" w:cs="Times New Roman"/>
        </w:rPr>
        <w:t xml:space="preserve"> </w:t>
      </w:r>
      <w:r w:rsidR="00B964DD">
        <w:rPr>
          <w:rFonts w:ascii="Times New Roman" w:hAnsi="Times New Roman" w:cs="Times New Roman"/>
        </w:rPr>
        <w:t>the Golden Age of economic development</w:t>
      </w:r>
      <w:r w:rsidR="009B4069">
        <w:rPr>
          <w:rFonts w:ascii="Times New Roman" w:hAnsi="Times New Roman" w:cs="Times New Roman"/>
        </w:rPr>
        <w:t xml:space="preserve"> </w:t>
      </w:r>
      <w:r w:rsidR="00B964DD">
        <w:rPr>
          <w:rFonts w:ascii="Times New Roman" w:hAnsi="Times New Roman" w:cs="Times New Roman"/>
        </w:rPr>
        <w:t xml:space="preserve">in the USA, benefiting from stable employment in </w:t>
      </w:r>
      <w:r w:rsidR="002E66D1">
        <w:rPr>
          <w:rFonts w:ascii="Times New Roman" w:hAnsi="Times New Roman" w:cs="Times New Roman"/>
        </w:rPr>
        <w:t xml:space="preserve">the </w:t>
      </w:r>
      <w:r w:rsidR="00B964DD">
        <w:rPr>
          <w:rFonts w:ascii="Times New Roman" w:hAnsi="Times New Roman" w:cs="Times New Roman"/>
        </w:rPr>
        <w:t xml:space="preserve">booming manufacturing sector under the New Deal, </w:t>
      </w:r>
      <w:r w:rsidR="002E66D1">
        <w:rPr>
          <w:rFonts w:ascii="Times New Roman" w:hAnsi="Times New Roman" w:cs="Times New Roman"/>
        </w:rPr>
        <w:t xml:space="preserve">more </w:t>
      </w:r>
      <w:r w:rsidR="00B964DD">
        <w:rPr>
          <w:rFonts w:ascii="Times New Roman" w:hAnsi="Times New Roman" w:cs="Times New Roman"/>
        </w:rPr>
        <w:t xml:space="preserve">generous welfare state, cheaper education, and lower costs of living. </w:t>
      </w:r>
      <w:r w:rsidR="0080111C">
        <w:rPr>
          <w:rFonts w:ascii="Times New Roman" w:hAnsi="Times New Roman" w:cs="Times New Roman"/>
        </w:rPr>
        <w:t>Conversely, m</w:t>
      </w:r>
      <w:r w:rsidR="00B36E5B">
        <w:rPr>
          <w:rFonts w:ascii="Times New Roman" w:hAnsi="Times New Roman" w:cs="Times New Roman"/>
        </w:rPr>
        <w:t>illennials grew up in the period of deregulat</w:t>
      </w:r>
      <w:r w:rsidR="006636CA">
        <w:rPr>
          <w:rFonts w:ascii="Times New Roman" w:hAnsi="Times New Roman" w:cs="Times New Roman"/>
        </w:rPr>
        <w:t>ed</w:t>
      </w:r>
      <w:r w:rsidR="00B36E5B">
        <w:rPr>
          <w:rFonts w:ascii="Times New Roman" w:hAnsi="Times New Roman" w:cs="Times New Roman"/>
        </w:rPr>
        <w:t xml:space="preserve"> labour markets</w:t>
      </w:r>
      <w:r w:rsidR="006636CA">
        <w:rPr>
          <w:rFonts w:ascii="Times New Roman" w:hAnsi="Times New Roman" w:cs="Times New Roman"/>
        </w:rPr>
        <w:t xml:space="preserve"> and</w:t>
      </w:r>
      <w:r w:rsidR="00B36E5B">
        <w:rPr>
          <w:rFonts w:ascii="Times New Roman" w:hAnsi="Times New Roman" w:cs="Times New Roman"/>
        </w:rPr>
        <w:t xml:space="preserve"> rising living costs</w:t>
      </w:r>
      <w:r w:rsidR="006636CA">
        <w:rPr>
          <w:rFonts w:ascii="Times New Roman" w:hAnsi="Times New Roman" w:cs="Times New Roman"/>
        </w:rPr>
        <w:t xml:space="preserve"> due to privatisation of public services</w:t>
      </w:r>
      <w:r w:rsidR="00B36E5B">
        <w:rPr>
          <w:rFonts w:ascii="Times New Roman" w:hAnsi="Times New Roman" w:cs="Times New Roman"/>
        </w:rPr>
        <w:t xml:space="preserve">, and many of them </w:t>
      </w:r>
      <w:r w:rsidR="006636CA">
        <w:rPr>
          <w:rFonts w:ascii="Times New Roman" w:hAnsi="Times New Roman" w:cs="Times New Roman"/>
        </w:rPr>
        <w:t xml:space="preserve">have </w:t>
      </w:r>
      <w:r w:rsidR="00B36E5B">
        <w:rPr>
          <w:rFonts w:ascii="Times New Roman" w:hAnsi="Times New Roman" w:cs="Times New Roman"/>
        </w:rPr>
        <w:t>entered the labour force at the time of the Great Recession</w:t>
      </w:r>
      <w:r w:rsidR="00336133">
        <w:rPr>
          <w:rFonts w:ascii="Times New Roman" w:hAnsi="Times New Roman" w:cs="Times New Roman"/>
        </w:rPr>
        <w:t xml:space="preserve"> (</w:t>
      </w:r>
      <w:proofErr w:type="spellStart"/>
      <w:r w:rsidR="00336133">
        <w:rPr>
          <w:rFonts w:ascii="Times New Roman" w:hAnsi="Times New Roman" w:cs="Times New Roman"/>
        </w:rPr>
        <w:t>Chauvel</w:t>
      </w:r>
      <w:proofErr w:type="spellEnd"/>
      <w:r w:rsidR="00336133">
        <w:rPr>
          <w:rFonts w:ascii="Times New Roman" w:hAnsi="Times New Roman" w:cs="Times New Roman"/>
        </w:rPr>
        <w:t xml:space="preserve"> and </w:t>
      </w:r>
      <w:proofErr w:type="spellStart"/>
      <w:r w:rsidR="00336133" w:rsidRPr="00336133">
        <w:rPr>
          <w:rFonts w:ascii="Times New Roman" w:hAnsi="Times New Roman" w:cs="Times New Roman"/>
        </w:rPr>
        <w:t>Schröder</w:t>
      </w:r>
      <w:proofErr w:type="spellEnd"/>
      <w:r w:rsidR="00336133">
        <w:rPr>
          <w:rFonts w:ascii="Times New Roman" w:hAnsi="Times New Roman" w:cs="Times New Roman"/>
        </w:rPr>
        <w:t xml:space="preserve"> 2014)</w:t>
      </w:r>
      <w:r w:rsidR="00B36E5B">
        <w:rPr>
          <w:rFonts w:ascii="Times New Roman" w:hAnsi="Times New Roman" w:cs="Times New Roman"/>
        </w:rPr>
        <w:t>. These experiences led to lower income and net wealth among this group compared to baby boomers</w:t>
      </w:r>
      <w:r w:rsidR="00225028">
        <w:rPr>
          <w:rFonts w:ascii="Times New Roman" w:hAnsi="Times New Roman" w:cs="Times New Roman"/>
        </w:rPr>
        <w:t xml:space="preserve"> (Bialik and Fry 2019).</w:t>
      </w:r>
      <w:r w:rsidR="00B36E5B">
        <w:rPr>
          <w:rFonts w:ascii="Times New Roman" w:hAnsi="Times New Roman" w:cs="Times New Roman"/>
        </w:rPr>
        <w:t xml:space="preserve"> </w:t>
      </w:r>
      <w:r w:rsidR="00225028">
        <w:rPr>
          <w:rFonts w:ascii="Times New Roman" w:hAnsi="Times New Roman" w:cs="Times New Roman"/>
        </w:rPr>
        <w:t>Nevertheless,</w:t>
      </w:r>
      <w:r w:rsidR="00B36E5B">
        <w:rPr>
          <w:rFonts w:ascii="Times New Roman" w:hAnsi="Times New Roman" w:cs="Times New Roman"/>
        </w:rPr>
        <w:t xml:space="preserve"> some argue that these intergenerational differences are reflective of the more dominant class-based inequalities (</w:t>
      </w:r>
      <w:proofErr w:type="spellStart"/>
      <w:r w:rsidR="00B36E5B">
        <w:rPr>
          <w:rFonts w:ascii="Times New Roman" w:hAnsi="Times New Roman" w:cs="Times New Roman"/>
        </w:rPr>
        <w:t>Christophers</w:t>
      </w:r>
      <w:proofErr w:type="spellEnd"/>
      <w:r w:rsidR="00B36E5B">
        <w:rPr>
          <w:rFonts w:ascii="Times New Roman" w:hAnsi="Times New Roman" w:cs="Times New Roman"/>
        </w:rPr>
        <w:t xml:space="preserve"> 2017).</w:t>
      </w:r>
      <w:r w:rsidR="006636CA">
        <w:rPr>
          <w:rFonts w:ascii="Times New Roman" w:hAnsi="Times New Roman" w:cs="Times New Roman"/>
        </w:rPr>
        <w:t xml:space="preserve"> </w:t>
      </w:r>
    </w:p>
    <w:p w14:paraId="619779DD" w14:textId="182C2FE5" w:rsidR="004B5F88" w:rsidRDefault="006636CA" w:rsidP="00225028">
      <w:pPr>
        <w:rPr>
          <w:rFonts w:ascii="Times New Roman" w:hAnsi="Times New Roman" w:cs="Times New Roman"/>
        </w:rPr>
      </w:pPr>
      <w:r>
        <w:rPr>
          <w:rFonts w:ascii="Times New Roman" w:hAnsi="Times New Roman" w:cs="Times New Roman"/>
        </w:rPr>
        <w:t>Millennials were also a target of subprime lenders before the Great Recession.</w:t>
      </w:r>
      <w:r w:rsidR="002E66D1">
        <w:rPr>
          <w:rFonts w:ascii="Times New Roman" w:hAnsi="Times New Roman" w:cs="Times New Roman"/>
        </w:rPr>
        <w:t xml:space="preserve"> </w:t>
      </w:r>
      <w:r>
        <w:rPr>
          <w:rFonts w:ascii="Times New Roman" w:hAnsi="Times New Roman" w:cs="Times New Roman"/>
        </w:rPr>
        <w:t>In this context, this paper examines whether there are differences in the impact of wealth composition on relative income across generations. Synthetic cohorts are constructed, distinguishing between households headed by baby boomers (born between 1946 and 1964) and households headed by millennials (born between 1980 and 1995</w:t>
      </w:r>
      <w:r>
        <w:rPr>
          <w:rStyle w:val="FootnoteReference"/>
        </w:rPr>
        <w:footnoteReference w:id="22"/>
      </w:r>
      <w:r>
        <w:rPr>
          <w:rFonts w:ascii="Times New Roman" w:hAnsi="Times New Roman" w:cs="Times New Roman"/>
        </w:rPr>
        <w:t>).</w:t>
      </w:r>
      <w:r w:rsidR="00FB7FA5">
        <w:rPr>
          <w:rFonts w:ascii="Times New Roman" w:hAnsi="Times New Roman" w:cs="Times New Roman"/>
        </w:rPr>
        <w:t xml:space="preserve"> </w:t>
      </w:r>
      <w:r w:rsidR="00774966">
        <w:rPr>
          <w:rFonts w:ascii="Times New Roman" w:hAnsi="Times New Roman" w:cs="Times New Roman"/>
        </w:rPr>
        <w:t xml:space="preserve">Table </w:t>
      </w:r>
      <w:r w:rsidR="00F10563">
        <w:rPr>
          <w:rFonts w:ascii="Times New Roman" w:hAnsi="Times New Roman" w:cs="Times New Roman"/>
        </w:rPr>
        <w:t>5</w:t>
      </w:r>
      <w:r w:rsidR="00CA0E44" w:rsidRPr="00E92972">
        <w:rPr>
          <w:rFonts w:ascii="Times New Roman" w:hAnsi="Times New Roman" w:cs="Times New Roman"/>
        </w:rPr>
        <w:t xml:space="preserve"> </w:t>
      </w:r>
      <w:r w:rsidR="00FB7FA5">
        <w:rPr>
          <w:rFonts w:ascii="Times New Roman" w:hAnsi="Times New Roman" w:cs="Times New Roman"/>
        </w:rPr>
        <w:t>shows the Theil-Sen median slope</w:t>
      </w:r>
      <w:r w:rsidR="00CA0E44" w:rsidRPr="00E92972">
        <w:rPr>
          <w:rFonts w:ascii="Times New Roman" w:hAnsi="Times New Roman" w:cs="Times New Roman"/>
        </w:rPr>
        <w:t xml:space="preserve"> results </w:t>
      </w:r>
      <w:r w:rsidR="00FB7FA5">
        <w:rPr>
          <w:rFonts w:ascii="Times New Roman" w:hAnsi="Times New Roman" w:cs="Times New Roman"/>
        </w:rPr>
        <w:t>across these two groups between 2001 and 2013</w:t>
      </w:r>
      <w:r w:rsidR="00FB7FA5">
        <w:rPr>
          <w:rStyle w:val="FootnoteReference"/>
        </w:rPr>
        <w:footnoteReference w:id="23"/>
      </w:r>
      <w:r w:rsidR="00FB7FA5">
        <w:rPr>
          <w:rFonts w:ascii="Times New Roman" w:hAnsi="Times New Roman" w:cs="Times New Roman"/>
        </w:rPr>
        <w:t>.</w:t>
      </w:r>
    </w:p>
    <w:p w14:paraId="23BE045A" w14:textId="00A481A0" w:rsidR="000F0973" w:rsidRDefault="000F0973" w:rsidP="000F0973">
      <w:r>
        <w:t xml:space="preserve">The estimated </w:t>
      </w:r>
      <w:r w:rsidR="002E66D1">
        <w:t>relationships</w:t>
      </w:r>
      <w:r>
        <w:t xml:space="preserve"> between balance sheet composition and position in the income distribution are significantly different between baby boomers and millennials in all years. Millennials tend to observe smaller improvements in relative income compared to baby boomers, particularly in terms of relative holdings of other real estate, business equity, financial investment assets, transaction accounts, and retirement and insurance assets. The median slope of relative holdings of other real estate exceeded 3</w:t>
      </w:r>
      <w:r w:rsidR="0021312A">
        <w:t>.7</w:t>
      </w:r>
      <w:r>
        <w:t xml:space="preserve"> percentage points for baby boomers between 2001 and 2013, rising from </w:t>
      </w:r>
      <w:r w:rsidR="0021312A">
        <w:t>4.37</w:t>
      </w:r>
      <w:r>
        <w:t xml:space="preserve"> in 2001 to 4.</w:t>
      </w:r>
      <w:r w:rsidR="0021312A">
        <w:t>64</w:t>
      </w:r>
      <w:r>
        <w:t xml:space="preserve"> in 2010 and reaching </w:t>
      </w:r>
      <w:r w:rsidR="0021312A">
        <w:t>4.3</w:t>
      </w:r>
      <w:r>
        <w:t xml:space="preserve"> in 2013. </w:t>
      </w:r>
      <w:r w:rsidR="0021312A">
        <w:t>After an initial fall, t</w:t>
      </w:r>
      <w:r>
        <w:t xml:space="preserve">he estimate for millennials increased from </w:t>
      </w:r>
      <w:r w:rsidR="0021312A">
        <w:t>1.46</w:t>
      </w:r>
      <w:r>
        <w:t xml:space="preserve"> to 1.</w:t>
      </w:r>
      <w:r w:rsidR="0021312A">
        <w:t>99</w:t>
      </w:r>
      <w:r>
        <w:t xml:space="preserve"> in that period. Similarly, the median slope of </w:t>
      </w:r>
      <w:r>
        <w:lastRenderedPageBreak/>
        <w:t>relative holdings of retirement and insurance assets also increased over time for millennials, from 0.</w:t>
      </w:r>
      <w:r w:rsidR="0021312A">
        <w:t>2</w:t>
      </w:r>
      <w:r>
        <w:t xml:space="preserve"> in 2001 to 2.</w:t>
      </w:r>
      <w:r w:rsidR="0021312A">
        <w:t>47</w:t>
      </w:r>
      <w:r>
        <w:t xml:space="preserve"> in 2013, with a peak of 3.</w:t>
      </w:r>
      <w:r w:rsidR="0021312A">
        <w:t>55</w:t>
      </w:r>
      <w:r>
        <w:t xml:space="preserve"> in 2004 when the estimate was not significantly different from that of baby boomers. For baby boomers, the estimate rose from 2.3</w:t>
      </w:r>
      <w:r w:rsidR="0021312A">
        <w:t>3</w:t>
      </w:r>
      <w:r>
        <w:t xml:space="preserve"> in 2001 to </w:t>
      </w:r>
      <w:r w:rsidR="0021312A">
        <w:t>2.55</w:t>
      </w:r>
      <w:r>
        <w:t xml:space="preserve"> in 201</w:t>
      </w:r>
      <w:r w:rsidR="0021312A">
        <w:t>3</w:t>
      </w:r>
      <w:r>
        <w:t xml:space="preserve">, </w:t>
      </w:r>
      <w:r w:rsidR="0021312A">
        <w:t>with the highest value of</w:t>
      </w:r>
      <w:r>
        <w:t xml:space="preserve"> 2.</w:t>
      </w:r>
      <w:r w:rsidR="0021312A">
        <w:t>9</w:t>
      </w:r>
      <w:r>
        <w:t xml:space="preserve">2 in </w:t>
      </w:r>
      <w:r w:rsidR="0021312A">
        <w:t>2004</w:t>
      </w:r>
      <w:r>
        <w:t xml:space="preserve">. </w:t>
      </w:r>
    </w:p>
    <w:p w14:paraId="4BB9B0E9" w14:textId="1561DD37" w:rsidR="000F0973" w:rsidRDefault="000F0973" w:rsidP="000F0973">
      <w:r>
        <w:t xml:space="preserve">The largest difference in estimates is observed for the median slope of relative holdings of financial investment assets. The estimate for baby boomers stood at </w:t>
      </w:r>
      <w:r w:rsidR="00406C4E">
        <w:t>5.98</w:t>
      </w:r>
      <w:r>
        <w:t xml:space="preserve"> in </w:t>
      </w:r>
      <w:r w:rsidR="00406C4E">
        <w:t>2001</w:t>
      </w:r>
      <w:r>
        <w:t xml:space="preserve">, increasing to </w:t>
      </w:r>
      <w:r w:rsidR="00406C4E">
        <w:t>8.5</w:t>
      </w:r>
      <w:r>
        <w:t xml:space="preserve"> in </w:t>
      </w:r>
      <w:r w:rsidR="00406C4E">
        <w:t>2007</w:t>
      </w:r>
      <w:r>
        <w:t xml:space="preserve"> before reaching </w:t>
      </w:r>
      <w:r w:rsidR="00406C4E">
        <w:t>6.59</w:t>
      </w:r>
      <w:r>
        <w:t xml:space="preserve"> in 2013. For millennials, the estimate was at just 0.</w:t>
      </w:r>
      <w:r w:rsidR="00406C4E">
        <w:t>79</w:t>
      </w:r>
      <w:r>
        <w:t xml:space="preserve"> in 2001, falling to </w:t>
      </w:r>
      <w:r w:rsidR="00406C4E">
        <w:t>-</w:t>
      </w:r>
      <w:r>
        <w:t>0</w:t>
      </w:r>
      <w:r w:rsidR="00406C4E">
        <w:t>.14</w:t>
      </w:r>
      <w:r>
        <w:t xml:space="preserve"> in 2004 and rising to 1.</w:t>
      </w:r>
      <w:r w:rsidR="00406C4E">
        <w:t>17</w:t>
      </w:r>
      <w:r>
        <w:t xml:space="preserve"> by 2013. Similarly, the median slope of relative holdings of business equity increased for baby boomers from 3.</w:t>
      </w:r>
      <w:r w:rsidR="00406C4E">
        <w:t>20</w:t>
      </w:r>
      <w:r>
        <w:t xml:space="preserve"> in 2001 to </w:t>
      </w:r>
      <w:r w:rsidR="00406C4E">
        <w:t>4.05</w:t>
      </w:r>
      <w:r>
        <w:t xml:space="preserve"> in 2013, with a peak of 4.</w:t>
      </w:r>
      <w:r w:rsidR="00406C4E">
        <w:t>53</w:t>
      </w:r>
      <w:r>
        <w:t xml:space="preserve"> in 2010. </w:t>
      </w:r>
      <w:r w:rsidR="00406C4E">
        <w:t>For millennials</w:t>
      </w:r>
      <w:r>
        <w:t xml:space="preserve">, the estimate </w:t>
      </w:r>
      <w:r w:rsidR="00406C4E">
        <w:t>decreased initially</w:t>
      </w:r>
      <w:r>
        <w:t xml:space="preserve"> from 1.</w:t>
      </w:r>
      <w:r w:rsidR="00406C4E">
        <w:t>09</w:t>
      </w:r>
      <w:r>
        <w:t xml:space="preserve"> in 2001 to 0 in 2004, rising </w:t>
      </w:r>
      <w:r w:rsidR="00406C4E">
        <w:t xml:space="preserve">thereafter to 1.68 in 2013. </w:t>
      </w:r>
      <w:r>
        <w:t xml:space="preserve">For relative holdings of transaction accounts, the median slope </w:t>
      </w:r>
      <w:proofErr w:type="gramStart"/>
      <w:r>
        <w:t>estimate</w:t>
      </w:r>
      <w:proofErr w:type="gramEnd"/>
      <w:r>
        <w:t xml:space="preserve"> for baby boomers increased from </w:t>
      </w:r>
      <w:r w:rsidR="00406C4E">
        <w:t>0.88</w:t>
      </w:r>
      <w:r>
        <w:t xml:space="preserve"> in 2001 to </w:t>
      </w:r>
      <w:r w:rsidR="00406C4E">
        <w:t>3.96</w:t>
      </w:r>
      <w:r>
        <w:t xml:space="preserve"> in 2007, falling to </w:t>
      </w:r>
      <w:r w:rsidR="00406C4E">
        <w:t>1.27</w:t>
      </w:r>
      <w:r>
        <w:t xml:space="preserve"> in 2013. Meanwhile, the estimate for millennials </w:t>
      </w:r>
      <w:r w:rsidR="00406C4E">
        <w:t>was largely</w:t>
      </w:r>
      <w:r>
        <w:t xml:space="preserve"> negative in that period, declining from 0 in 2001 to -0.</w:t>
      </w:r>
      <w:r w:rsidR="00406C4E">
        <w:t>19</w:t>
      </w:r>
      <w:r>
        <w:t xml:space="preserve"> in 2013.</w:t>
      </w:r>
    </w:p>
    <w:p w14:paraId="2DC4A7AC" w14:textId="5C5B312C" w:rsidR="000F0973" w:rsidRDefault="000F0973" w:rsidP="000F0973">
      <w:r>
        <w:t>In contrast, the median slope of relative holdings of primary residence was significantly higher for millennials compared to baby boomers between 2001 and 2013. One percentage point increase in the share of primary residence in total assets was associated with a 0.</w:t>
      </w:r>
      <w:r w:rsidR="00406C4E">
        <w:t>4</w:t>
      </w:r>
      <w:r>
        <w:t xml:space="preserve">7 rise in the </w:t>
      </w:r>
      <w:r w:rsidR="00AE300C">
        <w:t>median income ratio</w:t>
      </w:r>
      <w:r w:rsidR="00406C4E">
        <w:t xml:space="preserve"> for millennials in 2001</w:t>
      </w:r>
      <w:r>
        <w:t>, and this effect increased throughout the Great Recession to 0.</w:t>
      </w:r>
      <w:r w:rsidR="00406C4E">
        <w:t>76</w:t>
      </w:r>
      <w:r>
        <w:t xml:space="preserve"> in 2013. Conversely, the estimate for baby boomers </w:t>
      </w:r>
      <w:r w:rsidR="00406C4E">
        <w:t>stood at</w:t>
      </w:r>
      <w:r>
        <w:t xml:space="preserve"> </w:t>
      </w:r>
      <w:r w:rsidR="00406C4E">
        <w:t xml:space="preserve">0.3 in 2001 but in the remaining years it was not statistically different from zero. </w:t>
      </w:r>
      <w:r>
        <w:t>Moreover, the median slope of relative holdings of vehicles and other non-financial assets was negative for both groups between 2001 and 2013. The estimate was less negative for millennials compared to baby boomers, rising in absolute terms from -0.0</w:t>
      </w:r>
      <w:r w:rsidR="00406C4E">
        <w:t>6</w:t>
      </w:r>
      <w:r>
        <w:t xml:space="preserve"> percentage points in 2004 to -0.3</w:t>
      </w:r>
      <w:r w:rsidR="00406C4E">
        <w:t>6</w:t>
      </w:r>
      <w:r>
        <w:t xml:space="preserve"> in 2013 for the former group and falling from -1.</w:t>
      </w:r>
      <w:r w:rsidR="00406C4E">
        <w:t>49</w:t>
      </w:r>
      <w:r>
        <w:t xml:space="preserve"> in 2001 to -1.2</w:t>
      </w:r>
      <w:r w:rsidR="00406C4E">
        <w:t>8</w:t>
      </w:r>
      <w:r>
        <w:t xml:space="preserve"> in 2013 for baby boomers.</w:t>
      </w:r>
    </w:p>
    <w:p w14:paraId="6C6140D5" w14:textId="4D5730D8" w:rsidR="000F0973" w:rsidRDefault="000F0973" w:rsidP="000F0973">
      <w:r>
        <w:t>The estimates of relative holdings of secured debt are generally higher for baby boomers than for millennials. The median slope of relative holdings of mortgages secured by main residence fluctuated between 0.</w:t>
      </w:r>
      <w:r w:rsidR="00680343">
        <w:t>9</w:t>
      </w:r>
      <w:r>
        <w:t xml:space="preserve"> in 2001 and 0.</w:t>
      </w:r>
      <w:r w:rsidR="00B83384">
        <w:t>63</w:t>
      </w:r>
      <w:r>
        <w:t xml:space="preserve"> in 2010 for baby boomers, reaching 0.</w:t>
      </w:r>
      <w:r w:rsidR="00B83384">
        <w:t>7</w:t>
      </w:r>
      <w:r>
        <w:t xml:space="preserve"> in 2013. For millennials, the estimate increased from 0.</w:t>
      </w:r>
      <w:r w:rsidR="00B83384">
        <w:t>33</w:t>
      </w:r>
      <w:r>
        <w:t xml:space="preserve"> in 2001 to 0.</w:t>
      </w:r>
      <w:r w:rsidR="00B83384">
        <w:t>88</w:t>
      </w:r>
      <w:r>
        <w:t xml:space="preserve"> in 2013</w:t>
      </w:r>
      <w:r w:rsidR="00B83384">
        <w:t>. In contrast to the previous years, t</w:t>
      </w:r>
      <w:r>
        <w:t xml:space="preserve">he median slope </w:t>
      </w:r>
      <w:r w:rsidR="00B83384">
        <w:t>was</w:t>
      </w:r>
      <w:r>
        <w:t xml:space="preserve"> significantly higher for </w:t>
      </w:r>
      <w:r w:rsidR="00B83384">
        <w:t>millennials</w:t>
      </w:r>
      <w:r>
        <w:t xml:space="preserve"> than for baby boomers</w:t>
      </w:r>
      <w:r w:rsidR="00B83384">
        <w:t xml:space="preserve"> in 2010 and 2013</w:t>
      </w:r>
      <w:r>
        <w:t xml:space="preserve">. Moreover, the median slope of relative holdings of debt secured by other real estate was consistently higher for baby boomers in the period, as the estimate increased from </w:t>
      </w:r>
      <w:r w:rsidR="00B83384">
        <w:t>2.41</w:t>
      </w:r>
      <w:r>
        <w:t xml:space="preserve"> in 2001 to </w:t>
      </w:r>
      <w:r w:rsidR="00B83384">
        <w:t>3.24</w:t>
      </w:r>
      <w:r>
        <w:t xml:space="preserve"> in 2010, reaching </w:t>
      </w:r>
      <w:r w:rsidR="00B83384">
        <w:t>2.32</w:t>
      </w:r>
      <w:r>
        <w:t xml:space="preserve"> in 2013. </w:t>
      </w:r>
      <w:r w:rsidR="00B83384">
        <w:t>After an initial fall, t</w:t>
      </w:r>
      <w:r>
        <w:t xml:space="preserve">he estimate for millennials rose from </w:t>
      </w:r>
      <w:r w:rsidR="00B83384">
        <w:t>1.3</w:t>
      </w:r>
      <w:r>
        <w:t xml:space="preserve"> in 2001 to </w:t>
      </w:r>
      <w:r w:rsidR="00B83384">
        <w:t>1</w:t>
      </w:r>
      <w:r>
        <w:t>.</w:t>
      </w:r>
      <w:r w:rsidR="00B83384">
        <w:t>45</w:t>
      </w:r>
      <w:r>
        <w:t xml:space="preserve"> </w:t>
      </w:r>
      <w:r w:rsidR="00B83384">
        <w:t xml:space="preserve">in </w:t>
      </w:r>
      <w:proofErr w:type="gramStart"/>
      <w:r w:rsidR="00B83384">
        <w:t>2010, but</w:t>
      </w:r>
      <w:proofErr w:type="gramEnd"/>
      <w:r w:rsidR="00B83384">
        <w:t xml:space="preserve"> declined to 1.18 </w:t>
      </w:r>
      <w:r>
        <w:t xml:space="preserve">in 2013. Among unsecured debt, the median slope of relative holdings of instalment debt was negative for both groups in the period, with less negative </w:t>
      </w:r>
      <w:r>
        <w:lastRenderedPageBreak/>
        <w:t>values observed for millennials</w:t>
      </w:r>
      <w:r w:rsidR="00B83384">
        <w:t xml:space="preserve"> in all years apart from 2013</w:t>
      </w:r>
      <w:r>
        <w:t>. The estimate stood at -0.</w:t>
      </w:r>
      <w:r w:rsidR="00B83384">
        <w:t>48</w:t>
      </w:r>
      <w:r>
        <w:t xml:space="preserve"> for baby boomers in 2001, falling in absolute terms to -0.4</w:t>
      </w:r>
      <w:r w:rsidR="00B83384">
        <w:t>7</w:t>
      </w:r>
      <w:r>
        <w:t xml:space="preserve"> in 2013, with the highest absolute value of -0.</w:t>
      </w:r>
      <w:r w:rsidR="00B83384">
        <w:t>54</w:t>
      </w:r>
      <w:r>
        <w:t xml:space="preserve"> in 2007. For millennials, the estimate declined from 0 in 2001 to -0.5</w:t>
      </w:r>
      <w:r w:rsidR="00B83384">
        <w:t>9</w:t>
      </w:r>
      <w:r>
        <w:t xml:space="preserve"> in 2013. Moreover, a one percentage point rise in the share of credit card debt in total debt was associated with a </w:t>
      </w:r>
      <w:proofErr w:type="gramStart"/>
      <w:r>
        <w:t>-1.0</w:t>
      </w:r>
      <w:r w:rsidR="00B83384">
        <w:t>8</w:t>
      </w:r>
      <w:r>
        <w:t xml:space="preserve"> percentage</w:t>
      </w:r>
      <w:proofErr w:type="gramEnd"/>
      <w:r>
        <w:t xml:space="preserve"> point </w:t>
      </w:r>
      <w:r w:rsidRPr="00A13973">
        <w:rPr>
          <w:i/>
        </w:rPr>
        <w:t>decline</w:t>
      </w:r>
      <w:r>
        <w:t xml:space="preserve"> in the </w:t>
      </w:r>
      <w:r w:rsidR="00AE300C">
        <w:t>median income ratio</w:t>
      </w:r>
      <w:r>
        <w:t xml:space="preserve"> for baby boomers in 2001 and a 0.</w:t>
      </w:r>
      <w:r w:rsidR="00B83384">
        <w:t>08</w:t>
      </w:r>
      <w:r>
        <w:t xml:space="preserve"> percentage point </w:t>
      </w:r>
      <w:r w:rsidRPr="00613654">
        <w:rPr>
          <w:i/>
        </w:rPr>
        <w:t>increase</w:t>
      </w:r>
      <w:r>
        <w:t xml:space="preserve"> for millennials. The estimate </w:t>
      </w:r>
      <w:r w:rsidR="00B83384">
        <w:t>fell in absolute terms for the baby boomers, from -1.07 in 2004 to -0.47 in 2010, reaching -0.65 in 2013.</w:t>
      </w:r>
      <w:r>
        <w:t xml:space="preserve"> </w:t>
      </w:r>
      <w:r w:rsidR="00B83384">
        <w:t>F</w:t>
      </w:r>
      <w:r>
        <w:t>or millennials the estimate turned negative at -0.</w:t>
      </w:r>
      <w:r w:rsidR="00B83384">
        <w:t>28</w:t>
      </w:r>
      <w:r>
        <w:t xml:space="preserve"> in 2007 </w:t>
      </w:r>
      <w:r w:rsidR="00B83384">
        <w:t xml:space="preserve">but increased </w:t>
      </w:r>
      <w:r>
        <w:t xml:space="preserve">to </w:t>
      </w:r>
      <w:r w:rsidR="00B83384">
        <w:t>+</w:t>
      </w:r>
      <w:r>
        <w:t>0.</w:t>
      </w:r>
      <w:r w:rsidR="00B83384">
        <w:t>28</w:t>
      </w:r>
      <w:r>
        <w:t xml:space="preserve"> </w:t>
      </w:r>
      <w:r w:rsidR="00B83384">
        <w:t>by</w:t>
      </w:r>
      <w:r>
        <w:t xml:space="preserve"> 2013. Lastly, the median slope of relative holdings of other types of debt was significantly higher for baby boomers in all years except for 2001, when estimates were not significantly different, and 2007, when the estimate was higher for millennials. </w:t>
      </w:r>
      <w:r w:rsidR="00B83384">
        <w:t xml:space="preserve">For both groups, the magnitudes of the estimates </w:t>
      </w:r>
      <w:r w:rsidR="00B83384">
        <w:t>in the period</w:t>
      </w:r>
      <w:r w:rsidR="00B83384">
        <w:t xml:space="preserve"> were less than 1 percentage point.</w:t>
      </w:r>
    </w:p>
    <w:p w14:paraId="06B62C59" w14:textId="08CA0B89" w:rsidR="004B5F88" w:rsidRPr="000F0973" w:rsidRDefault="000F0973" w:rsidP="000F0973">
      <w:r>
        <w:t xml:space="preserve">In terms of leverage measures, the estimates tend to be </w:t>
      </w:r>
      <w:r w:rsidR="00B83384">
        <w:t>significantly lower</w:t>
      </w:r>
      <w:r>
        <w:t xml:space="preserve"> for baby boomers </w:t>
      </w:r>
      <w:r w:rsidR="00B83384">
        <w:t>than</w:t>
      </w:r>
      <w:r>
        <w:t xml:space="preserve"> for millennials. </w:t>
      </w:r>
      <w:r w:rsidR="00B83384">
        <w:t>F</w:t>
      </w:r>
      <w:r w:rsidR="00B83384">
        <w:t>or baby boomers</w:t>
      </w:r>
      <w:r w:rsidR="00B83384">
        <w:t>, t</w:t>
      </w:r>
      <w:r>
        <w:t xml:space="preserve">he median slope of debt-service-to-income ratio </w:t>
      </w:r>
      <w:r w:rsidR="003A0823">
        <w:t>decreased initially</w:t>
      </w:r>
      <w:r>
        <w:t xml:space="preserve"> from </w:t>
      </w:r>
      <w:r w:rsidR="00B83384">
        <w:t>24.08</w:t>
      </w:r>
      <w:r>
        <w:t xml:space="preserve"> in 2001</w:t>
      </w:r>
      <w:r w:rsidR="00B83384">
        <w:t xml:space="preserve"> (when the difference between groups was not statistically significant)</w:t>
      </w:r>
      <w:r>
        <w:t xml:space="preserve"> to </w:t>
      </w:r>
      <w:r w:rsidR="00B83384">
        <w:t>0</w:t>
      </w:r>
      <w:r>
        <w:t xml:space="preserve"> in 2007, reaching </w:t>
      </w:r>
      <w:r w:rsidR="003A0823">
        <w:t>49.3</w:t>
      </w:r>
      <w:r>
        <w:t xml:space="preserve"> in 2013. The median slope of debt-to-asset ratio</w:t>
      </w:r>
      <w:r w:rsidR="003A0823">
        <w:t xml:space="preserve"> for this group</w:t>
      </w:r>
      <w:r>
        <w:t xml:space="preserve"> </w:t>
      </w:r>
      <w:r w:rsidR="003A0823">
        <w:t>increased</w:t>
      </w:r>
      <w:r>
        <w:t xml:space="preserve"> in absolute terms from -</w:t>
      </w:r>
      <w:r w:rsidR="003A0823">
        <w:t>0.17</w:t>
      </w:r>
      <w:r>
        <w:t xml:space="preserve"> to -</w:t>
      </w:r>
      <w:r w:rsidR="003A0823">
        <w:t>0.84</w:t>
      </w:r>
      <w:r>
        <w:t xml:space="preserve"> between 2001 and 200</w:t>
      </w:r>
      <w:r w:rsidR="003A0823">
        <w:t>4</w:t>
      </w:r>
      <w:r>
        <w:t xml:space="preserve">, </w:t>
      </w:r>
      <w:r w:rsidR="003A0823">
        <w:t>becoming</w:t>
      </w:r>
      <w:r>
        <w:t xml:space="preserve"> </w:t>
      </w:r>
      <w:r w:rsidR="003A0823">
        <w:t>positive thereafter and reaching 9.41 in 2013.</w:t>
      </w:r>
      <w:r>
        <w:t xml:space="preserve"> The estimate for the debt-to-income ratio for baby boomers fell from </w:t>
      </w:r>
      <w:r w:rsidR="003A0823">
        <w:t>17.3</w:t>
      </w:r>
      <w:r>
        <w:t xml:space="preserve"> in 2001 to </w:t>
      </w:r>
      <w:r w:rsidR="003A0823">
        <w:t>9.46 in 2007</w:t>
      </w:r>
      <w:r>
        <w:t xml:space="preserve">, rising to </w:t>
      </w:r>
      <w:r w:rsidR="003A0823">
        <w:t>14.29</w:t>
      </w:r>
      <w:r>
        <w:t xml:space="preserve"> in 2013. For millennials, the median slope of debt-service-to-income ratio increased consistently over time, from </w:t>
      </w:r>
      <w:r w:rsidR="003A0823">
        <w:t>26.61</w:t>
      </w:r>
      <w:r>
        <w:t xml:space="preserve"> in 2001 to </w:t>
      </w:r>
      <w:r w:rsidR="003A0823">
        <w:t>167.88</w:t>
      </w:r>
      <w:r>
        <w:t xml:space="preserve"> in 2013. </w:t>
      </w:r>
      <w:r w:rsidR="003A0823">
        <w:t>T</w:t>
      </w:r>
      <w:r>
        <w:t xml:space="preserve">he estimate of the debt-to-income ratio rose from </w:t>
      </w:r>
      <w:r w:rsidR="003A0823">
        <w:t>4.85</w:t>
      </w:r>
      <w:r>
        <w:t xml:space="preserve"> in 2001 to </w:t>
      </w:r>
      <w:r w:rsidR="003A0823">
        <w:t>15.12</w:t>
      </w:r>
      <w:r>
        <w:t xml:space="preserve"> in 2007, falling to </w:t>
      </w:r>
      <w:r w:rsidR="003A0823">
        <w:t>13.67</w:t>
      </w:r>
      <w:r>
        <w:t xml:space="preserve"> in 2013. </w:t>
      </w:r>
      <w:r w:rsidR="003A0823">
        <w:t xml:space="preserve">Similarly, </w:t>
      </w:r>
      <w:r w:rsidR="003A0823">
        <w:t>t</w:t>
      </w:r>
      <w:r>
        <w:t xml:space="preserve">he median slope of the debt-to-asset ratio </w:t>
      </w:r>
      <w:r w:rsidR="003A0823">
        <w:t>increased initially from 3.48 in 2001 to 5.61 in 2007 and decreased to 1.91 in 2013.</w:t>
      </w:r>
    </w:p>
    <w:p w14:paraId="77C50E0F" w14:textId="506092DE" w:rsidR="003969F0" w:rsidRDefault="003969F0" w:rsidP="003969F0">
      <w:r>
        <w:t xml:space="preserve">In sum, millennials are found to experience lower gains in relative income </w:t>
      </w:r>
      <w:r w:rsidR="00BC33FC">
        <w:t>compared to baby boomers</w:t>
      </w:r>
      <w:r w:rsidR="00BC33FC">
        <w:t xml:space="preserve"> </w:t>
      </w:r>
      <w:r>
        <w:t xml:space="preserve">from </w:t>
      </w:r>
      <w:r w:rsidR="00BC33FC">
        <w:t xml:space="preserve">relative accumulation of </w:t>
      </w:r>
      <w:r>
        <w:t>financial investment assets, other property, business equity, transaction accounts, retirement and insurance assets</w:t>
      </w:r>
      <w:r w:rsidR="00BC33FC">
        <w:t>, as well as mortgages secured by other real estate and by main residence until 2010</w:t>
      </w:r>
      <w:r>
        <w:t>.</w:t>
      </w:r>
      <w:r w:rsidR="00BC33FC">
        <w:t xml:space="preserve"> In turn, relative income of millennials tends to improve to a larger extent than for baby boomers from increasing relative holdings of credit card debt, leverage, and main residence.</w:t>
      </w:r>
      <w:r w:rsidR="00805102">
        <w:t xml:space="preserve"> H</w:t>
      </w:r>
      <w:r>
        <w:t xml:space="preserve">igher relative gains from relative holdings of primary residence found for millennials suggests a potential source of reducing intergenerational income inequality through increases in homeownership among this group. </w:t>
      </w:r>
    </w:p>
    <w:p w14:paraId="0B7D4836" w14:textId="6047E874" w:rsidR="000F0973" w:rsidRDefault="000F0973" w:rsidP="00CA0E44">
      <w:pPr>
        <w:rPr>
          <w:rFonts w:ascii="Times New Roman" w:hAnsi="Times New Roman" w:cs="Times New Roman"/>
        </w:rPr>
      </w:pPr>
    </w:p>
    <w:p w14:paraId="41AD83C1" w14:textId="77777777" w:rsidR="000F0973" w:rsidRDefault="000F0973" w:rsidP="00CA0E44">
      <w:pPr>
        <w:rPr>
          <w:rFonts w:ascii="Times New Roman" w:hAnsi="Times New Roman" w:cs="Times New Roman"/>
        </w:rPr>
      </w:pPr>
    </w:p>
    <w:p w14:paraId="5E1C43F9" w14:textId="24F45BD6" w:rsidR="000F0973" w:rsidRPr="003969F0" w:rsidRDefault="000F0973" w:rsidP="003969F0">
      <w:pPr>
        <w:rPr>
          <w:rFonts w:ascii="Times New Roman" w:hAnsi="Times New Roman" w:cs="Times New Roman"/>
        </w:rPr>
        <w:sectPr w:rsidR="000F0973" w:rsidRPr="003969F0" w:rsidSect="005634A0">
          <w:pgSz w:w="11900" w:h="16840"/>
          <w:pgMar w:top="1440" w:right="1440" w:bottom="1440" w:left="1440" w:header="708" w:footer="708" w:gutter="0"/>
          <w:cols w:space="708"/>
          <w:docGrid w:linePitch="360"/>
        </w:sectPr>
      </w:pPr>
    </w:p>
    <w:p w14:paraId="0F8F7F66" w14:textId="49E5EA5A" w:rsidR="000F0973" w:rsidRPr="000F0973" w:rsidRDefault="000F0973" w:rsidP="000F0973">
      <w:pPr>
        <w:spacing w:after="0" w:line="240" w:lineRule="auto"/>
        <w:jc w:val="center"/>
        <w:rPr>
          <w:szCs w:val="23"/>
        </w:rPr>
      </w:pPr>
      <w:r w:rsidRPr="000F0973">
        <w:rPr>
          <w:rFonts w:ascii="Times New Roman" w:hAnsi="Times New Roman" w:cs="Times New Roman"/>
          <w:b/>
          <w:color w:val="000000" w:themeColor="text1"/>
          <w:szCs w:val="23"/>
        </w:rPr>
        <w:lastRenderedPageBreak/>
        <w:t xml:space="preserve">Table </w:t>
      </w:r>
      <w:r w:rsidRPr="000F0973">
        <w:rPr>
          <w:rFonts w:ascii="Times New Roman" w:hAnsi="Times New Roman" w:cs="Times New Roman"/>
          <w:b/>
          <w:color w:val="000000" w:themeColor="text1"/>
          <w:szCs w:val="23"/>
        </w:rPr>
        <w:fldChar w:fldCharType="begin"/>
      </w:r>
      <w:r w:rsidRPr="000F0973">
        <w:rPr>
          <w:rFonts w:ascii="Times New Roman" w:hAnsi="Times New Roman" w:cs="Times New Roman"/>
          <w:b/>
          <w:color w:val="000000" w:themeColor="text1"/>
          <w:szCs w:val="23"/>
        </w:rPr>
        <w:instrText xml:space="preserve"> SEQ Table \* ARABIC </w:instrText>
      </w:r>
      <w:r w:rsidRPr="000F0973">
        <w:rPr>
          <w:rFonts w:ascii="Times New Roman" w:hAnsi="Times New Roman" w:cs="Times New Roman"/>
          <w:b/>
          <w:color w:val="000000" w:themeColor="text1"/>
          <w:szCs w:val="23"/>
        </w:rPr>
        <w:fldChar w:fldCharType="separate"/>
      </w:r>
      <w:r w:rsidRPr="000F0973">
        <w:rPr>
          <w:rFonts w:ascii="Times New Roman" w:hAnsi="Times New Roman" w:cs="Times New Roman"/>
          <w:b/>
          <w:noProof/>
          <w:color w:val="000000" w:themeColor="text1"/>
          <w:szCs w:val="23"/>
        </w:rPr>
        <w:t>5</w:t>
      </w:r>
      <w:r w:rsidRPr="000F0973">
        <w:rPr>
          <w:rFonts w:ascii="Times New Roman" w:hAnsi="Times New Roman" w:cs="Times New Roman"/>
          <w:b/>
          <w:color w:val="000000" w:themeColor="text1"/>
          <w:szCs w:val="23"/>
        </w:rPr>
        <w:fldChar w:fldCharType="end"/>
      </w:r>
      <w:r w:rsidRPr="000F0973">
        <w:rPr>
          <w:rFonts w:ascii="Times New Roman" w:hAnsi="Times New Roman" w:cs="Times New Roman"/>
          <w:b/>
          <w:color w:val="000000" w:themeColor="text1"/>
          <w:szCs w:val="23"/>
        </w:rPr>
        <w:t xml:space="preserve">. </w:t>
      </w:r>
      <w:r w:rsidRPr="000F0973">
        <w:rPr>
          <w:rFonts w:ascii="Times New Roman" w:hAnsi="Times New Roman" w:cs="Times New Roman"/>
          <w:color w:val="000000" w:themeColor="text1"/>
          <w:szCs w:val="23"/>
        </w:rPr>
        <w:t xml:space="preserve">Theil-Sen median slope for the </w:t>
      </w:r>
      <w:r w:rsidR="00AE300C">
        <w:rPr>
          <w:rFonts w:ascii="Times New Roman" w:hAnsi="Times New Roman" w:cs="Times New Roman"/>
          <w:color w:val="000000" w:themeColor="text1"/>
          <w:szCs w:val="23"/>
        </w:rPr>
        <w:t>median income ratio</w:t>
      </w:r>
      <w:r w:rsidRPr="000F0973">
        <w:rPr>
          <w:rFonts w:ascii="Times New Roman" w:hAnsi="Times New Roman" w:cs="Times New Roman"/>
          <w:color w:val="000000" w:themeColor="text1"/>
          <w:szCs w:val="23"/>
        </w:rPr>
        <w:t>, by cohort, 1989-2013</w:t>
      </w:r>
    </w:p>
    <w:p w14:paraId="40C47540" w14:textId="77777777" w:rsidR="000F0973" w:rsidRPr="000F0973" w:rsidRDefault="000F0973" w:rsidP="000F0973">
      <w:pPr>
        <w:spacing w:after="200" w:line="240" w:lineRule="auto"/>
        <w:ind w:firstLine="0"/>
        <w:jc w:val="center"/>
        <w:rPr>
          <w:rFonts w:ascii="Times New Roman" w:eastAsia="Calibri" w:hAnsi="Times New Roman" w:cs="Times New Roman"/>
          <w:iCs/>
          <w:color w:val="000000"/>
          <w:szCs w:val="23"/>
        </w:rPr>
      </w:pPr>
      <w:r w:rsidRPr="000F0973">
        <w:rPr>
          <w:rFonts w:ascii="Times New Roman" w:eastAsia="Calibri" w:hAnsi="Times New Roman" w:cs="Times New Roman"/>
          <w:iCs/>
          <w:color w:val="000000"/>
          <w:szCs w:val="23"/>
        </w:rPr>
        <w:t>(source: own calculations based on the U.S. Survey of Consumer Finances)</w:t>
      </w:r>
    </w:p>
    <w:tbl>
      <w:tblPr>
        <w:tblpPr w:leftFromText="181" w:rightFromText="181" w:vertAnchor="page" w:horzAnchor="margin" w:tblpY="2041"/>
        <w:tblW w:w="15559" w:type="dxa"/>
        <w:tblLayout w:type="fixed"/>
        <w:tblLook w:val="04A0" w:firstRow="1" w:lastRow="0" w:firstColumn="1" w:lastColumn="0" w:noHBand="0" w:noVBand="1"/>
      </w:tblPr>
      <w:tblGrid>
        <w:gridCol w:w="2717"/>
        <w:gridCol w:w="1304"/>
        <w:gridCol w:w="1306"/>
        <w:gridCol w:w="1305"/>
        <w:gridCol w:w="1307"/>
        <w:gridCol w:w="1305"/>
        <w:gridCol w:w="1307"/>
        <w:gridCol w:w="1305"/>
        <w:gridCol w:w="1307"/>
        <w:gridCol w:w="1305"/>
        <w:gridCol w:w="1091"/>
      </w:tblGrid>
      <w:tr w:rsidR="000F0973" w:rsidRPr="000F0973" w14:paraId="702AAA12" w14:textId="77777777" w:rsidTr="000F0973">
        <w:trPr>
          <w:trHeight w:val="282"/>
        </w:trPr>
        <w:tc>
          <w:tcPr>
            <w:tcW w:w="2717" w:type="dxa"/>
            <w:vMerge w:val="restart"/>
            <w:tcBorders>
              <w:top w:val="single" w:sz="4" w:space="0" w:color="auto"/>
              <w:left w:val="single" w:sz="4" w:space="0" w:color="auto"/>
              <w:right w:val="single" w:sz="4" w:space="0" w:color="auto"/>
            </w:tcBorders>
            <w:shd w:val="clear" w:color="auto" w:fill="auto"/>
            <w:noWrap/>
            <w:vAlign w:val="bottom"/>
            <w:hideMark/>
          </w:tcPr>
          <w:p w14:paraId="6D6D5352" w14:textId="36474B3C" w:rsidR="000F0973" w:rsidRPr="000F0973" w:rsidRDefault="00AE300C" w:rsidP="000F0973">
            <w:pPr>
              <w:spacing w:after="0" w:line="240" w:lineRule="auto"/>
              <w:ind w:firstLine="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Median income ratio</w:t>
            </w:r>
          </w:p>
          <w:p w14:paraId="16226C33" w14:textId="77777777" w:rsidR="000F0973" w:rsidRPr="000F0973" w:rsidRDefault="000F0973" w:rsidP="000F0973">
            <w:pPr>
              <w:spacing w:after="0" w:line="240" w:lineRule="auto"/>
              <w:ind w:firstLine="0"/>
              <w:jc w:val="left"/>
              <w:rPr>
                <w:rFonts w:ascii="Times New Roman" w:eastAsia="Times New Roman" w:hAnsi="Times New Roman" w:cs="Times New Roman"/>
                <w:b/>
                <w:bCs/>
                <w:color w:val="000000"/>
                <w:sz w:val="20"/>
                <w:szCs w:val="20"/>
              </w:rPr>
            </w:pPr>
            <w:r w:rsidRPr="000F0973">
              <w:rPr>
                <w:rFonts w:ascii="Times New Roman" w:eastAsia="Times New Roman" w:hAnsi="Times New Roman" w:cs="Times New Roman"/>
                <w:color w:val="000000"/>
                <w:sz w:val="20"/>
                <w:szCs w:val="20"/>
              </w:rPr>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9D9A4C" w14:textId="77777777" w:rsidR="000F0973" w:rsidRPr="000F0973" w:rsidRDefault="000F0973" w:rsidP="000F0973">
            <w:pPr>
              <w:spacing w:after="0" w:line="240" w:lineRule="auto"/>
              <w:ind w:firstLine="0"/>
              <w:jc w:val="center"/>
              <w:rPr>
                <w:rFonts w:ascii="Times New Roman" w:eastAsia="Times New Roman" w:hAnsi="Times New Roman" w:cs="Times New Roman"/>
                <w:b/>
                <w:color w:val="000000"/>
                <w:sz w:val="20"/>
                <w:szCs w:val="20"/>
              </w:rPr>
            </w:pPr>
            <w:r w:rsidRPr="000F0973">
              <w:rPr>
                <w:rFonts w:ascii="Times New Roman" w:eastAsia="Times New Roman" w:hAnsi="Times New Roman" w:cs="Times New Roman"/>
                <w:b/>
                <w:color w:val="000000"/>
                <w:sz w:val="20"/>
                <w:szCs w:val="20"/>
              </w:rPr>
              <w:t>2001</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35312C" w14:textId="77777777" w:rsidR="000F0973" w:rsidRPr="000F0973" w:rsidRDefault="000F0973" w:rsidP="000F0973">
            <w:pPr>
              <w:spacing w:after="0" w:line="240" w:lineRule="auto"/>
              <w:ind w:firstLine="0"/>
              <w:jc w:val="center"/>
              <w:rPr>
                <w:rFonts w:ascii="Times New Roman" w:eastAsia="Times New Roman" w:hAnsi="Times New Roman" w:cs="Times New Roman"/>
                <w:b/>
                <w:color w:val="000000"/>
                <w:sz w:val="20"/>
                <w:szCs w:val="20"/>
              </w:rPr>
            </w:pPr>
            <w:r w:rsidRPr="000F0973">
              <w:rPr>
                <w:rFonts w:ascii="Times New Roman" w:eastAsia="Times New Roman" w:hAnsi="Times New Roman" w:cs="Times New Roman"/>
                <w:b/>
                <w:color w:val="000000"/>
                <w:sz w:val="20"/>
                <w:szCs w:val="20"/>
              </w:rPr>
              <w:t>2004</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AC3D79" w14:textId="77777777" w:rsidR="000F0973" w:rsidRPr="000F0973" w:rsidRDefault="000F0973" w:rsidP="000F0973">
            <w:pPr>
              <w:spacing w:after="0" w:line="240" w:lineRule="auto"/>
              <w:ind w:firstLine="0"/>
              <w:jc w:val="center"/>
              <w:rPr>
                <w:rFonts w:ascii="Times New Roman" w:eastAsia="Times New Roman" w:hAnsi="Times New Roman" w:cs="Times New Roman"/>
                <w:b/>
                <w:color w:val="000000"/>
                <w:sz w:val="20"/>
                <w:szCs w:val="20"/>
              </w:rPr>
            </w:pPr>
            <w:r w:rsidRPr="000F0973">
              <w:rPr>
                <w:rFonts w:ascii="Times New Roman" w:eastAsia="Times New Roman" w:hAnsi="Times New Roman" w:cs="Times New Roman"/>
                <w:b/>
                <w:color w:val="000000"/>
                <w:sz w:val="20"/>
                <w:szCs w:val="20"/>
              </w:rPr>
              <w:t>2007</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F38A7" w14:textId="77777777" w:rsidR="000F0973" w:rsidRPr="000F0973" w:rsidRDefault="000F0973" w:rsidP="000F0973">
            <w:pPr>
              <w:spacing w:after="0" w:line="240" w:lineRule="auto"/>
              <w:ind w:firstLine="0"/>
              <w:jc w:val="center"/>
              <w:rPr>
                <w:rFonts w:ascii="Times New Roman" w:eastAsia="Times New Roman" w:hAnsi="Times New Roman" w:cs="Times New Roman"/>
                <w:b/>
                <w:color w:val="000000"/>
                <w:sz w:val="20"/>
                <w:szCs w:val="20"/>
              </w:rPr>
            </w:pPr>
            <w:r w:rsidRPr="000F0973">
              <w:rPr>
                <w:rFonts w:ascii="Times New Roman" w:eastAsia="Times New Roman" w:hAnsi="Times New Roman" w:cs="Times New Roman"/>
                <w:b/>
                <w:color w:val="000000"/>
                <w:sz w:val="20"/>
                <w:szCs w:val="20"/>
              </w:rPr>
              <w:t>2010</w:t>
            </w:r>
          </w:p>
        </w:tc>
        <w:tc>
          <w:tcPr>
            <w:tcW w:w="2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ED3582" w14:textId="77777777" w:rsidR="000F0973" w:rsidRPr="000F0973" w:rsidRDefault="000F0973" w:rsidP="000F0973">
            <w:pPr>
              <w:spacing w:after="0" w:line="240" w:lineRule="auto"/>
              <w:ind w:firstLine="0"/>
              <w:jc w:val="center"/>
              <w:rPr>
                <w:rFonts w:ascii="Times New Roman" w:eastAsia="Times New Roman" w:hAnsi="Times New Roman" w:cs="Times New Roman"/>
                <w:b/>
                <w:color w:val="000000"/>
                <w:sz w:val="20"/>
                <w:szCs w:val="20"/>
              </w:rPr>
            </w:pPr>
            <w:r w:rsidRPr="000F0973">
              <w:rPr>
                <w:rFonts w:ascii="Times New Roman" w:eastAsia="Times New Roman" w:hAnsi="Times New Roman" w:cs="Times New Roman"/>
                <w:b/>
                <w:color w:val="000000"/>
                <w:sz w:val="20"/>
                <w:szCs w:val="20"/>
              </w:rPr>
              <w:t>2013</w:t>
            </w:r>
          </w:p>
        </w:tc>
      </w:tr>
      <w:tr w:rsidR="000F0973" w:rsidRPr="000F0973" w14:paraId="0CCA83B3" w14:textId="77777777" w:rsidTr="000F0973">
        <w:trPr>
          <w:trHeight w:val="282"/>
        </w:trPr>
        <w:tc>
          <w:tcPr>
            <w:tcW w:w="2717" w:type="dxa"/>
            <w:vMerge/>
            <w:tcBorders>
              <w:left w:val="single" w:sz="4" w:space="0" w:color="auto"/>
              <w:bottom w:val="single" w:sz="4" w:space="0" w:color="auto"/>
              <w:right w:val="single" w:sz="4" w:space="0" w:color="auto"/>
            </w:tcBorders>
            <w:shd w:val="clear" w:color="auto" w:fill="auto"/>
            <w:noWrap/>
            <w:vAlign w:val="bottom"/>
            <w:hideMark/>
          </w:tcPr>
          <w:p w14:paraId="2FCB5952" w14:textId="77777777" w:rsidR="000F0973" w:rsidRPr="000F0973" w:rsidRDefault="000F0973" w:rsidP="000F0973">
            <w:pPr>
              <w:spacing w:after="0" w:line="240" w:lineRule="auto"/>
              <w:ind w:firstLine="0"/>
              <w:jc w:val="left"/>
              <w:rPr>
                <w:rFonts w:ascii="Times New Roman" w:eastAsia="Times New Roman" w:hAnsi="Times New Roman" w:cs="Times New Roman"/>
                <w:color w:val="000000"/>
                <w:sz w:val="20"/>
                <w:szCs w:val="20"/>
              </w:rPr>
            </w:pPr>
          </w:p>
        </w:tc>
        <w:tc>
          <w:tcPr>
            <w:tcW w:w="1304" w:type="dxa"/>
            <w:tcBorders>
              <w:top w:val="single" w:sz="4" w:space="0" w:color="auto"/>
              <w:left w:val="nil"/>
              <w:bottom w:val="single" w:sz="4" w:space="0" w:color="auto"/>
              <w:right w:val="nil"/>
            </w:tcBorders>
            <w:shd w:val="clear" w:color="auto" w:fill="auto"/>
            <w:noWrap/>
            <w:vAlign w:val="center"/>
            <w:hideMark/>
          </w:tcPr>
          <w:p w14:paraId="272E5E1B"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Baby boomers</w:t>
            </w:r>
          </w:p>
        </w:tc>
        <w:tc>
          <w:tcPr>
            <w:tcW w:w="1306" w:type="dxa"/>
            <w:tcBorders>
              <w:top w:val="single" w:sz="4" w:space="0" w:color="auto"/>
              <w:left w:val="nil"/>
              <w:bottom w:val="single" w:sz="4" w:space="0" w:color="auto"/>
              <w:right w:val="single" w:sz="4" w:space="0" w:color="auto"/>
            </w:tcBorders>
            <w:shd w:val="clear" w:color="000000" w:fill="F2F2F2"/>
            <w:noWrap/>
            <w:vAlign w:val="center"/>
            <w:hideMark/>
          </w:tcPr>
          <w:p w14:paraId="38DCF7F1"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Millennials</w:t>
            </w:r>
          </w:p>
        </w:tc>
        <w:tc>
          <w:tcPr>
            <w:tcW w:w="1305" w:type="dxa"/>
            <w:tcBorders>
              <w:top w:val="single" w:sz="4" w:space="0" w:color="auto"/>
              <w:left w:val="nil"/>
              <w:bottom w:val="single" w:sz="4" w:space="0" w:color="auto"/>
              <w:right w:val="nil"/>
            </w:tcBorders>
            <w:shd w:val="clear" w:color="auto" w:fill="auto"/>
            <w:noWrap/>
            <w:vAlign w:val="center"/>
            <w:hideMark/>
          </w:tcPr>
          <w:p w14:paraId="1020B2FE"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Baby boomers</w:t>
            </w:r>
          </w:p>
        </w:tc>
        <w:tc>
          <w:tcPr>
            <w:tcW w:w="1307" w:type="dxa"/>
            <w:tcBorders>
              <w:top w:val="single" w:sz="4" w:space="0" w:color="auto"/>
              <w:left w:val="nil"/>
              <w:bottom w:val="single" w:sz="4" w:space="0" w:color="auto"/>
              <w:right w:val="single" w:sz="4" w:space="0" w:color="auto"/>
            </w:tcBorders>
            <w:shd w:val="clear" w:color="000000" w:fill="F2F2F2"/>
            <w:noWrap/>
            <w:vAlign w:val="center"/>
            <w:hideMark/>
          </w:tcPr>
          <w:p w14:paraId="517F76F7"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Millennials</w:t>
            </w:r>
          </w:p>
        </w:tc>
        <w:tc>
          <w:tcPr>
            <w:tcW w:w="1305" w:type="dxa"/>
            <w:tcBorders>
              <w:top w:val="single" w:sz="4" w:space="0" w:color="auto"/>
              <w:left w:val="nil"/>
              <w:bottom w:val="single" w:sz="4" w:space="0" w:color="auto"/>
              <w:right w:val="nil"/>
            </w:tcBorders>
            <w:shd w:val="clear" w:color="auto" w:fill="auto"/>
            <w:noWrap/>
            <w:vAlign w:val="center"/>
            <w:hideMark/>
          </w:tcPr>
          <w:p w14:paraId="2203C084"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Baby boomers</w:t>
            </w:r>
          </w:p>
        </w:tc>
        <w:tc>
          <w:tcPr>
            <w:tcW w:w="1307" w:type="dxa"/>
            <w:tcBorders>
              <w:top w:val="single" w:sz="4" w:space="0" w:color="auto"/>
              <w:left w:val="nil"/>
              <w:bottom w:val="single" w:sz="4" w:space="0" w:color="auto"/>
              <w:right w:val="single" w:sz="4" w:space="0" w:color="auto"/>
            </w:tcBorders>
            <w:shd w:val="clear" w:color="000000" w:fill="F2F2F2"/>
            <w:noWrap/>
            <w:vAlign w:val="center"/>
            <w:hideMark/>
          </w:tcPr>
          <w:p w14:paraId="04FD592E"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Millennials</w:t>
            </w:r>
          </w:p>
        </w:tc>
        <w:tc>
          <w:tcPr>
            <w:tcW w:w="1305" w:type="dxa"/>
            <w:tcBorders>
              <w:top w:val="single" w:sz="4" w:space="0" w:color="auto"/>
              <w:left w:val="nil"/>
              <w:bottom w:val="single" w:sz="4" w:space="0" w:color="auto"/>
              <w:right w:val="nil"/>
            </w:tcBorders>
            <w:shd w:val="clear" w:color="auto" w:fill="auto"/>
            <w:noWrap/>
            <w:vAlign w:val="center"/>
            <w:hideMark/>
          </w:tcPr>
          <w:p w14:paraId="0652E94B"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Baby boomers</w:t>
            </w:r>
          </w:p>
        </w:tc>
        <w:tc>
          <w:tcPr>
            <w:tcW w:w="1307" w:type="dxa"/>
            <w:tcBorders>
              <w:top w:val="single" w:sz="4" w:space="0" w:color="auto"/>
              <w:left w:val="nil"/>
              <w:bottom w:val="single" w:sz="4" w:space="0" w:color="auto"/>
              <w:right w:val="single" w:sz="4" w:space="0" w:color="auto"/>
            </w:tcBorders>
            <w:shd w:val="clear" w:color="000000" w:fill="F2F2F2"/>
            <w:noWrap/>
            <w:vAlign w:val="center"/>
            <w:hideMark/>
          </w:tcPr>
          <w:p w14:paraId="35CCA2D6"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Millennials</w:t>
            </w:r>
          </w:p>
        </w:tc>
        <w:tc>
          <w:tcPr>
            <w:tcW w:w="1305" w:type="dxa"/>
            <w:tcBorders>
              <w:top w:val="single" w:sz="4" w:space="0" w:color="auto"/>
              <w:left w:val="nil"/>
              <w:bottom w:val="single" w:sz="4" w:space="0" w:color="auto"/>
              <w:right w:val="nil"/>
            </w:tcBorders>
            <w:shd w:val="clear" w:color="auto" w:fill="auto"/>
            <w:noWrap/>
            <w:vAlign w:val="center"/>
            <w:hideMark/>
          </w:tcPr>
          <w:p w14:paraId="068FB540"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Baby boomers</w:t>
            </w:r>
          </w:p>
        </w:tc>
        <w:tc>
          <w:tcPr>
            <w:tcW w:w="1091" w:type="dxa"/>
            <w:tcBorders>
              <w:top w:val="single" w:sz="4" w:space="0" w:color="auto"/>
              <w:left w:val="nil"/>
              <w:bottom w:val="single" w:sz="4" w:space="0" w:color="auto"/>
              <w:right w:val="single" w:sz="4" w:space="0" w:color="auto"/>
            </w:tcBorders>
            <w:shd w:val="clear" w:color="000000" w:fill="F2F2F2"/>
            <w:noWrap/>
            <w:vAlign w:val="center"/>
            <w:hideMark/>
          </w:tcPr>
          <w:p w14:paraId="522912FE" w14:textId="77777777" w:rsidR="000F0973" w:rsidRPr="000F0973" w:rsidRDefault="000F0973" w:rsidP="000F0973">
            <w:pPr>
              <w:spacing w:after="0" w:line="240" w:lineRule="auto"/>
              <w:ind w:firstLine="0"/>
              <w:jc w:val="center"/>
              <w:rPr>
                <w:rFonts w:ascii="Times New Roman" w:eastAsia="Times New Roman" w:hAnsi="Times New Roman" w:cs="Times New Roman"/>
                <w:color w:val="000000"/>
                <w:sz w:val="19"/>
                <w:szCs w:val="19"/>
              </w:rPr>
            </w:pPr>
            <w:r w:rsidRPr="000F0973">
              <w:rPr>
                <w:rFonts w:ascii="Times New Roman" w:eastAsia="Times New Roman" w:hAnsi="Times New Roman" w:cs="Times New Roman"/>
                <w:color w:val="000000"/>
                <w:sz w:val="19"/>
                <w:szCs w:val="19"/>
              </w:rPr>
              <w:t>Millennials</w:t>
            </w:r>
          </w:p>
        </w:tc>
      </w:tr>
      <w:tr w:rsidR="000F0973" w:rsidRPr="000F0973" w14:paraId="245C29E7" w14:textId="77777777" w:rsidTr="000F0973">
        <w:trPr>
          <w:trHeight w:val="282"/>
        </w:trPr>
        <w:tc>
          <w:tcPr>
            <w:tcW w:w="15559" w:type="dxa"/>
            <w:gridSpan w:val="11"/>
            <w:tcBorders>
              <w:top w:val="nil"/>
              <w:left w:val="single" w:sz="4" w:space="0" w:color="auto"/>
              <w:bottom w:val="single" w:sz="4" w:space="0" w:color="auto"/>
              <w:right w:val="single" w:sz="4" w:space="0" w:color="auto"/>
            </w:tcBorders>
            <w:shd w:val="clear" w:color="auto" w:fill="auto"/>
            <w:noWrap/>
            <w:vAlign w:val="center"/>
            <w:hideMark/>
          </w:tcPr>
          <w:p w14:paraId="502B334E" w14:textId="77777777" w:rsidR="000F0973" w:rsidRPr="000F0973" w:rsidRDefault="000F0973" w:rsidP="000F0973">
            <w:pPr>
              <w:spacing w:before="80" w:after="2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b/>
                <w:bCs/>
                <w:color w:val="000000"/>
                <w:sz w:val="20"/>
                <w:szCs w:val="20"/>
              </w:rPr>
              <w:t>Share of total assets</w:t>
            </w:r>
          </w:p>
        </w:tc>
      </w:tr>
      <w:tr w:rsidR="00D77F60" w:rsidRPr="000F0973" w14:paraId="425D1DCB" w14:textId="77777777" w:rsidTr="00D77F60">
        <w:trPr>
          <w:trHeight w:val="282"/>
        </w:trPr>
        <w:tc>
          <w:tcPr>
            <w:tcW w:w="2717" w:type="dxa"/>
            <w:tcBorders>
              <w:top w:val="single" w:sz="4" w:space="0" w:color="auto"/>
              <w:left w:val="single" w:sz="4" w:space="0" w:color="auto"/>
              <w:bottom w:val="nil"/>
              <w:right w:val="single" w:sz="4" w:space="0" w:color="auto"/>
            </w:tcBorders>
            <w:shd w:val="clear" w:color="auto" w:fill="auto"/>
            <w:noWrap/>
            <w:vAlign w:val="bottom"/>
            <w:hideMark/>
          </w:tcPr>
          <w:p w14:paraId="7EC05257"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Primary residence</w:t>
            </w:r>
          </w:p>
        </w:tc>
        <w:tc>
          <w:tcPr>
            <w:tcW w:w="1304" w:type="dxa"/>
            <w:tcBorders>
              <w:top w:val="single" w:sz="4" w:space="0" w:color="auto"/>
              <w:left w:val="nil"/>
              <w:bottom w:val="nil"/>
              <w:right w:val="nil"/>
            </w:tcBorders>
            <w:shd w:val="clear" w:color="auto" w:fill="auto"/>
            <w:noWrap/>
            <w:vAlign w:val="center"/>
            <w:hideMark/>
          </w:tcPr>
          <w:p w14:paraId="3323C220" w14:textId="104285E2"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0.30</w:t>
            </w:r>
          </w:p>
        </w:tc>
        <w:tc>
          <w:tcPr>
            <w:tcW w:w="1306" w:type="dxa"/>
            <w:tcBorders>
              <w:top w:val="single" w:sz="4" w:space="0" w:color="auto"/>
              <w:left w:val="nil"/>
              <w:bottom w:val="nil"/>
              <w:right w:val="single" w:sz="4" w:space="0" w:color="auto"/>
            </w:tcBorders>
            <w:shd w:val="clear" w:color="000000" w:fill="F2F2F2"/>
            <w:noWrap/>
            <w:vAlign w:val="center"/>
            <w:hideMark/>
          </w:tcPr>
          <w:p w14:paraId="7DDB1C77" w14:textId="0A996B28"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0.47</w:t>
            </w:r>
          </w:p>
        </w:tc>
        <w:tc>
          <w:tcPr>
            <w:tcW w:w="1305" w:type="dxa"/>
            <w:tcBorders>
              <w:top w:val="single" w:sz="4" w:space="0" w:color="auto"/>
              <w:left w:val="nil"/>
              <w:bottom w:val="nil"/>
              <w:right w:val="nil"/>
            </w:tcBorders>
            <w:shd w:val="clear" w:color="auto" w:fill="auto"/>
            <w:noWrap/>
            <w:vAlign w:val="center"/>
            <w:hideMark/>
          </w:tcPr>
          <w:p w14:paraId="59DFEF13" w14:textId="21089ECD"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0.00</w:t>
            </w:r>
          </w:p>
        </w:tc>
        <w:tc>
          <w:tcPr>
            <w:tcW w:w="1307" w:type="dxa"/>
            <w:tcBorders>
              <w:top w:val="single" w:sz="4" w:space="0" w:color="auto"/>
              <w:left w:val="nil"/>
              <w:bottom w:val="nil"/>
              <w:right w:val="single" w:sz="4" w:space="0" w:color="auto"/>
            </w:tcBorders>
            <w:shd w:val="clear" w:color="000000" w:fill="F2F2F2"/>
            <w:noWrap/>
            <w:vAlign w:val="center"/>
            <w:hideMark/>
          </w:tcPr>
          <w:p w14:paraId="7EE390D4" w14:textId="1AD8A23A"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0.59</w:t>
            </w:r>
          </w:p>
        </w:tc>
        <w:tc>
          <w:tcPr>
            <w:tcW w:w="1305" w:type="dxa"/>
            <w:tcBorders>
              <w:top w:val="single" w:sz="4" w:space="0" w:color="auto"/>
              <w:left w:val="nil"/>
              <w:bottom w:val="nil"/>
              <w:right w:val="nil"/>
            </w:tcBorders>
            <w:shd w:val="clear" w:color="auto" w:fill="auto"/>
            <w:noWrap/>
            <w:vAlign w:val="center"/>
            <w:hideMark/>
          </w:tcPr>
          <w:p w14:paraId="7B38088D" w14:textId="02C077E5"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0.00</w:t>
            </w:r>
          </w:p>
        </w:tc>
        <w:tc>
          <w:tcPr>
            <w:tcW w:w="1307" w:type="dxa"/>
            <w:tcBorders>
              <w:top w:val="single" w:sz="4" w:space="0" w:color="auto"/>
              <w:left w:val="nil"/>
              <w:bottom w:val="nil"/>
              <w:right w:val="single" w:sz="4" w:space="0" w:color="auto"/>
            </w:tcBorders>
            <w:shd w:val="clear" w:color="000000" w:fill="F2F2F2"/>
            <w:noWrap/>
            <w:vAlign w:val="center"/>
            <w:hideMark/>
          </w:tcPr>
          <w:p w14:paraId="2FAD0D06" w14:textId="7EFC5E1A"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0.59</w:t>
            </w:r>
          </w:p>
        </w:tc>
        <w:tc>
          <w:tcPr>
            <w:tcW w:w="1305" w:type="dxa"/>
            <w:tcBorders>
              <w:top w:val="single" w:sz="4" w:space="0" w:color="auto"/>
              <w:left w:val="nil"/>
              <w:bottom w:val="nil"/>
              <w:right w:val="nil"/>
            </w:tcBorders>
            <w:shd w:val="clear" w:color="auto" w:fill="auto"/>
            <w:noWrap/>
            <w:vAlign w:val="center"/>
            <w:hideMark/>
          </w:tcPr>
          <w:p w14:paraId="1CD96624" w14:textId="1BACFBA4"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0.00</w:t>
            </w:r>
          </w:p>
        </w:tc>
        <w:tc>
          <w:tcPr>
            <w:tcW w:w="1307" w:type="dxa"/>
            <w:tcBorders>
              <w:top w:val="single" w:sz="4" w:space="0" w:color="auto"/>
              <w:left w:val="nil"/>
              <w:bottom w:val="nil"/>
              <w:right w:val="single" w:sz="4" w:space="0" w:color="auto"/>
            </w:tcBorders>
            <w:shd w:val="clear" w:color="000000" w:fill="F2F2F2"/>
            <w:noWrap/>
            <w:vAlign w:val="center"/>
            <w:hideMark/>
          </w:tcPr>
          <w:p w14:paraId="5B302714" w14:textId="36C7D74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0.68</w:t>
            </w:r>
          </w:p>
        </w:tc>
        <w:tc>
          <w:tcPr>
            <w:tcW w:w="1305" w:type="dxa"/>
            <w:tcBorders>
              <w:top w:val="single" w:sz="4" w:space="0" w:color="auto"/>
              <w:left w:val="nil"/>
              <w:bottom w:val="nil"/>
              <w:right w:val="nil"/>
            </w:tcBorders>
            <w:shd w:val="clear" w:color="auto" w:fill="auto"/>
            <w:noWrap/>
            <w:vAlign w:val="center"/>
            <w:hideMark/>
          </w:tcPr>
          <w:p w14:paraId="6158065A" w14:textId="0468C540"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0.00</w:t>
            </w:r>
          </w:p>
        </w:tc>
        <w:tc>
          <w:tcPr>
            <w:tcW w:w="1091" w:type="dxa"/>
            <w:tcBorders>
              <w:top w:val="single" w:sz="4" w:space="0" w:color="auto"/>
              <w:left w:val="nil"/>
              <w:bottom w:val="nil"/>
              <w:right w:val="single" w:sz="4" w:space="0" w:color="auto"/>
            </w:tcBorders>
            <w:shd w:val="clear" w:color="000000" w:fill="F2F2F2"/>
            <w:noWrap/>
            <w:vAlign w:val="center"/>
            <w:hideMark/>
          </w:tcPr>
          <w:p w14:paraId="08F88D9B" w14:textId="0D52D057"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0.76</w:t>
            </w:r>
          </w:p>
        </w:tc>
      </w:tr>
      <w:tr w:rsidR="00D77F60" w:rsidRPr="000F0973" w14:paraId="5944EAA5"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094CCE37"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Other property</w:t>
            </w:r>
          </w:p>
        </w:tc>
        <w:tc>
          <w:tcPr>
            <w:tcW w:w="1304" w:type="dxa"/>
            <w:tcBorders>
              <w:top w:val="nil"/>
              <w:left w:val="nil"/>
              <w:bottom w:val="nil"/>
              <w:right w:val="nil"/>
            </w:tcBorders>
            <w:shd w:val="clear" w:color="auto" w:fill="auto"/>
            <w:noWrap/>
            <w:vAlign w:val="center"/>
            <w:hideMark/>
          </w:tcPr>
          <w:p w14:paraId="628FC2CF" w14:textId="0DC25F2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4.37</w:t>
            </w:r>
          </w:p>
        </w:tc>
        <w:tc>
          <w:tcPr>
            <w:tcW w:w="1306" w:type="dxa"/>
            <w:tcBorders>
              <w:top w:val="nil"/>
              <w:left w:val="nil"/>
              <w:bottom w:val="nil"/>
              <w:right w:val="single" w:sz="4" w:space="0" w:color="auto"/>
            </w:tcBorders>
            <w:shd w:val="clear" w:color="000000" w:fill="F2F2F2"/>
            <w:noWrap/>
            <w:vAlign w:val="center"/>
            <w:hideMark/>
          </w:tcPr>
          <w:p w14:paraId="40316D32" w14:textId="04B91DB2"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1.46</w:t>
            </w:r>
          </w:p>
        </w:tc>
        <w:tc>
          <w:tcPr>
            <w:tcW w:w="1305" w:type="dxa"/>
            <w:tcBorders>
              <w:top w:val="nil"/>
              <w:left w:val="nil"/>
              <w:bottom w:val="nil"/>
              <w:right w:val="nil"/>
            </w:tcBorders>
            <w:shd w:val="clear" w:color="auto" w:fill="auto"/>
            <w:noWrap/>
            <w:vAlign w:val="center"/>
            <w:hideMark/>
          </w:tcPr>
          <w:p w14:paraId="4336E384" w14:textId="547A8F1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3.81</w:t>
            </w:r>
          </w:p>
        </w:tc>
        <w:tc>
          <w:tcPr>
            <w:tcW w:w="1307" w:type="dxa"/>
            <w:tcBorders>
              <w:top w:val="nil"/>
              <w:left w:val="nil"/>
              <w:bottom w:val="nil"/>
              <w:right w:val="single" w:sz="4" w:space="0" w:color="auto"/>
            </w:tcBorders>
            <w:shd w:val="clear" w:color="000000" w:fill="F2F2F2"/>
            <w:noWrap/>
            <w:vAlign w:val="center"/>
            <w:hideMark/>
          </w:tcPr>
          <w:p w14:paraId="2BC31C51" w14:textId="47BC9D2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0.40</w:t>
            </w:r>
          </w:p>
        </w:tc>
        <w:tc>
          <w:tcPr>
            <w:tcW w:w="1305" w:type="dxa"/>
            <w:tcBorders>
              <w:top w:val="nil"/>
              <w:left w:val="nil"/>
              <w:bottom w:val="nil"/>
              <w:right w:val="nil"/>
            </w:tcBorders>
            <w:shd w:val="clear" w:color="auto" w:fill="auto"/>
            <w:noWrap/>
            <w:vAlign w:val="center"/>
            <w:hideMark/>
          </w:tcPr>
          <w:p w14:paraId="77220F56" w14:textId="0DB197E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3.72</w:t>
            </w:r>
          </w:p>
        </w:tc>
        <w:tc>
          <w:tcPr>
            <w:tcW w:w="1307" w:type="dxa"/>
            <w:tcBorders>
              <w:top w:val="nil"/>
              <w:left w:val="nil"/>
              <w:bottom w:val="nil"/>
              <w:right w:val="single" w:sz="4" w:space="0" w:color="auto"/>
            </w:tcBorders>
            <w:shd w:val="clear" w:color="000000" w:fill="F2F2F2"/>
            <w:noWrap/>
            <w:vAlign w:val="center"/>
            <w:hideMark/>
          </w:tcPr>
          <w:p w14:paraId="70B3541E" w14:textId="11523C3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1.65</w:t>
            </w:r>
          </w:p>
        </w:tc>
        <w:tc>
          <w:tcPr>
            <w:tcW w:w="1305" w:type="dxa"/>
            <w:tcBorders>
              <w:top w:val="nil"/>
              <w:left w:val="nil"/>
              <w:bottom w:val="nil"/>
              <w:right w:val="nil"/>
            </w:tcBorders>
            <w:shd w:val="clear" w:color="auto" w:fill="auto"/>
            <w:noWrap/>
            <w:vAlign w:val="center"/>
            <w:hideMark/>
          </w:tcPr>
          <w:p w14:paraId="2AAF0919" w14:textId="3B5E57A8"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4.64</w:t>
            </w:r>
          </w:p>
        </w:tc>
        <w:tc>
          <w:tcPr>
            <w:tcW w:w="1307" w:type="dxa"/>
            <w:tcBorders>
              <w:top w:val="nil"/>
              <w:left w:val="nil"/>
              <w:bottom w:val="nil"/>
              <w:right w:val="single" w:sz="4" w:space="0" w:color="auto"/>
            </w:tcBorders>
            <w:shd w:val="clear" w:color="000000" w:fill="F2F2F2"/>
            <w:noWrap/>
            <w:vAlign w:val="center"/>
            <w:hideMark/>
          </w:tcPr>
          <w:p w14:paraId="17FCC3D9" w14:textId="4A54EC7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1.28</w:t>
            </w:r>
          </w:p>
        </w:tc>
        <w:tc>
          <w:tcPr>
            <w:tcW w:w="1305" w:type="dxa"/>
            <w:tcBorders>
              <w:top w:val="nil"/>
              <w:left w:val="nil"/>
              <w:bottom w:val="nil"/>
              <w:right w:val="nil"/>
            </w:tcBorders>
            <w:shd w:val="clear" w:color="auto" w:fill="auto"/>
            <w:noWrap/>
            <w:vAlign w:val="center"/>
            <w:hideMark/>
          </w:tcPr>
          <w:p w14:paraId="56F22569" w14:textId="4E8491A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4.30</w:t>
            </w:r>
          </w:p>
        </w:tc>
        <w:tc>
          <w:tcPr>
            <w:tcW w:w="1091" w:type="dxa"/>
            <w:tcBorders>
              <w:top w:val="nil"/>
              <w:left w:val="nil"/>
              <w:bottom w:val="nil"/>
              <w:right w:val="single" w:sz="4" w:space="0" w:color="auto"/>
            </w:tcBorders>
            <w:shd w:val="clear" w:color="000000" w:fill="F2F2F2"/>
            <w:noWrap/>
            <w:vAlign w:val="center"/>
            <w:hideMark/>
          </w:tcPr>
          <w:p w14:paraId="22921539" w14:textId="35D33CE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1.99</w:t>
            </w:r>
          </w:p>
        </w:tc>
      </w:tr>
      <w:tr w:rsidR="00D77F60" w:rsidRPr="000F0973" w14:paraId="27B2493C"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43EAABF6"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Vehicles and other non-financial assets</w:t>
            </w:r>
          </w:p>
        </w:tc>
        <w:tc>
          <w:tcPr>
            <w:tcW w:w="1304" w:type="dxa"/>
            <w:tcBorders>
              <w:top w:val="nil"/>
              <w:left w:val="nil"/>
              <w:bottom w:val="nil"/>
              <w:right w:val="nil"/>
            </w:tcBorders>
            <w:shd w:val="clear" w:color="auto" w:fill="auto"/>
            <w:noWrap/>
            <w:vAlign w:val="center"/>
            <w:hideMark/>
          </w:tcPr>
          <w:p w14:paraId="1CD3C50D" w14:textId="0DA92BDC"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-1.49</w:t>
            </w:r>
          </w:p>
        </w:tc>
        <w:tc>
          <w:tcPr>
            <w:tcW w:w="1306" w:type="dxa"/>
            <w:tcBorders>
              <w:top w:val="nil"/>
              <w:left w:val="nil"/>
              <w:bottom w:val="nil"/>
              <w:right w:val="single" w:sz="4" w:space="0" w:color="auto"/>
            </w:tcBorders>
            <w:shd w:val="clear" w:color="000000" w:fill="F2F2F2"/>
            <w:noWrap/>
            <w:vAlign w:val="center"/>
            <w:hideMark/>
          </w:tcPr>
          <w:p w14:paraId="033B3E8C" w14:textId="75733F0D"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i/>
                <w:iCs/>
                <w:color w:val="000000"/>
                <w:sz w:val="20"/>
                <w:szCs w:val="20"/>
              </w:rPr>
              <w:t>-0.03</w:t>
            </w:r>
          </w:p>
        </w:tc>
        <w:tc>
          <w:tcPr>
            <w:tcW w:w="1305" w:type="dxa"/>
            <w:tcBorders>
              <w:top w:val="nil"/>
              <w:left w:val="nil"/>
              <w:bottom w:val="nil"/>
              <w:right w:val="nil"/>
            </w:tcBorders>
            <w:shd w:val="clear" w:color="auto" w:fill="auto"/>
            <w:noWrap/>
            <w:vAlign w:val="center"/>
            <w:hideMark/>
          </w:tcPr>
          <w:p w14:paraId="12DB2487" w14:textId="7516BC0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-1.45</w:t>
            </w:r>
          </w:p>
        </w:tc>
        <w:tc>
          <w:tcPr>
            <w:tcW w:w="1307" w:type="dxa"/>
            <w:tcBorders>
              <w:top w:val="nil"/>
              <w:left w:val="nil"/>
              <w:bottom w:val="nil"/>
              <w:right w:val="single" w:sz="4" w:space="0" w:color="auto"/>
            </w:tcBorders>
            <w:shd w:val="clear" w:color="000000" w:fill="F2F2F2"/>
            <w:noWrap/>
            <w:vAlign w:val="center"/>
            <w:hideMark/>
          </w:tcPr>
          <w:p w14:paraId="7C151433" w14:textId="6C617328"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-0.06</w:t>
            </w:r>
          </w:p>
        </w:tc>
        <w:tc>
          <w:tcPr>
            <w:tcW w:w="1305" w:type="dxa"/>
            <w:tcBorders>
              <w:top w:val="nil"/>
              <w:left w:val="nil"/>
              <w:bottom w:val="nil"/>
              <w:right w:val="nil"/>
            </w:tcBorders>
            <w:shd w:val="clear" w:color="auto" w:fill="auto"/>
            <w:noWrap/>
            <w:vAlign w:val="center"/>
            <w:hideMark/>
          </w:tcPr>
          <w:p w14:paraId="4FB4F278" w14:textId="1853447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-1.40</w:t>
            </w:r>
          </w:p>
        </w:tc>
        <w:tc>
          <w:tcPr>
            <w:tcW w:w="1307" w:type="dxa"/>
            <w:tcBorders>
              <w:top w:val="nil"/>
              <w:left w:val="nil"/>
              <w:bottom w:val="nil"/>
              <w:right w:val="single" w:sz="4" w:space="0" w:color="auto"/>
            </w:tcBorders>
            <w:shd w:val="clear" w:color="000000" w:fill="F2F2F2"/>
            <w:noWrap/>
            <w:vAlign w:val="center"/>
            <w:hideMark/>
          </w:tcPr>
          <w:p w14:paraId="6BC6CEDE" w14:textId="46B6FA78"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-0.12</w:t>
            </w:r>
          </w:p>
        </w:tc>
        <w:tc>
          <w:tcPr>
            <w:tcW w:w="1305" w:type="dxa"/>
            <w:tcBorders>
              <w:top w:val="nil"/>
              <w:left w:val="nil"/>
              <w:bottom w:val="nil"/>
              <w:right w:val="nil"/>
            </w:tcBorders>
            <w:shd w:val="clear" w:color="auto" w:fill="auto"/>
            <w:noWrap/>
            <w:vAlign w:val="center"/>
            <w:hideMark/>
          </w:tcPr>
          <w:p w14:paraId="44FAFC5B" w14:textId="2964F36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-1.42</w:t>
            </w:r>
          </w:p>
        </w:tc>
        <w:tc>
          <w:tcPr>
            <w:tcW w:w="1307" w:type="dxa"/>
            <w:tcBorders>
              <w:top w:val="nil"/>
              <w:left w:val="nil"/>
              <w:bottom w:val="nil"/>
              <w:right w:val="single" w:sz="4" w:space="0" w:color="auto"/>
            </w:tcBorders>
            <w:shd w:val="clear" w:color="000000" w:fill="F2F2F2"/>
            <w:noWrap/>
            <w:vAlign w:val="center"/>
            <w:hideMark/>
          </w:tcPr>
          <w:p w14:paraId="6BB00380" w14:textId="23E1B8BC"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-0.19</w:t>
            </w:r>
          </w:p>
        </w:tc>
        <w:tc>
          <w:tcPr>
            <w:tcW w:w="1305" w:type="dxa"/>
            <w:tcBorders>
              <w:top w:val="nil"/>
              <w:left w:val="nil"/>
              <w:bottom w:val="nil"/>
              <w:right w:val="nil"/>
            </w:tcBorders>
            <w:shd w:val="clear" w:color="auto" w:fill="auto"/>
            <w:noWrap/>
            <w:vAlign w:val="center"/>
            <w:hideMark/>
          </w:tcPr>
          <w:p w14:paraId="5A833A89" w14:textId="23F82F8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-1.28</w:t>
            </w:r>
          </w:p>
        </w:tc>
        <w:tc>
          <w:tcPr>
            <w:tcW w:w="1091" w:type="dxa"/>
            <w:tcBorders>
              <w:top w:val="nil"/>
              <w:left w:val="nil"/>
              <w:bottom w:val="nil"/>
              <w:right w:val="single" w:sz="4" w:space="0" w:color="auto"/>
            </w:tcBorders>
            <w:shd w:val="clear" w:color="000000" w:fill="F2F2F2"/>
            <w:noWrap/>
            <w:vAlign w:val="center"/>
            <w:hideMark/>
          </w:tcPr>
          <w:p w14:paraId="77698F7B" w14:textId="082B70AA"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-0.36</w:t>
            </w:r>
          </w:p>
        </w:tc>
      </w:tr>
      <w:tr w:rsidR="00D77F60" w:rsidRPr="000F0973" w14:paraId="4454939B"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7DB05DD5"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Business equity</w:t>
            </w:r>
          </w:p>
        </w:tc>
        <w:tc>
          <w:tcPr>
            <w:tcW w:w="1304" w:type="dxa"/>
            <w:tcBorders>
              <w:top w:val="nil"/>
              <w:left w:val="nil"/>
              <w:bottom w:val="nil"/>
              <w:right w:val="nil"/>
            </w:tcBorders>
            <w:shd w:val="clear" w:color="auto" w:fill="auto"/>
            <w:noWrap/>
            <w:vAlign w:val="center"/>
            <w:hideMark/>
          </w:tcPr>
          <w:p w14:paraId="720CA8D1" w14:textId="2F9DE1C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3.20</w:t>
            </w:r>
          </w:p>
        </w:tc>
        <w:tc>
          <w:tcPr>
            <w:tcW w:w="1306" w:type="dxa"/>
            <w:tcBorders>
              <w:top w:val="nil"/>
              <w:left w:val="nil"/>
              <w:bottom w:val="nil"/>
              <w:right w:val="single" w:sz="4" w:space="0" w:color="auto"/>
            </w:tcBorders>
            <w:shd w:val="clear" w:color="000000" w:fill="F2F2F2"/>
            <w:noWrap/>
            <w:vAlign w:val="center"/>
            <w:hideMark/>
          </w:tcPr>
          <w:p w14:paraId="6AB53E41" w14:textId="7D7ED278"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1.09</w:t>
            </w:r>
          </w:p>
        </w:tc>
        <w:tc>
          <w:tcPr>
            <w:tcW w:w="1305" w:type="dxa"/>
            <w:tcBorders>
              <w:top w:val="nil"/>
              <w:left w:val="nil"/>
              <w:bottom w:val="nil"/>
              <w:right w:val="nil"/>
            </w:tcBorders>
            <w:shd w:val="clear" w:color="auto" w:fill="auto"/>
            <w:noWrap/>
            <w:vAlign w:val="center"/>
            <w:hideMark/>
          </w:tcPr>
          <w:p w14:paraId="462225D8" w14:textId="6520824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3.36</w:t>
            </w:r>
          </w:p>
        </w:tc>
        <w:tc>
          <w:tcPr>
            <w:tcW w:w="1307" w:type="dxa"/>
            <w:tcBorders>
              <w:top w:val="nil"/>
              <w:left w:val="nil"/>
              <w:bottom w:val="nil"/>
              <w:right w:val="single" w:sz="4" w:space="0" w:color="auto"/>
            </w:tcBorders>
            <w:shd w:val="clear" w:color="000000" w:fill="F2F2F2"/>
            <w:noWrap/>
            <w:vAlign w:val="center"/>
            <w:hideMark/>
          </w:tcPr>
          <w:p w14:paraId="2712AE54" w14:textId="7DF0CD62"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i/>
                <w:iCs/>
                <w:color w:val="000000"/>
                <w:sz w:val="20"/>
                <w:szCs w:val="20"/>
              </w:rPr>
              <w:t>0.06</w:t>
            </w:r>
          </w:p>
        </w:tc>
        <w:tc>
          <w:tcPr>
            <w:tcW w:w="1305" w:type="dxa"/>
            <w:tcBorders>
              <w:top w:val="nil"/>
              <w:left w:val="nil"/>
              <w:bottom w:val="nil"/>
              <w:right w:val="nil"/>
            </w:tcBorders>
            <w:shd w:val="clear" w:color="auto" w:fill="auto"/>
            <w:noWrap/>
            <w:vAlign w:val="center"/>
            <w:hideMark/>
          </w:tcPr>
          <w:p w14:paraId="12B6A4B6" w14:textId="2DB50BF7"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3.86</w:t>
            </w:r>
          </w:p>
        </w:tc>
        <w:tc>
          <w:tcPr>
            <w:tcW w:w="1307" w:type="dxa"/>
            <w:tcBorders>
              <w:top w:val="nil"/>
              <w:left w:val="nil"/>
              <w:bottom w:val="nil"/>
              <w:right w:val="single" w:sz="4" w:space="0" w:color="auto"/>
            </w:tcBorders>
            <w:shd w:val="clear" w:color="000000" w:fill="F2F2F2"/>
            <w:noWrap/>
            <w:vAlign w:val="center"/>
            <w:hideMark/>
          </w:tcPr>
          <w:p w14:paraId="03D98594" w14:textId="21D75B4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1.34</w:t>
            </w:r>
          </w:p>
        </w:tc>
        <w:tc>
          <w:tcPr>
            <w:tcW w:w="1305" w:type="dxa"/>
            <w:tcBorders>
              <w:top w:val="nil"/>
              <w:left w:val="nil"/>
              <w:bottom w:val="nil"/>
              <w:right w:val="nil"/>
            </w:tcBorders>
            <w:shd w:val="clear" w:color="auto" w:fill="auto"/>
            <w:noWrap/>
            <w:vAlign w:val="center"/>
            <w:hideMark/>
          </w:tcPr>
          <w:p w14:paraId="4AE63FBA" w14:textId="79F05DA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4.53</w:t>
            </w:r>
          </w:p>
        </w:tc>
        <w:tc>
          <w:tcPr>
            <w:tcW w:w="1307" w:type="dxa"/>
            <w:tcBorders>
              <w:top w:val="nil"/>
              <w:left w:val="nil"/>
              <w:bottom w:val="nil"/>
              <w:right w:val="single" w:sz="4" w:space="0" w:color="auto"/>
            </w:tcBorders>
            <w:shd w:val="clear" w:color="000000" w:fill="F2F2F2"/>
            <w:noWrap/>
            <w:vAlign w:val="center"/>
            <w:hideMark/>
          </w:tcPr>
          <w:p w14:paraId="7E27AEEA" w14:textId="1ACF9DF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1.34</w:t>
            </w:r>
          </w:p>
        </w:tc>
        <w:tc>
          <w:tcPr>
            <w:tcW w:w="1305" w:type="dxa"/>
            <w:tcBorders>
              <w:top w:val="nil"/>
              <w:left w:val="nil"/>
              <w:bottom w:val="nil"/>
              <w:right w:val="nil"/>
            </w:tcBorders>
            <w:shd w:val="clear" w:color="auto" w:fill="auto"/>
            <w:noWrap/>
            <w:vAlign w:val="center"/>
            <w:hideMark/>
          </w:tcPr>
          <w:p w14:paraId="536E39DF" w14:textId="068FDF2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4.05</w:t>
            </w:r>
          </w:p>
        </w:tc>
        <w:tc>
          <w:tcPr>
            <w:tcW w:w="1091" w:type="dxa"/>
            <w:tcBorders>
              <w:top w:val="nil"/>
              <w:left w:val="nil"/>
              <w:bottom w:val="nil"/>
              <w:right w:val="single" w:sz="4" w:space="0" w:color="auto"/>
            </w:tcBorders>
            <w:shd w:val="clear" w:color="000000" w:fill="F2F2F2"/>
            <w:noWrap/>
            <w:vAlign w:val="center"/>
            <w:hideMark/>
          </w:tcPr>
          <w:p w14:paraId="46AF0B62" w14:textId="7F00E1A2"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1.68</w:t>
            </w:r>
          </w:p>
        </w:tc>
      </w:tr>
      <w:tr w:rsidR="00D77F60" w:rsidRPr="000F0973" w14:paraId="68A586AE"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7BAF7573"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Financial investment assets</w:t>
            </w:r>
          </w:p>
        </w:tc>
        <w:tc>
          <w:tcPr>
            <w:tcW w:w="1304" w:type="dxa"/>
            <w:tcBorders>
              <w:top w:val="nil"/>
              <w:left w:val="nil"/>
              <w:bottom w:val="nil"/>
              <w:right w:val="nil"/>
            </w:tcBorders>
            <w:shd w:val="clear" w:color="auto" w:fill="auto"/>
            <w:noWrap/>
            <w:vAlign w:val="center"/>
            <w:hideMark/>
          </w:tcPr>
          <w:p w14:paraId="1539BC4F" w14:textId="3D8F77CC"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5.98</w:t>
            </w:r>
          </w:p>
        </w:tc>
        <w:tc>
          <w:tcPr>
            <w:tcW w:w="1306" w:type="dxa"/>
            <w:tcBorders>
              <w:top w:val="nil"/>
              <w:left w:val="nil"/>
              <w:bottom w:val="nil"/>
              <w:right w:val="single" w:sz="4" w:space="0" w:color="auto"/>
            </w:tcBorders>
            <w:shd w:val="clear" w:color="000000" w:fill="F2F2F2"/>
            <w:noWrap/>
            <w:vAlign w:val="center"/>
            <w:hideMark/>
          </w:tcPr>
          <w:p w14:paraId="62F9DC2B" w14:textId="72254EC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0.79</w:t>
            </w:r>
          </w:p>
        </w:tc>
        <w:tc>
          <w:tcPr>
            <w:tcW w:w="1305" w:type="dxa"/>
            <w:tcBorders>
              <w:top w:val="nil"/>
              <w:left w:val="nil"/>
              <w:bottom w:val="nil"/>
              <w:right w:val="nil"/>
            </w:tcBorders>
            <w:shd w:val="clear" w:color="auto" w:fill="auto"/>
            <w:noWrap/>
            <w:vAlign w:val="center"/>
            <w:hideMark/>
          </w:tcPr>
          <w:p w14:paraId="268043AD" w14:textId="56B10C8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6.79</w:t>
            </w:r>
          </w:p>
        </w:tc>
        <w:tc>
          <w:tcPr>
            <w:tcW w:w="1307" w:type="dxa"/>
            <w:tcBorders>
              <w:top w:val="nil"/>
              <w:left w:val="nil"/>
              <w:bottom w:val="nil"/>
              <w:right w:val="single" w:sz="4" w:space="0" w:color="auto"/>
            </w:tcBorders>
            <w:shd w:val="clear" w:color="000000" w:fill="F2F2F2"/>
            <w:noWrap/>
            <w:vAlign w:val="center"/>
            <w:hideMark/>
          </w:tcPr>
          <w:p w14:paraId="21B10676" w14:textId="46D97BA2"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color w:val="000000"/>
                <w:sz w:val="20"/>
                <w:szCs w:val="20"/>
              </w:rPr>
              <w:t>-0.14</w:t>
            </w:r>
          </w:p>
        </w:tc>
        <w:tc>
          <w:tcPr>
            <w:tcW w:w="1305" w:type="dxa"/>
            <w:tcBorders>
              <w:top w:val="nil"/>
              <w:left w:val="nil"/>
              <w:bottom w:val="nil"/>
              <w:right w:val="nil"/>
            </w:tcBorders>
            <w:shd w:val="clear" w:color="auto" w:fill="auto"/>
            <w:noWrap/>
            <w:vAlign w:val="center"/>
            <w:hideMark/>
          </w:tcPr>
          <w:p w14:paraId="1F51A2B4" w14:textId="717E594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8.50</w:t>
            </w:r>
          </w:p>
        </w:tc>
        <w:tc>
          <w:tcPr>
            <w:tcW w:w="1307" w:type="dxa"/>
            <w:tcBorders>
              <w:top w:val="nil"/>
              <w:left w:val="nil"/>
              <w:bottom w:val="nil"/>
              <w:right w:val="single" w:sz="4" w:space="0" w:color="auto"/>
            </w:tcBorders>
            <w:shd w:val="clear" w:color="000000" w:fill="F2F2F2"/>
            <w:noWrap/>
            <w:vAlign w:val="center"/>
            <w:hideMark/>
          </w:tcPr>
          <w:p w14:paraId="19DB91F5" w14:textId="19357DF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0.48</w:t>
            </w:r>
          </w:p>
        </w:tc>
        <w:tc>
          <w:tcPr>
            <w:tcW w:w="1305" w:type="dxa"/>
            <w:tcBorders>
              <w:top w:val="nil"/>
              <w:left w:val="nil"/>
              <w:bottom w:val="nil"/>
              <w:right w:val="nil"/>
            </w:tcBorders>
            <w:shd w:val="clear" w:color="auto" w:fill="auto"/>
            <w:noWrap/>
            <w:vAlign w:val="center"/>
            <w:hideMark/>
          </w:tcPr>
          <w:p w14:paraId="177B312F" w14:textId="0D7ED9D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8.18</w:t>
            </w:r>
          </w:p>
        </w:tc>
        <w:tc>
          <w:tcPr>
            <w:tcW w:w="1307" w:type="dxa"/>
            <w:tcBorders>
              <w:top w:val="nil"/>
              <w:left w:val="nil"/>
              <w:bottom w:val="nil"/>
              <w:right w:val="single" w:sz="4" w:space="0" w:color="auto"/>
            </w:tcBorders>
            <w:shd w:val="clear" w:color="000000" w:fill="F2F2F2"/>
            <w:noWrap/>
            <w:vAlign w:val="center"/>
            <w:hideMark/>
          </w:tcPr>
          <w:p w14:paraId="6C1A8EFF" w14:textId="44C60F2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1.05</w:t>
            </w:r>
          </w:p>
        </w:tc>
        <w:tc>
          <w:tcPr>
            <w:tcW w:w="1305" w:type="dxa"/>
            <w:tcBorders>
              <w:top w:val="nil"/>
              <w:left w:val="nil"/>
              <w:bottom w:val="nil"/>
              <w:right w:val="nil"/>
            </w:tcBorders>
            <w:shd w:val="clear" w:color="auto" w:fill="auto"/>
            <w:noWrap/>
            <w:vAlign w:val="center"/>
            <w:hideMark/>
          </w:tcPr>
          <w:p w14:paraId="51ECABF2" w14:textId="7DC1C38A"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6.59</w:t>
            </w:r>
          </w:p>
        </w:tc>
        <w:tc>
          <w:tcPr>
            <w:tcW w:w="1091" w:type="dxa"/>
            <w:tcBorders>
              <w:top w:val="nil"/>
              <w:left w:val="nil"/>
              <w:bottom w:val="nil"/>
              <w:right w:val="single" w:sz="4" w:space="0" w:color="auto"/>
            </w:tcBorders>
            <w:shd w:val="clear" w:color="000000" w:fill="F2F2F2"/>
            <w:noWrap/>
            <w:vAlign w:val="center"/>
            <w:hideMark/>
          </w:tcPr>
          <w:p w14:paraId="7F8D3E8C" w14:textId="3B715AF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1.17</w:t>
            </w:r>
          </w:p>
        </w:tc>
      </w:tr>
      <w:tr w:rsidR="00D77F60" w:rsidRPr="000F0973" w14:paraId="738B2461"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312CAAF0"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Transaction accounts</w:t>
            </w:r>
          </w:p>
        </w:tc>
        <w:tc>
          <w:tcPr>
            <w:tcW w:w="1304" w:type="dxa"/>
            <w:tcBorders>
              <w:top w:val="nil"/>
              <w:left w:val="nil"/>
              <w:bottom w:val="nil"/>
              <w:right w:val="nil"/>
            </w:tcBorders>
            <w:shd w:val="clear" w:color="auto" w:fill="auto"/>
            <w:noWrap/>
            <w:vAlign w:val="center"/>
            <w:hideMark/>
          </w:tcPr>
          <w:p w14:paraId="19A677FB" w14:textId="3F8BAF5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0.88</w:t>
            </w:r>
          </w:p>
        </w:tc>
        <w:tc>
          <w:tcPr>
            <w:tcW w:w="1306" w:type="dxa"/>
            <w:tcBorders>
              <w:top w:val="nil"/>
              <w:left w:val="nil"/>
              <w:bottom w:val="nil"/>
              <w:right w:val="single" w:sz="4" w:space="0" w:color="auto"/>
            </w:tcBorders>
            <w:shd w:val="clear" w:color="000000" w:fill="F2F2F2"/>
            <w:noWrap/>
            <w:vAlign w:val="center"/>
            <w:hideMark/>
          </w:tcPr>
          <w:p w14:paraId="225593E7" w14:textId="474C0E26"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0.00</w:t>
            </w:r>
          </w:p>
        </w:tc>
        <w:tc>
          <w:tcPr>
            <w:tcW w:w="1305" w:type="dxa"/>
            <w:tcBorders>
              <w:top w:val="nil"/>
              <w:left w:val="nil"/>
              <w:bottom w:val="nil"/>
              <w:right w:val="nil"/>
            </w:tcBorders>
            <w:shd w:val="clear" w:color="auto" w:fill="auto"/>
            <w:noWrap/>
            <w:vAlign w:val="center"/>
            <w:hideMark/>
          </w:tcPr>
          <w:p w14:paraId="4817D5D7" w14:textId="430FD9F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2.65</w:t>
            </w:r>
          </w:p>
        </w:tc>
        <w:tc>
          <w:tcPr>
            <w:tcW w:w="1307" w:type="dxa"/>
            <w:tcBorders>
              <w:top w:val="nil"/>
              <w:left w:val="nil"/>
              <w:bottom w:val="nil"/>
              <w:right w:val="single" w:sz="4" w:space="0" w:color="auto"/>
            </w:tcBorders>
            <w:shd w:val="clear" w:color="000000" w:fill="F2F2F2"/>
            <w:noWrap/>
            <w:vAlign w:val="center"/>
            <w:hideMark/>
          </w:tcPr>
          <w:p w14:paraId="5573798A" w14:textId="046950A8"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color w:val="000000"/>
                <w:sz w:val="20"/>
                <w:szCs w:val="20"/>
              </w:rPr>
              <w:t>-0.08</w:t>
            </w:r>
          </w:p>
        </w:tc>
        <w:tc>
          <w:tcPr>
            <w:tcW w:w="1305" w:type="dxa"/>
            <w:tcBorders>
              <w:top w:val="nil"/>
              <w:left w:val="nil"/>
              <w:bottom w:val="nil"/>
              <w:right w:val="nil"/>
            </w:tcBorders>
            <w:shd w:val="clear" w:color="auto" w:fill="auto"/>
            <w:noWrap/>
            <w:vAlign w:val="center"/>
            <w:hideMark/>
          </w:tcPr>
          <w:p w14:paraId="4A0A7434" w14:textId="7D80C14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3.96</w:t>
            </w:r>
          </w:p>
        </w:tc>
        <w:tc>
          <w:tcPr>
            <w:tcW w:w="1307" w:type="dxa"/>
            <w:tcBorders>
              <w:top w:val="nil"/>
              <w:left w:val="nil"/>
              <w:bottom w:val="nil"/>
              <w:right w:val="single" w:sz="4" w:space="0" w:color="auto"/>
            </w:tcBorders>
            <w:shd w:val="clear" w:color="000000" w:fill="F2F2F2"/>
            <w:noWrap/>
            <w:vAlign w:val="center"/>
            <w:hideMark/>
          </w:tcPr>
          <w:p w14:paraId="0E18DD43" w14:textId="217DD752"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0.00</w:t>
            </w:r>
          </w:p>
        </w:tc>
        <w:tc>
          <w:tcPr>
            <w:tcW w:w="1305" w:type="dxa"/>
            <w:tcBorders>
              <w:top w:val="nil"/>
              <w:left w:val="nil"/>
              <w:bottom w:val="nil"/>
              <w:right w:val="nil"/>
            </w:tcBorders>
            <w:shd w:val="clear" w:color="auto" w:fill="auto"/>
            <w:noWrap/>
            <w:vAlign w:val="center"/>
            <w:hideMark/>
          </w:tcPr>
          <w:p w14:paraId="6AED1C2B" w14:textId="4AA29C6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2.47</w:t>
            </w:r>
          </w:p>
        </w:tc>
        <w:tc>
          <w:tcPr>
            <w:tcW w:w="1307" w:type="dxa"/>
            <w:tcBorders>
              <w:top w:val="nil"/>
              <w:left w:val="nil"/>
              <w:bottom w:val="nil"/>
              <w:right w:val="single" w:sz="4" w:space="0" w:color="auto"/>
            </w:tcBorders>
            <w:shd w:val="clear" w:color="000000" w:fill="F2F2F2"/>
            <w:noWrap/>
            <w:vAlign w:val="center"/>
            <w:hideMark/>
          </w:tcPr>
          <w:p w14:paraId="255E8CBE" w14:textId="579DC5EC"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color w:val="000000"/>
                <w:sz w:val="20"/>
                <w:szCs w:val="20"/>
              </w:rPr>
              <w:t>-0.13</w:t>
            </w:r>
          </w:p>
        </w:tc>
        <w:tc>
          <w:tcPr>
            <w:tcW w:w="1305" w:type="dxa"/>
            <w:tcBorders>
              <w:top w:val="nil"/>
              <w:left w:val="nil"/>
              <w:bottom w:val="nil"/>
              <w:right w:val="nil"/>
            </w:tcBorders>
            <w:shd w:val="clear" w:color="auto" w:fill="auto"/>
            <w:noWrap/>
            <w:vAlign w:val="center"/>
            <w:hideMark/>
          </w:tcPr>
          <w:p w14:paraId="374A16E3" w14:textId="6751DC58"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1.27</w:t>
            </w:r>
          </w:p>
        </w:tc>
        <w:tc>
          <w:tcPr>
            <w:tcW w:w="1091" w:type="dxa"/>
            <w:tcBorders>
              <w:top w:val="nil"/>
              <w:left w:val="nil"/>
              <w:bottom w:val="nil"/>
              <w:right w:val="single" w:sz="4" w:space="0" w:color="auto"/>
            </w:tcBorders>
            <w:shd w:val="clear" w:color="000000" w:fill="F2F2F2"/>
            <w:noWrap/>
            <w:vAlign w:val="center"/>
            <w:hideMark/>
          </w:tcPr>
          <w:p w14:paraId="305CCF58" w14:textId="066BF81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-0.19</w:t>
            </w:r>
          </w:p>
        </w:tc>
      </w:tr>
      <w:tr w:rsidR="00D77F60" w:rsidRPr="000F0973" w14:paraId="7D72E425" w14:textId="77777777" w:rsidTr="00D77F60">
        <w:trPr>
          <w:trHeight w:val="282"/>
        </w:trPr>
        <w:tc>
          <w:tcPr>
            <w:tcW w:w="2717" w:type="dxa"/>
            <w:tcBorders>
              <w:top w:val="nil"/>
              <w:left w:val="single" w:sz="4" w:space="0" w:color="auto"/>
              <w:right w:val="single" w:sz="4" w:space="0" w:color="auto"/>
            </w:tcBorders>
            <w:shd w:val="clear" w:color="auto" w:fill="auto"/>
            <w:noWrap/>
            <w:vAlign w:val="bottom"/>
            <w:hideMark/>
          </w:tcPr>
          <w:p w14:paraId="3BFF8D08"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Retirement and insurance assets</w:t>
            </w:r>
          </w:p>
        </w:tc>
        <w:tc>
          <w:tcPr>
            <w:tcW w:w="1304" w:type="dxa"/>
            <w:tcBorders>
              <w:top w:val="nil"/>
              <w:left w:val="nil"/>
              <w:right w:val="nil"/>
            </w:tcBorders>
            <w:shd w:val="clear" w:color="auto" w:fill="auto"/>
            <w:noWrap/>
            <w:vAlign w:val="center"/>
            <w:hideMark/>
          </w:tcPr>
          <w:p w14:paraId="55D2460B" w14:textId="73A3D285"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2.33</w:t>
            </w:r>
          </w:p>
        </w:tc>
        <w:tc>
          <w:tcPr>
            <w:tcW w:w="1306" w:type="dxa"/>
            <w:tcBorders>
              <w:top w:val="nil"/>
              <w:left w:val="nil"/>
              <w:right w:val="single" w:sz="4" w:space="0" w:color="auto"/>
            </w:tcBorders>
            <w:shd w:val="clear" w:color="000000" w:fill="F2F2F2"/>
            <w:noWrap/>
            <w:vAlign w:val="center"/>
            <w:hideMark/>
          </w:tcPr>
          <w:p w14:paraId="7ED6018A" w14:textId="4565947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0.20</w:t>
            </w:r>
          </w:p>
        </w:tc>
        <w:tc>
          <w:tcPr>
            <w:tcW w:w="1305" w:type="dxa"/>
            <w:tcBorders>
              <w:top w:val="nil"/>
              <w:left w:val="nil"/>
              <w:right w:val="nil"/>
            </w:tcBorders>
            <w:shd w:val="clear" w:color="auto" w:fill="auto"/>
            <w:noWrap/>
            <w:vAlign w:val="center"/>
            <w:hideMark/>
          </w:tcPr>
          <w:p w14:paraId="7305FA66" w14:textId="48A74DA3" w:rsidR="00D77F60" w:rsidRPr="00D77F60" w:rsidRDefault="00D77F60" w:rsidP="00D77F60">
            <w:pPr>
              <w:spacing w:after="0" w:line="240" w:lineRule="auto"/>
              <w:ind w:firstLine="0"/>
              <w:jc w:val="center"/>
              <w:rPr>
                <w:rFonts w:eastAsia="Calibri" w:cs="Times New Roman"/>
                <w:color w:val="000000"/>
                <w:sz w:val="20"/>
                <w:szCs w:val="20"/>
                <w:u w:val="single"/>
              </w:rPr>
            </w:pPr>
            <w:r w:rsidRPr="00D77F60">
              <w:rPr>
                <w:color w:val="000000"/>
                <w:sz w:val="20"/>
                <w:szCs w:val="20"/>
                <w:u w:val="single"/>
              </w:rPr>
              <w:t>2.92</w:t>
            </w:r>
          </w:p>
        </w:tc>
        <w:tc>
          <w:tcPr>
            <w:tcW w:w="1307" w:type="dxa"/>
            <w:tcBorders>
              <w:top w:val="nil"/>
              <w:left w:val="nil"/>
              <w:right w:val="single" w:sz="4" w:space="0" w:color="auto"/>
            </w:tcBorders>
            <w:shd w:val="clear" w:color="000000" w:fill="F2F2F2"/>
            <w:noWrap/>
            <w:vAlign w:val="center"/>
            <w:hideMark/>
          </w:tcPr>
          <w:p w14:paraId="47641137" w14:textId="02246D17" w:rsidR="00D77F60" w:rsidRPr="00D77F60" w:rsidRDefault="00D77F60" w:rsidP="00D77F60">
            <w:pPr>
              <w:spacing w:after="0" w:line="240" w:lineRule="auto"/>
              <w:ind w:firstLine="0"/>
              <w:jc w:val="center"/>
              <w:rPr>
                <w:rFonts w:eastAsia="Calibri" w:cs="Times New Roman"/>
                <w:color w:val="000000"/>
                <w:sz w:val="20"/>
                <w:szCs w:val="20"/>
                <w:u w:val="single"/>
              </w:rPr>
            </w:pPr>
            <w:r w:rsidRPr="00D77F60">
              <w:rPr>
                <w:color w:val="000000"/>
                <w:sz w:val="20"/>
                <w:szCs w:val="20"/>
                <w:u w:val="single"/>
              </w:rPr>
              <w:t>3.55</w:t>
            </w:r>
          </w:p>
        </w:tc>
        <w:tc>
          <w:tcPr>
            <w:tcW w:w="1305" w:type="dxa"/>
            <w:tcBorders>
              <w:top w:val="nil"/>
              <w:left w:val="nil"/>
              <w:right w:val="nil"/>
            </w:tcBorders>
            <w:shd w:val="clear" w:color="auto" w:fill="auto"/>
            <w:noWrap/>
            <w:vAlign w:val="center"/>
            <w:hideMark/>
          </w:tcPr>
          <w:p w14:paraId="64F5560D" w14:textId="3B27C83A"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2.64</w:t>
            </w:r>
          </w:p>
        </w:tc>
        <w:tc>
          <w:tcPr>
            <w:tcW w:w="1307" w:type="dxa"/>
            <w:tcBorders>
              <w:top w:val="nil"/>
              <w:left w:val="nil"/>
              <w:right w:val="single" w:sz="4" w:space="0" w:color="auto"/>
            </w:tcBorders>
            <w:shd w:val="clear" w:color="000000" w:fill="F2F2F2"/>
            <w:noWrap/>
            <w:vAlign w:val="center"/>
            <w:hideMark/>
          </w:tcPr>
          <w:p w14:paraId="32F32038" w14:textId="2CB94DF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1.77</w:t>
            </w:r>
          </w:p>
        </w:tc>
        <w:tc>
          <w:tcPr>
            <w:tcW w:w="1305" w:type="dxa"/>
            <w:tcBorders>
              <w:top w:val="nil"/>
              <w:left w:val="nil"/>
              <w:right w:val="nil"/>
            </w:tcBorders>
            <w:shd w:val="clear" w:color="auto" w:fill="auto"/>
            <w:noWrap/>
            <w:vAlign w:val="center"/>
            <w:hideMark/>
          </w:tcPr>
          <w:p w14:paraId="3427C29C" w14:textId="2685D49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2.81</w:t>
            </w:r>
          </w:p>
        </w:tc>
        <w:tc>
          <w:tcPr>
            <w:tcW w:w="1307" w:type="dxa"/>
            <w:tcBorders>
              <w:top w:val="nil"/>
              <w:left w:val="nil"/>
              <w:right w:val="single" w:sz="4" w:space="0" w:color="auto"/>
            </w:tcBorders>
            <w:shd w:val="clear" w:color="000000" w:fill="F2F2F2"/>
            <w:noWrap/>
            <w:vAlign w:val="center"/>
            <w:hideMark/>
          </w:tcPr>
          <w:p w14:paraId="7461B256" w14:textId="5C4F323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3.10</w:t>
            </w:r>
          </w:p>
        </w:tc>
        <w:tc>
          <w:tcPr>
            <w:tcW w:w="1305" w:type="dxa"/>
            <w:tcBorders>
              <w:top w:val="nil"/>
              <w:left w:val="nil"/>
              <w:right w:val="nil"/>
            </w:tcBorders>
            <w:shd w:val="clear" w:color="auto" w:fill="auto"/>
            <w:noWrap/>
            <w:vAlign w:val="center"/>
            <w:hideMark/>
          </w:tcPr>
          <w:p w14:paraId="63037B03" w14:textId="76DECDC5"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2.55</w:t>
            </w:r>
          </w:p>
        </w:tc>
        <w:tc>
          <w:tcPr>
            <w:tcW w:w="1091" w:type="dxa"/>
            <w:tcBorders>
              <w:top w:val="nil"/>
              <w:left w:val="nil"/>
              <w:right w:val="single" w:sz="4" w:space="0" w:color="auto"/>
            </w:tcBorders>
            <w:shd w:val="clear" w:color="000000" w:fill="F2F2F2"/>
            <w:noWrap/>
            <w:vAlign w:val="center"/>
            <w:hideMark/>
          </w:tcPr>
          <w:p w14:paraId="1792FFFA" w14:textId="0F3DD655"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2.47</w:t>
            </w:r>
          </w:p>
        </w:tc>
      </w:tr>
      <w:tr w:rsidR="00D77F60" w:rsidRPr="000F0973" w14:paraId="4DCE6CA9" w14:textId="77777777" w:rsidTr="00D77F60">
        <w:trPr>
          <w:trHeight w:val="282"/>
        </w:trPr>
        <w:tc>
          <w:tcPr>
            <w:tcW w:w="2717" w:type="dxa"/>
            <w:tcBorders>
              <w:top w:val="nil"/>
              <w:left w:val="single" w:sz="4" w:space="0" w:color="auto"/>
              <w:bottom w:val="single" w:sz="4" w:space="0" w:color="auto"/>
              <w:right w:val="single" w:sz="4" w:space="0" w:color="auto"/>
            </w:tcBorders>
            <w:shd w:val="clear" w:color="auto" w:fill="auto"/>
            <w:noWrap/>
            <w:vAlign w:val="bottom"/>
            <w:hideMark/>
          </w:tcPr>
          <w:p w14:paraId="3BA766D6" w14:textId="77777777" w:rsidR="00D77F60" w:rsidRPr="000F0973" w:rsidRDefault="00D77F60" w:rsidP="00D77F60">
            <w:pPr>
              <w:spacing w:after="0" w:line="240" w:lineRule="auto"/>
              <w:ind w:firstLine="0"/>
              <w:jc w:val="righ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N</w:t>
            </w:r>
          </w:p>
        </w:tc>
        <w:tc>
          <w:tcPr>
            <w:tcW w:w="1304" w:type="dxa"/>
            <w:tcBorders>
              <w:top w:val="nil"/>
              <w:left w:val="nil"/>
              <w:bottom w:val="single" w:sz="4" w:space="0" w:color="auto"/>
              <w:right w:val="nil"/>
            </w:tcBorders>
            <w:shd w:val="clear" w:color="auto" w:fill="auto"/>
            <w:noWrap/>
            <w:vAlign w:val="center"/>
            <w:hideMark/>
          </w:tcPr>
          <w:p w14:paraId="20210246" w14:textId="04A2724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9,611</w:t>
            </w:r>
          </w:p>
        </w:tc>
        <w:tc>
          <w:tcPr>
            <w:tcW w:w="1306" w:type="dxa"/>
            <w:tcBorders>
              <w:top w:val="nil"/>
              <w:left w:val="nil"/>
              <w:bottom w:val="single" w:sz="4" w:space="0" w:color="auto"/>
              <w:right w:val="single" w:sz="4" w:space="0" w:color="auto"/>
            </w:tcBorders>
            <w:shd w:val="clear" w:color="000000" w:fill="F2F2F2"/>
            <w:noWrap/>
            <w:vAlign w:val="center"/>
            <w:hideMark/>
          </w:tcPr>
          <w:p w14:paraId="2D610BCD" w14:textId="1E6171B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285</w:t>
            </w:r>
          </w:p>
        </w:tc>
        <w:tc>
          <w:tcPr>
            <w:tcW w:w="1305" w:type="dxa"/>
            <w:tcBorders>
              <w:top w:val="nil"/>
              <w:left w:val="nil"/>
              <w:bottom w:val="single" w:sz="4" w:space="0" w:color="auto"/>
              <w:right w:val="nil"/>
            </w:tcBorders>
            <w:shd w:val="clear" w:color="auto" w:fill="auto"/>
            <w:noWrap/>
            <w:vAlign w:val="center"/>
            <w:hideMark/>
          </w:tcPr>
          <w:p w14:paraId="7F0E7F2D" w14:textId="77AF189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9,788</w:t>
            </w:r>
          </w:p>
        </w:tc>
        <w:tc>
          <w:tcPr>
            <w:tcW w:w="1307" w:type="dxa"/>
            <w:tcBorders>
              <w:top w:val="nil"/>
              <w:left w:val="nil"/>
              <w:bottom w:val="single" w:sz="4" w:space="0" w:color="auto"/>
              <w:right w:val="single" w:sz="4" w:space="0" w:color="auto"/>
            </w:tcBorders>
            <w:shd w:val="clear" w:color="000000" w:fill="F2F2F2"/>
            <w:noWrap/>
            <w:vAlign w:val="center"/>
            <w:hideMark/>
          </w:tcPr>
          <w:p w14:paraId="6A31DB07" w14:textId="4038BA7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843</w:t>
            </w:r>
          </w:p>
        </w:tc>
        <w:tc>
          <w:tcPr>
            <w:tcW w:w="1305" w:type="dxa"/>
            <w:tcBorders>
              <w:top w:val="nil"/>
              <w:left w:val="nil"/>
              <w:bottom w:val="single" w:sz="4" w:space="0" w:color="auto"/>
              <w:right w:val="nil"/>
            </w:tcBorders>
            <w:shd w:val="clear" w:color="auto" w:fill="auto"/>
            <w:noWrap/>
            <w:vAlign w:val="center"/>
            <w:hideMark/>
          </w:tcPr>
          <w:p w14:paraId="15AC9B26" w14:textId="37BAC8B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9,283</w:t>
            </w:r>
          </w:p>
        </w:tc>
        <w:tc>
          <w:tcPr>
            <w:tcW w:w="1307" w:type="dxa"/>
            <w:tcBorders>
              <w:top w:val="nil"/>
              <w:left w:val="nil"/>
              <w:bottom w:val="single" w:sz="4" w:space="0" w:color="auto"/>
              <w:right w:val="single" w:sz="4" w:space="0" w:color="auto"/>
            </w:tcBorders>
            <w:shd w:val="clear" w:color="000000" w:fill="F2F2F2"/>
            <w:noWrap/>
            <w:vAlign w:val="center"/>
            <w:hideMark/>
          </w:tcPr>
          <w:p w14:paraId="19C8C119" w14:textId="7C4C8F3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1,435</w:t>
            </w:r>
          </w:p>
        </w:tc>
        <w:tc>
          <w:tcPr>
            <w:tcW w:w="1305" w:type="dxa"/>
            <w:tcBorders>
              <w:top w:val="nil"/>
              <w:left w:val="nil"/>
              <w:bottom w:val="single" w:sz="4" w:space="0" w:color="auto"/>
              <w:right w:val="nil"/>
            </w:tcBorders>
            <w:shd w:val="clear" w:color="auto" w:fill="auto"/>
            <w:noWrap/>
            <w:vAlign w:val="center"/>
            <w:hideMark/>
          </w:tcPr>
          <w:p w14:paraId="45A489B7" w14:textId="530E3777"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13,271</w:t>
            </w:r>
          </w:p>
        </w:tc>
        <w:tc>
          <w:tcPr>
            <w:tcW w:w="1307" w:type="dxa"/>
            <w:tcBorders>
              <w:top w:val="nil"/>
              <w:left w:val="nil"/>
              <w:bottom w:val="single" w:sz="4" w:space="0" w:color="auto"/>
              <w:right w:val="single" w:sz="4" w:space="0" w:color="auto"/>
            </w:tcBorders>
            <w:shd w:val="clear" w:color="000000" w:fill="F2F2F2"/>
            <w:noWrap/>
            <w:vAlign w:val="center"/>
            <w:hideMark/>
          </w:tcPr>
          <w:p w14:paraId="5443FCB5" w14:textId="44E438D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3,520</w:t>
            </w:r>
          </w:p>
        </w:tc>
        <w:tc>
          <w:tcPr>
            <w:tcW w:w="1305" w:type="dxa"/>
            <w:tcBorders>
              <w:top w:val="nil"/>
              <w:left w:val="nil"/>
              <w:bottom w:val="single" w:sz="4" w:space="0" w:color="auto"/>
              <w:right w:val="nil"/>
            </w:tcBorders>
            <w:shd w:val="clear" w:color="auto" w:fill="auto"/>
            <w:noWrap/>
            <w:vAlign w:val="center"/>
            <w:hideMark/>
          </w:tcPr>
          <w:p w14:paraId="4F4293AE" w14:textId="66C0951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12,035</w:t>
            </w:r>
          </w:p>
        </w:tc>
        <w:tc>
          <w:tcPr>
            <w:tcW w:w="1091" w:type="dxa"/>
            <w:tcBorders>
              <w:top w:val="nil"/>
              <w:left w:val="nil"/>
              <w:bottom w:val="single" w:sz="4" w:space="0" w:color="auto"/>
              <w:right w:val="single" w:sz="4" w:space="0" w:color="auto"/>
            </w:tcBorders>
            <w:shd w:val="clear" w:color="000000" w:fill="F2F2F2"/>
            <w:noWrap/>
            <w:vAlign w:val="center"/>
            <w:hideMark/>
          </w:tcPr>
          <w:p w14:paraId="48285194" w14:textId="11DA72D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4,545</w:t>
            </w:r>
          </w:p>
        </w:tc>
      </w:tr>
      <w:tr w:rsidR="000F0973" w:rsidRPr="000F0973" w14:paraId="3681B12A" w14:textId="77777777" w:rsidTr="000F0973">
        <w:trPr>
          <w:trHeight w:val="282"/>
        </w:trPr>
        <w:tc>
          <w:tcPr>
            <w:tcW w:w="15559" w:type="dxa"/>
            <w:gridSpan w:val="11"/>
            <w:tcBorders>
              <w:top w:val="single" w:sz="4" w:space="0" w:color="auto"/>
              <w:left w:val="single" w:sz="4" w:space="0" w:color="auto"/>
              <w:bottom w:val="nil"/>
              <w:right w:val="single" w:sz="4" w:space="0" w:color="auto"/>
            </w:tcBorders>
            <w:shd w:val="clear" w:color="auto" w:fill="auto"/>
            <w:noWrap/>
            <w:vAlign w:val="center"/>
            <w:hideMark/>
          </w:tcPr>
          <w:p w14:paraId="032B7DB1" w14:textId="77777777" w:rsidR="000F0973" w:rsidRPr="000F0973" w:rsidRDefault="000F0973" w:rsidP="000F0973">
            <w:pPr>
              <w:spacing w:before="80" w:after="2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b/>
                <w:bCs/>
                <w:color w:val="000000"/>
                <w:sz w:val="20"/>
                <w:szCs w:val="20"/>
              </w:rPr>
              <w:t>Share of total debt</w:t>
            </w:r>
          </w:p>
        </w:tc>
      </w:tr>
      <w:tr w:rsidR="00D77F60" w:rsidRPr="000F0973" w14:paraId="482A24F6" w14:textId="77777777" w:rsidTr="00D77F60">
        <w:trPr>
          <w:trHeight w:val="282"/>
        </w:trPr>
        <w:tc>
          <w:tcPr>
            <w:tcW w:w="2717" w:type="dxa"/>
            <w:tcBorders>
              <w:top w:val="single" w:sz="4" w:space="0" w:color="auto"/>
              <w:left w:val="single" w:sz="4" w:space="0" w:color="auto"/>
              <w:bottom w:val="nil"/>
              <w:right w:val="single" w:sz="4" w:space="0" w:color="auto"/>
            </w:tcBorders>
            <w:shd w:val="clear" w:color="auto" w:fill="auto"/>
            <w:noWrap/>
            <w:vAlign w:val="bottom"/>
            <w:hideMark/>
          </w:tcPr>
          <w:p w14:paraId="28766523"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Debt secured by primary residence</w:t>
            </w:r>
          </w:p>
        </w:tc>
        <w:tc>
          <w:tcPr>
            <w:tcW w:w="1304" w:type="dxa"/>
            <w:tcBorders>
              <w:top w:val="single" w:sz="4" w:space="0" w:color="auto"/>
              <w:left w:val="nil"/>
              <w:bottom w:val="nil"/>
              <w:right w:val="nil"/>
            </w:tcBorders>
            <w:shd w:val="clear" w:color="auto" w:fill="auto"/>
            <w:noWrap/>
            <w:vAlign w:val="center"/>
            <w:hideMark/>
          </w:tcPr>
          <w:p w14:paraId="6112C821" w14:textId="6BBDABF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0.90</w:t>
            </w:r>
          </w:p>
        </w:tc>
        <w:tc>
          <w:tcPr>
            <w:tcW w:w="1306" w:type="dxa"/>
            <w:tcBorders>
              <w:top w:val="single" w:sz="4" w:space="0" w:color="auto"/>
              <w:left w:val="nil"/>
              <w:bottom w:val="nil"/>
              <w:right w:val="single" w:sz="4" w:space="0" w:color="auto"/>
            </w:tcBorders>
            <w:shd w:val="clear" w:color="000000" w:fill="F2F2F2"/>
            <w:noWrap/>
            <w:vAlign w:val="center"/>
            <w:hideMark/>
          </w:tcPr>
          <w:p w14:paraId="289480B7" w14:textId="18AB3D6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0.33</w:t>
            </w:r>
          </w:p>
        </w:tc>
        <w:tc>
          <w:tcPr>
            <w:tcW w:w="1305" w:type="dxa"/>
            <w:tcBorders>
              <w:top w:val="single" w:sz="4" w:space="0" w:color="auto"/>
              <w:left w:val="nil"/>
              <w:bottom w:val="nil"/>
              <w:right w:val="nil"/>
            </w:tcBorders>
            <w:shd w:val="clear" w:color="auto" w:fill="auto"/>
            <w:noWrap/>
            <w:vAlign w:val="center"/>
            <w:hideMark/>
          </w:tcPr>
          <w:p w14:paraId="641AC771" w14:textId="1B18C53A"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0.68</w:t>
            </w:r>
          </w:p>
        </w:tc>
        <w:tc>
          <w:tcPr>
            <w:tcW w:w="1307" w:type="dxa"/>
            <w:tcBorders>
              <w:top w:val="single" w:sz="4" w:space="0" w:color="auto"/>
              <w:left w:val="nil"/>
              <w:bottom w:val="nil"/>
              <w:right w:val="single" w:sz="4" w:space="0" w:color="auto"/>
            </w:tcBorders>
            <w:shd w:val="clear" w:color="000000" w:fill="F2F2F2"/>
            <w:noWrap/>
            <w:vAlign w:val="center"/>
            <w:hideMark/>
          </w:tcPr>
          <w:p w14:paraId="72622785" w14:textId="2C82AC6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0.51</w:t>
            </w:r>
          </w:p>
        </w:tc>
        <w:tc>
          <w:tcPr>
            <w:tcW w:w="1305" w:type="dxa"/>
            <w:tcBorders>
              <w:top w:val="single" w:sz="4" w:space="0" w:color="auto"/>
              <w:left w:val="nil"/>
              <w:bottom w:val="nil"/>
              <w:right w:val="nil"/>
            </w:tcBorders>
            <w:shd w:val="clear" w:color="auto" w:fill="auto"/>
            <w:noWrap/>
            <w:vAlign w:val="center"/>
            <w:hideMark/>
          </w:tcPr>
          <w:p w14:paraId="3A93019E" w14:textId="06559B3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0.72</w:t>
            </w:r>
          </w:p>
        </w:tc>
        <w:tc>
          <w:tcPr>
            <w:tcW w:w="1307" w:type="dxa"/>
            <w:tcBorders>
              <w:top w:val="single" w:sz="4" w:space="0" w:color="auto"/>
              <w:left w:val="nil"/>
              <w:bottom w:val="nil"/>
              <w:right w:val="single" w:sz="4" w:space="0" w:color="auto"/>
            </w:tcBorders>
            <w:shd w:val="clear" w:color="000000" w:fill="F2F2F2"/>
            <w:noWrap/>
            <w:vAlign w:val="center"/>
            <w:hideMark/>
          </w:tcPr>
          <w:p w14:paraId="34B1DE3F" w14:textId="0DE6FFA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0.55</w:t>
            </w:r>
          </w:p>
        </w:tc>
        <w:tc>
          <w:tcPr>
            <w:tcW w:w="1305" w:type="dxa"/>
            <w:tcBorders>
              <w:top w:val="single" w:sz="4" w:space="0" w:color="auto"/>
              <w:left w:val="nil"/>
              <w:bottom w:val="nil"/>
              <w:right w:val="nil"/>
            </w:tcBorders>
            <w:shd w:val="clear" w:color="auto" w:fill="auto"/>
            <w:noWrap/>
            <w:vAlign w:val="center"/>
            <w:hideMark/>
          </w:tcPr>
          <w:p w14:paraId="26A7D42E" w14:textId="5C31723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0.63</w:t>
            </w:r>
          </w:p>
        </w:tc>
        <w:tc>
          <w:tcPr>
            <w:tcW w:w="1307" w:type="dxa"/>
            <w:tcBorders>
              <w:top w:val="single" w:sz="4" w:space="0" w:color="auto"/>
              <w:left w:val="nil"/>
              <w:bottom w:val="nil"/>
              <w:right w:val="single" w:sz="4" w:space="0" w:color="auto"/>
            </w:tcBorders>
            <w:shd w:val="clear" w:color="000000" w:fill="F2F2F2"/>
            <w:noWrap/>
            <w:vAlign w:val="center"/>
            <w:hideMark/>
          </w:tcPr>
          <w:p w14:paraId="0F83B285" w14:textId="763BD3B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0.69</w:t>
            </w:r>
          </w:p>
        </w:tc>
        <w:tc>
          <w:tcPr>
            <w:tcW w:w="1305" w:type="dxa"/>
            <w:tcBorders>
              <w:top w:val="single" w:sz="4" w:space="0" w:color="auto"/>
              <w:left w:val="nil"/>
              <w:bottom w:val="nil"/>
              <w:right w:val="nil"/>
            </w:tcBorders>
            <w:shd w:val="clear" w:color="auto" w:fill="auto"/>
            <w:noWrap/>
            <w:vAlign w:val="center"/>
            <w:hideMark/>
          </w:tcPr>
          <w:p w14:paraId="4A644892" w14:textId="054805A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0.70</w:t>
            </w:r>
          </w:p>
        </w:tc>
        <w:tc>
          <w:tcPr>
            <w:tcW w:w="1091" w:type="dxa"/>
            <w:tcBorders>
              <w:top w:val="single" w:sz="4" w:space="0" w:color="auto"/>
              <w:left w:val="nil"/>
              <w:bottom w:val="nil"/>
              <w:right w:val="single" w:sz="4" w:space="0" w:color="auto"/>
            </w:tcBorders>
            <w:shd w:val="clear" w:color="000000" w:fill="F2F2F2"/>
            <w:noWrap/>
            <w:vAlign w:val="center"/>
            <w:hideMark/>
          </w:tcPr>
          <w:p w14:paraId="0440E1FC" w14:textId="76C61B9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0.88</w:t>
            </w:r>
          </w:p>
        </w:tc>
      </w:tr>
      <w:tr w:rsidR="00D77F60" w:rsidRPr="000F0973" w14:paraId="3050C54D"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13D8D5D9"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Debt secured by other property</w:t>
            </w:r>
          </w:p>
        </w:tc>
        <w:tc>
          <w:tcPr>
            <w:tcW w:w="1304" w:type="dxa"/>
            <w:tcBorders>
              <w:top w:val="nil"/>
              <w:left w:val="nil"/>
              <w:bottom w:val="nil"/>
              <w:right w:val="nil"/>
            </w:tcBorders>
            <w:shd w:val="clear" w:color="auto" w:fill="auto"/>
            <w:noWrap/>
            <w:vAlign w:val="center"/>
            <w:hideMark/>
          </w:tcPr>
          <w:p w14:paraId="0090AF91" w14:textId="5638DDD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2.41</w:t>
            </w:r>
          </w:p>
        </w:tc>
        <w:tc>
          <w:tcPr>
            <w:tcW w:w="1306" w:type="dxa"/>
            <w:tcBorders>
              <w:top w:val="nil"/>
              <w:left w:val="nil"/>
              <w:bottom w:val="nil"/>
              <w:right w:val="single" w:sz="4" w:space="0" w:color="auto"/>
            </w:tcBorders>
            <w:shd w:val="clear" w:color="000000" w:fill="F2F2F2"/>
            <w:noWrap/>
            <w:vAlign w:val="center"/>
            <w:hideMark/>
          </w:tcPr>
          <w:p w14:paraId="49ABF6F6" w14:textId="276113D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1.30</w:t>
            </w:r>
          </w:p>
        </w:tc>
        <w:tc>
          <w:tcPr>
            <w:tcW w:w="1305" w:type="dxa"/>
            <w:tcBorders>
              <w:top w:val="nil"/>
              <w:left w:val="nil"/>
              <w:bottom w:val="nil"/>
              <w:right w:val="nil"/>
            </w:tcBorders>
            <w:shd w:val="clear" w:color="auto" w:fill="auto"/>
            <w:noWrap/>
            <w:vAlign w:val="center"/>
            <w:hideMark/>
          </w:tcPr>
          <w:p w14:paraId="652E186D" w14:textId="1240AFE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2.66</w:t>
            </w:r>
          </w:p>
        </w:tc>
        <w:tc>
          <w:tcPr>
            <w:tcW w:w="1307" w:type="dxa"/>
            <w:tcBorders>
              <w:top w:val="nil"/>
              <w:left w:val="nil"/>
              <w:bottom w:val="nil"/>
              <w:right w:val="single" w:sz="4" w:space="0" w:color="auto"/>
            </w:tcBorders>
            <w:shd w:val="clear" w:color="000000" w:fill="F2F2F2"/>
            <w:noWrap/>
            <w:vAlign w:val="center"/>
            <w:hideMark/>
          </w:tcPr>
          <w:p w14:paraId="346C09D4" w14:textId="020D60F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0.24</w:t>
            </w:r>
          </w:p>
        </w:tc>
        <w:tc>
          <w:tcPr>
            <w:tcW w:w="1305" w:type="dxa"/>
            <w:tcBorders>
              <w:top w:val="nil"/>
              <w:left w:val="nil"/>
              <w:bottom w:val="nil"/>
              <w:right w:val="nil"/>
            </w:tcBorders>
            <w:shd w:val="clear" w:color="auto" w:fill="auto"/>
            <w:noWrap/>
            <w:vAlign w:val="center"/>
            <w:hideMark/>
          </w:tcPr>
          <w:p w14:paraId="2FC1EA00" w14:textId="108836C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3.16</w:t>
            </w:r>
          </w:p>
        </w:tc>
        <w:tc>
          <w:tcPr>
            <w:tcW w:w="1307" w:type="dxa"/>
            <w:tcBorders>
              <w:top w:val="nil"/>
              <w:left w:val="nil"/>
              <w:bottom w:val="nil"/>
              <w:right w:val="single" w:sz="4" w:space="0" w:color="auto"/>
            </w:tcBorders>
            <w:shd w:val="clear" w:color="000000" w:fill="F2F2F2"/>
            <w:noWrap/>
            <w:vAlign w:val="center"/>
            <w:hideMark/>
          </w:tcPr>
          <w:p w14:paraId="3D3ACFA0" w14:textId="7B959C8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1.24</w:t>
            </w:r>
          </w:p>
        </w:tc>
        <w:tc>
          <w:tcPr>
            <w:tcW w:w="1305" w:type="dxa"/>
            <w:tcBorders>
              <w:top w:val="nil"/>
              <w:left w:val="nil"/>
              <w:bottom w:val="nil"/>
              <w:right w:val="nil"/>
            </w:tcBorders>
            <w:shd w:val="clear" w:color="auto" w:fill="auto"/>
            <w:noWrap/>
            <w:vAlign w:val="center"/>
            <w:hideMark/>
          </w:tcPr>
          <w:p w14:paraId="143C0DDC" w14:textId="72ABE60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3.24</w:t>
            </w:r>
          </w:p>
        </w:tc>
        <w:tc>
          <w:tcPr>
            <w:tcW w:w="1307" w:type="dxa"/>
            <w:tcBorders>
              <w:top w:val="nil"/>
              <w:left w:val="nil"/>
              <w:bottom w:val="nil"/>
              <w:right w:val="single" w:sz="4" w:space="0" w:color="auto"/>
            </w:tcBorders>
            <w:shd w:val="clear" w:color="000000" w:fill="F2F2F2"/>
            <w:noWrap/>
            <w:vAlign w:val="center"/>
            <w:hideMark/>
          </w:tcPr>
          <w:p w14:paraId="5EEC7781" w14:textId="65FB306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1.45</w:t>
            </w:r>
          </w:p>
        </w:tc>
        <w:tc>
          <w:tcPr>
            <w:tcW w:w="1305" w:type="dxa"/>
            <w:tcBorders>
              <w:top w:val="nil"/>
              <w:left w:val="nil"/>
              <w:bottom w:val="nil"/>
              <w:right w:val="nil"/>
            </w:tcBorders>
            <w:shd w:val="clear" w:color="auto" w:fill="auto"/>
            <w:noWrap/>
            <w:vAlign w:val="center"/>
            <w:hideMark/>
          </w:tcPr>
          <w:p w14:paraId="30B16DC0" w14:textId="2E7743C7"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2.32</w:t>
            </w:r>
          </w:p>
        </w:tc>
        <w:tc>
          <w:tcPr>
            <w:tcW w:w="1091" w:type="dxa"/>
            <w:tcBorders>
              <w:top w:val="nil"/>
              <w:left w:val="nil"/>
              <w:bottom w:val="nil"/>
              <w:right w:val="single" w:sz="4" w:space="0" w:color="auto"/>
            </w:tcBorders>
            <w:shd w:val="clear" w:color="000000" w:fill="F2F2F2"/>
            <w:noWrap/>
            <w:vAlign w:val="center"/>
            <w:hideMark/>
          </w:tcPr>
          <w:p w14:paraId="21CC2915" w14:textId="53494BA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1.18</w:t>
            </w:r>
          </w:p>
        </w:tc>
      </w:tr>
      <w:tr w:rsidR="00D77F60" w:rsidRPr="000F0973" w14:paraId="6D12FE1B"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25ADD711"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Instalment debt</w:t>
            </w:r>
          </w:p>
        </w:tc>
        <w:tc>
          <w:tcPr>
            <w:tcW w:w="1304" w:type="dxa"/>
            <w:tcBorders>
              <w:top w:val="nil"/>
              <w:left w:val="nil"/>
              <w:bottom w:val="nil"/>
              <w:right w:val="nil"/>
            </w:tcBorders>
            <w:shd w:val="clear" w:color="auto" w:fill="auto"/>
            <w:noWrap/>
            <w:vAlign w:val="center"/>
            <w:hideMark/>
          </w:tcPr>
          <w:p w14:paraId="19207494" w14:textId="69642AA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-0.48</w:t>
            </w:r>
          </w:p>
        </w:tc>
        <w:tc>
          <w:tcPr>
            <w:tcW w:w="1306" w:type="dxa"/>
            <w:tcBorders>
              <w:top w:val="nil"/>
              <w:left w:val="nil"/>
              <w:bottom w:val="nil"/>
              <w:right w:val="single" w:sz="4" w:space="0" w:color="auto"/>
            </w:tcBorders>
            <w:shd w:val="clear" w:color="000000" w:fill="F2F2F2"/>
            <w:noWrap/>
            <w:vAlign w:val="center"/>
            <w:hideMark/>
          </w:tcPr>
          <w:p w14:paraId="0D251D99" w14:textId="09B66528"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i/>
                <w:iCs/>
                <w:color w:val="000000"/>
                <w:sz w:val="20"/>
                <w:szCs w:val="20"/>
              </w:rPr>
              <w:t>-0.02</w:t>
            </w:r>
          </w:p>
        </w:tc>
        <w:tc>
          <w:tcPr>
            <w:tcW w:w="1305" w:type="dxa"/>
            <w:tcBorders>
              <w:top w:val="nil"/>
              <w:left w:val="nil"/>
              <w:bottom w:val="nil"/>
              <w:right w:val="nil"/>
            </w:tcBorders>
            <w:shd w:val="clear" w:color="auto" w:fill="auto"/>
            <w:noWrap/>
            <w:vAlign w:val="center"/>
            <w:hideMark/>
          </w:tcPr>
          <w:p w14:paraId="63ED232A" w14:textId="5C12898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-0.30</w:t>
            </w:r>
          </w:p>
        </w:tc>
        <w:tc>
          <w:tcPr>
            <w:tcW w:w="1307" w:type="dxa"/>
            <w:tcBorders>
              <w:top w:val="nil"/>
              <w:left w:val="nil"/>
              <w:bottom w:val="nil"/>
              <w:right w:val="single" w:sz="4" w:space="0" w:color="auto"/>
            </w:tcBorders>
            <w:shd w:val="clear" w:color="000000" w:fill="F2F2F2"/>
            <w:noWrap/>
            <w:vAlign w:val="center"/>
            <w:hideMark/>
          </w:tcPr>
          <w:p w14:paraId="1B6ADF06" w14:textId="683A8D4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-0.17</w:t>
            </w:r>
          </w:p>
        </w:tc>
        <w:tc>
          <w:tcPr>
            <w:tcW w:w="1305" w:type="dxa"/>
            <w:tcBorders>
              <w:top w:val="nil"/>
              <w:left w:val="nil"/>
              <w:bottom w:val="nil"/>
              <w:right w:val="nil"/>
            </w:tcBorders>
            <w:shd w:val="clear" w:color="auto" w:fill="auto"/>
            <w:noWrap/>
            <w:vAlign w:val="center"/>
            <w:hideMark/>
          </w:tcPr>
          <w:p w14:paraId="6DFA97B5" w14:textId="4A60214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-0.54</w:t>
            </w:r>
          </w:p>
        </w:tc>
        <w:tc>
          <w:tcPr>
            <w:tcW w:w="1307" w:type="dxa"/>
            <w:tcBorders>
              <w:top w:val="nil"/>
              <w:left w:val="nil"/>
              <w:bottom w:val="nil"/>
              <w:right w:val="single" w:sz="4" w:space="0" w:color="auto"/>
            </w:tcBorders>
            <w:shd w:val="clear" w:color="000000" w:fill="F2F2F2"/>
            <w:noWrap/>
            <w:vAlign w:val="center"/>
            <w:hideMark/>
          </w:tcPr>
          <w:p w14:paraId="419AF33D" w14:textId="41F70F7F"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color w:val="000000"/>
                <w:sz w:val="20"/>
                <w:szCs w:val="20"/>
              </w:rPr>
              <w:t>-0.11</w:t>
            </w:r>
          </w:p>
        </w:tc>
        <w:tc>
          <w:tcPr>
            <w:tcW w:w="1305" w:type="dxa"/>
            <w:tcBorders>
              <w:top w:val="nil"/>
              <w:left w:val="nil"/>
              <w:bottom w:val="nil"/>
              <w:right w:val="nil"/>
            </w:tcBorders>
            <w:shd w:val="clear" w:color="auto" w:fill="auto"/>
            <w:noWrap/>
            <w:vAlign w:val="center"/>
            <w:hideMark/>
          </w:tcPr>
          <w:p w14:paraId="707247FE" w14:textId="12325865"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-0.51</w:t>
            </w:r>
          </w:p>
        </w:tc>
        <w:tc>
          <w:tcPr>
            <w:tcW w:w="1307" w:type="dxa"/>
            <w:tcBorders>
              <w:top w:val="nil"/>
              <w:left w:val="nil"/>
              <w:bottom w:val="nil"/>
              <w:right w:val="single" w:sz="4" w:space="0" w:color="auto"/>
            </w:tcBorders>
            <w:shd w:val="clear" w:color="000000" w:fill="F2F2F2"/>
            <w:noWrap/>
            <w:vAlign w:val="center"/>
            <w:hideMark/>
          </w:tcPr>
          <w:p w14:paraId="6B40DD7F" w14:textId="31B561D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-0.50</w:t>
            </w:r>
          </w:p>
        </w:tc>
        <w:tc>
          <w:tcPr>
            <w:tcW w:w="1305" w:type="dxa"/>
            <w:tcBorders>
              <w:top w:val="nil"/>
              <w:left w:val="nil"/>
              <w:bottom w:val="nil"/>
              <w:right w:val="nil"/>
            </w:tcBorders>
            <w:shd w:val="clear" w:color="auto" w:fill="auto"/>
            <w:noWrap/>
            <w:vAlign w:val="center"/>
            <w:hideMark/>
          </w:tcPr>
          <w:p w14:paraId="327E45A7" w14:textId="69502D0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-0.47</w:t>
            </w:r>
          </w:p>
        </w:tc>
        <w:tc>
          <w:tcPr>
            <w:tcW w:w="1091" w:type="dxa"/>
            <w:tcBorders>
              <w:top w:val="nil"/>
              <w:left w:val="nil"/>
              <w:bottom w:val="nil"/>
              <w:right w:val="single" w:sz="4" w:space="0" w:color="auto"/>
            </w:tcBorders>
            <w:shd w:val="clear" w:color="000000" w:fill="F2F2F2"/>
            <w:noWrap/>
            <w:vAlign w:val="center"/>
            <w:hideMark/>
          </w:tcPr>
          <w:p w14:paraId="3142DC87" w14:textId="1FB026F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-0.59</w:t>
            </w:r>
          </w:p>
        </w:tc>
      </w:tr>
      <w:tr w:rsidR="00D77F60" w:rsidRPr="000F0973" w14:paraId="0AEA5C95"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0CAB5490"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Credit card balances</w:t>
            </w:r>
          </w:p>
        </w:tc>
        <w:tc>
          <w:tcPr>
            <w:tcW w:w="1304" w:type="dxa"/>
            <w:tcBorders>
              <w:top w:val="nil"/>
              <w:left w:val="nil"/>
              <w:bottom w:val="nil"/>
              <w:right w:val="nil"/>
            </w:tcBorders>
            <w:shd w:val="clear" w:color="auto" w:fill="auto"/>
            <w:noWrap/>
            <w:vAlign w:val="center"/>
            <w:hideMark/>
          </w:tcPr>
          <w:p w14:paraId="23D7CA71" w14:textId="4CAEC702"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-1.08</w:t>
            </w:r>
          </w:p>
        </w:tc>
        <w:tc>
          <w:tcPr>
            <w:tcW w:w="1306" w:type="dxa"/>
            <w:tcBorders>
              <w:top w:val="nil"/>
              <w:left w:val="nil"/>
              <w:bottom w:val="nil"/>
              <w:right w:val="single" w:sz="4" w:space="0" w:color="auto"/>
            </w:tcBorders>
            <w:shd w:val="clear" w:color="000000" w:fill="F2F2F2"/>
            <w:noWrap/>
            <w:vAlign w:val="center"/>
            <w:hideMark/>
          </w:tcPr>
          <w:p w14:paraId="287E1862" w14:textId="1A7BD04C"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0.08</w:t>
            </w:r>
          </w:p>
        </w:tc>
        <w:tc>
          <w:tcPr>
            <w:tcW w:w="1305" w:type="dxa"/>
            <w:tcBorders>
              <w:top w:val="nil"/>
              <w:left w:val="nil"/>
              <w:bottom w:val="nil"/>
              <w:right w:val="nil"/>
            </w:tcBorders>
            <w:shd w:val="clear" w:color="auto" w:fill="auto"/>
            <w:noWrap/>
            <w:vAlign w:val="center"/>
            <w:hideMark/>
          </w:tcPr>
          <w:p w14:paraId="087A3E72" w14:textId="6CB2A9A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-1.07</w:t>
            </w:r>
          </w:p>
        </w:tc>
        <w:tc>
          <w:tcPr>
            <w:tcW w:w="1307" w:type="dxa"/>
            <w:tcBorders>
              <w:top w:val="nil"/>
              <w:left w:val="nil"/>
              <w:bottom w:val="nil"/>
              <w:right w:val="single" w:sz="4" w:space="0" w:color="auto"/>
            </w:tcBorders>
            <w:shd w:val="clear" w:color="000000" w:fill="F2F2F2"/>
            <w:noWrap/>
            <w:vAlign w:val="center"/>
            <w:hideMark/>
          </w:tcPr>
          <w:p w14:paraId="54BA62E5" w14:textId="4620DFC5"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i/>
                <w:iCs/>
                <w:color w:val="000000"/>
                <w:sz w:val="20"/>
                <w:szCs w:val="20"/>
              </w:rPr>
              <w:t>0.00</w:t>
            </w:r>
          </w:p>
        </w:tc>
        <w:tc>
          <w:tcPr>
            <w:tcW w:w="1305" w:type="dxa"/>
            <w:tcBorders>
              <w:top w:val="nil"/>
              <w:left w:val="nil"/>
              <w:bottom w:val="nil"/>
              <w:right w:val="nil"/>
            </w:tcBorders>
            <w:shd w:val="clear" w:color="auto" w:fill="auto"/>
            <w:noWrap/>
            <w:vAlign w:val="center"/>
            <w:hideMark/>
          </w:tcPr>
          <w:p w14:paraId="0D70CFF9" w14:textId="77CDEFC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-0.52</w:t>
            </w:r>
          </w:p>
        </w:tc>
        <w:tc>
          <w:tcPr>
            <w:tcW w:w="1307" w:type="dxa"/>
            <w:tcBorders>
              <w:top w:val="nil"/>
              <w:left w:val="nil"/>
              <w:bottom w:val="nil"/>
              <w:right w:val="single" w:sz="4" w:space="0" w:color="auto"/>
            </w:tcBorders>
            <w:shd w:val="clear" w:color="000000" w:fill="F2F2F2"/>
            <w:noWrap/>
            <w:vAlign w:val="center"/>
            <w:hideMark/>
          </w:tcPr>
          <w:p w14:paraId="3BE742B2" w14:textId="67BD8111"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-0.28</w:t>
            </w:r>
          </w:p>
        </w:tc>
        <w:tc>
          <w:tcPr>
            <w:tcW w:w="1305" w:type="dxa"/>
            <w:tcBorders>
              <w:top w:val="nil"/>
              <w:left w:val="nil"/>
              <w:bottom w:val="nil"/>
              <w:right w:val="nil"/>
            </w:tcBorders>
            <w:shd w:val="clear" w:color="auto" w:fill="auto"/>
            <w:noWrap/>
            <w:vAlign w:val="center"/>
            <w:hideMark/>
          </w:tcPr>
          <w:p w14:paraId="31F68C31" w14:textId="58F826C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-0.47</w:t>
            </w:r>
          </w:p>
        </w:tc>
        <w:tc>
          <w:tcPr>
            <w:tcW w:w="1307" w:type="dxa"/>
            <w:tcBorders>
              <w:top w:val="nil"/>
              <w:left w:val="nil"/>
              <w:bottom w:val="nil"/>
              <w:right w:val="single" w:sz="4" w:space="0" w:color="auto"/>
            </w:tcBorders>
            <w:shd w:val="clear" w:color="000000" w:fill="F2F2F2"/>
            <w:noWrap/>
            <w:vAlign w:val="center"/>
            <w:hideMark/>
          </w:tcPr>
          <w:p w14:paraId="5A6D125C" w14:textId="24ED579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0.20</w:t>
            </w:r>
          </w:p>
        </w:tc>
        <w:tc>
          <w:tcPr>
            <w:tcW w:w="1305" w:type="dxa"/>
            <w:tcBorders>
              <w:top w:val="nil"/>
              <w:left w:val="nil"/>
              <w:bottom w:val="nil"/>
              <w:right w:val="nil"/>
            </w:tcBorders>
            <w:shd w:val="clear" w:color="auto" w:fill="auto"/>
            <w:noWrap/>
            <w:vAlign w:val="center"/>
            <w:hideMark/>
          </w:tcPr>
          <w:p w14:paraId="2566361B" w14:textId="063835F8"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-0.65</w:t>
            </w:r>
          </w:p>
        </w:tc>
        <w:tc>
          <w:tcPr>
            <w:tcW w:w="1091" w:type="dxa"/>
            <w:tcBorders>
              <w:top w:val="nil"/>
              <w:left w:val="nil"/>
              <w:bottom w:val="nil"/>
              <w:right w:val="single" w:sz="4" w:space="0" w:color="auto"/>
            </w:tcBorders>
            <w:shd w:val="clear" w:color="000000" w:fill="F2F2F2"/>
            <w:noWrap/>
            <w:vAlign w:val="center"/>
            <w:hideMark/>
          </w:tcPr>
          <w:p w14:paraId="5D3665C0" w14:textId="52363758"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0.28</w:t>
            </w:r>
          </w:p>
        </w:tc>
      </w:tr>
      <w:tr w:rsidR="00D77F60" w:rsidRPr="000F0973" w14:paraId="42E374D6" w14:textId="77777777" w:rsidTr="00D77F60">
        <w:trPr>
          <w:trHeight w:val="282"/>
        </w:trPr>
        <w:tc>
          <w:tcPr>
            <w:tcW w:w="2717" w:type="dxa"/>
            <w:tcBorders>
              <w:top w:val="nil"/>
              <w:left w:val="single" w:sz="4" w:space="0" w:color="auto"/>
              <w:right w:val="single" w:sz="4" w:space="0" w:color="auto"/>
            </w:tcBorders>
            <w:shd w:val="clear" w:color="auto" w:fill="auto"/>
            <w:noWrap/>
            <w:vAlign w:val="bottom"/>
            <w:hideMark/>
          </w:tcPr>
          <w:p w14:paraId="5BEE6DD5"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Other types of debt</w:t>
            </w:r>
          </w:p>
        </w:tc>
        <w:tc>
          <w:tcPr>
            <w:tcW w:w="1304" w:type="dxa"/>
            <w:tcBorders>
              <w:top w:val="nil"/>
              <w:left w:val="nil"/>
              <w:right w:val="nil"/>
            </w:tcBorders>
            <w:shd w:val="clear" w:color="auto" w:fill="auto"/>
            <w:noWrap/>
            <w:vAlign w:val="center"/>
            <w:hideMark/>
          </w:tcPr>
          <w:p w14:paraId="64F87CF0" w14:textId="6EB5B8C3" w:rsidR="00D77F60" w:rsidRPr="00D77F60" w:rsidRDefault="00D77F60" w:rsidP="00D77F60">
            <w:pPr>
              <w:spacing w:after="0" w:line="240" w:lineRule="auto"/>
              <w:ind w:firstLine="0"/>
              <w:jc w:val="center"/>
              <w:rPr>
                <w:rFonts w:eastAsia="Calibri" w:cs="Times New Roman"/>
                <w:color w:val="000000"/>
                <w:sz w:val="20"/>
                <w:szCs w:val="20"/>
                <w:u w:val="single"/>
              </w:rPr>
            </w:pPr>
            <w:r w:rsidRPr="00D77F60">
              <w:rPr>
                <w:color w:val="000000"/>
                <w:sz w:val="20"/>
                <w:szCs w:val="20"/>
                <w:u w:val="single"/>
              </w:rPr>
              <w:t>-0.15</w:t>
            </w:r>
          </w:p>
        </w:tc>
        <w:tc>
          <w:tcPr>
            <w:tcW w:w="1306" w:type="dxa"/>
            <w:tcBorders>
              <w:top w:val="nil"/>
              <w:left w:val="nil"/>
              <w:right w:val="single" w:sz="4" w:space="0" w:color="auto"/>
            </w:tcBorders>
            <w:shd w:val="clear" w:color="000000" w:fill="F2F2F2"/>
            <w:noWrap/>
            <w:vAlign w:val="center"/>
            <w:hideMark/>
          </w:tcPr>
          <w:p w14:paraId="2BDDE6FE" w14:textId="1B15E81C" w:rsidR="00D77F60" w:rsidRPr="00D77F60" w:rsidRDefault="00D77F60" w:rsidP="00D77F60">
            <w:pPr>
              <w:spacing w:after="0" w:line="240" w:lineRule="auto"/>
              <w:ind w:firstLine="0"/>
              <w:jc w:val="center"/>
              <w:rPr>
                <w:rFonts w:eastAsia="Calibri" w:cs="Times New Roman"/>
                <w:color w:val="000000"/>
                <w:sz w:val="20"/>
                <w:szCs w:val="20"/>
                <w:u w:val="single"/>
              </w:rPr>
            </w:pPr>
            <w:r w:rsidRPr="00D77F60">
              <w:rPr>
                <w:color w:val="000000"/>
                <w:sz w:val="20"/>
                <w:szCs w:val="20"/>
                <w:u w:val="single"/>
              </w:rPr>
              <w:t>-0.25</w:t>
            </w:r>
          </w:p>
        </w:tc>
        <w:tc>
          <w:tcPr>
            <w:tcW w:w="1305" w:type="dxa"/>
            <w:tcBorders>
              <w:top w:val="nil"/>
              <w:left w:val="nil"/>
              <w:right w:val="nil"/>
            </w:tcBorders>
            <w:shd w:val="clear" w:color="auto" w:fill="auto"/>
            <w:noWrap/>
            <w:vAlign w:val="center"/>
            <w:hideMark/>
          </w:tcPr>
          <w:p w14:paraId="7AF37603" w14:textId="7A8B6D6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0.56</w:t>
            </w:r>
          </w:p>
        </w:tc>
        <w:tc>
          <w:tcPr>
            <w:tcW w:w="1307" w:type="dxa"/>
            <w:tcBorders>
              <w:top w:val="nil"/>
              <w:left w:val="nil"/>
              <w:right w:val="single" w:sz="4" w:space="0" w:color="auto"/>
            </w:tcBorders>
            <w:shd w:val="clear" w:color="000000" w:fill="F2F2F2"/>
            <w:noWrap/>
            <w:vAlign w:val="center"/>
            <w:hideMark/>
          </w:tcPr>
          <w:p w14:paraId="690345D3" w14:textId="4F4DDC2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-0.11</w:t>
            </w:r>
          </w:p>
        </w:tc>
        <w:tc>
          <w:tcPr>
            <w:tcW w:w="1305" w:type="dxa"/>
            <w:tcBorders>
              <w:top w:val="nil"/>
              <w:left w:val="nil"/>
              <w:right w:val="nil"/>
            </w:tcBorders>
            <w:shd w:val="clear" w:color="auto" w:fill="auto"/>
            <w:noWrap/>
            <w:vAlign w:val="center"/>
            <w:hideMark/>
          </w:tcPr>
          <w:p w14:paraId="3D9AAFDB" w14:textId="0813FC3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-0.42</w:t>
            </w:r>
          </w:p>
        </w:tc>
        <w:tc>
          <w:tcPr>
            <w:tcW w:w="1307" w:type="dxa"/>
            <w:tcBorders>
              <w:top w:val="nil"/>
              <w:left w:val="nil"/>
              <w:right w:val="single" w:sz="4" w:space="0" w:color="auto"/>
            </w:tcBorders>
            <w:shd w:val="clear" w:color="000000" w:fill="F2F2F2"/>
            <w:noWrap/>
            <w:vAlign w:val="center"/>
            <w:hideMark/>
          </w:tcPr>
          <w:p w14:paraId="7259363A" w14:textId="59D2DF17"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0.77</w:t>
            </w:r>
          </w:p>
        </w:tc>
        <w:tc>
          <w:tcPr>
            <w:tcW w:w="1305" w:type="dxa"/>
            <w:tcBorders>
              <w:top w:val="nil"/>
              <w:left w:val="nil"/>
              <w:right w:val="nil"/>
            </w:tcBorders>
            <w:shd w:val="clear" w:color="auto" w:fill="auto"/>
            <w:noWrap/>
            <w:vAlign w:val="center"/>
            <w:hideMark/>
          </w:tcPr>
          <w:p w14:paraId="63824ED2" w14:textId="75B4E93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0.60</w:t>
            </w:r>
          </w:p>
        </w:tc>
        <w:tc>
          <w:tcPr>
            <w:tcW w:w="1307" w:type="dxa"/>
            <w:tcBorders>
              <w:top w:val="nil"/>
              <w:left w:val="nil"/>
              <w:right w:val="single" w:sz="4" w:space="0" w:color="auto"/>
            </w:tcBorders>
            <w:shd w:val="clear" w:color="000000" w:fill="F2F2F2"/>
            <w:noWrap/>
            <w:vAlign w:val="center"/>
            <w:hideMark/>
          </w:tcPr>
          <w:p w14:paraId="1916C2F5" w14:textId="61A3A04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0.13</w:t>
            </w:r>
          </w:p>
        </w:tc>
        <w:tc>
          <w:tcPr>
            <w:tcW w:w="1305" w:type="dxa"/>
            <w:tcBorders>
              <w:top w:val="nil"/>
              <w:left w:val="nil"/>
              <w:right w:val="nil"/>
            </w:tcBorders>
            <w:shd w:val="clear" w:color="auto" w:fill="auto"/>
            <w:noWrap/>
            <w:vAlign w:val="center"/>
            <w:hideMark/>
          </w:tcPr>
          <w:p w14:paraId="1941DD5D" w14:textId="1E3F896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0.91</w:t>
            </w:r>
          </w:p>
        </w:tc>
        <w:tc>
          <w:tcPr>
            <w:tcW w:w="1091" w:type="dxa"/>
            <w:tcBorders>
              <w:top w:val="nil"/>
              <w:left w:val="nil"/>
              <w:right w:val="single" w:sz="4" w:space="0" w:color="auto"/>
            </w:tcBorders>
            <w:shd w:val="clear" w:color="000000" w:fill="F2F2F2"/>
            <w:noWrap/>
            <w:vAlign w:val="center"/>
            <w:hideMark/>
          </w:tcPr>
          <w:p w14:paraId="0ED600A5" w14:textId="7E788502"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i/>
                <w:iCs/>
                <w:color w:val="000000"/>
                <w:sz w:val="20"/>
                <w:szCs w:val="20"/>
              </w:rPr>
              <w:t>0.04</w:t>
            </w:r>
          </w:p>
        </w:tc>
      </w:tr>
      <w:tr w:rsidR="00D77F60" w:rsidRPr="000F0973" w14:paraId="2F02D773" w14:textId="77777777" w:rsidTr="00D77F60">
        <w:trPr>
          <w:trHeight w:val="282"/>
        </w:trPr>
        <w:tc>
          <w:tcPr>
            <w:tcW w:w="2717" w:type="dxa"/>
            <w:tcBorders>
              <w:top w:val="nil"/>
              <w:left w:val="single" w:sz="4" w:space="0" w:color="auto"/>
              <w:bottom w:val="single" w:sz="4" w:space="0" w:color="auto"/>
              <w:right w:val="single" w:sz="4" w:space="0" w:color="auto"/>
            </w:tcBorders>
            <w:shd w:val="clear" w:color="auto" w:fill="auto"/>
            <w:noWrap/>
            <w:vAlign w:val="bottom"/>
            <w:hideMark/>
          </w:tcPr>
          <w:p w14:paraId="2B0606BE" w14:textId="77777777" w:rsidR="00D77F60" w:rsidRPr="000F0973" w:rsidRDefault="00D77F60" w:rsidP="00D77F60">
            <w:pPr>
              <w:spacing w:after="0" w:line="240" w:lineRule="auto"/>
              <w:ind w:firstLine="0"/>
              <w:jc w:val="righ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N</w:t>
            </w:r>
          </w:p>
        </w:tc>
        <w:tc>
          <w:tcPr>
            <w:tcW w:w="1304" w:type="dxa"/>
            <w:tcBorders>
              <w:top w:val="nil"/>
              <w:left w:val="nil"/>
              <w:bottom w:val="single" w:sz="4" w:space="0" w:color="auto"/>
              <w:right w:val="nil"/>
            </w:tcBorders>
            <w:shd w:val="clear" w:color="auto" w:fill="auto"/>
            <w:noWrap/>
            <w:vAlign w:val="center"/>
            <w:hideMark/>
          </w:tcPr>
          <w:p w14:paraId="213D6810" w14:textId="6B5D96E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8,146</w:t>
            </w:r>
          </w:p>
        </w:tc>
        <w:tc>
          <w:tcPr>
            <w:tcW w:w="1306" w:type="dxa"/>
            <w:tcBorders>
              <w:top w:val="nil"/>
              <w:left w:val="nil"/>
              <w:bottom w:val="single" w:sz="4" w:space="0" w:color="auto"/>
              <w:right w:val="single" w:sz="4" w:space="0" w:color="auto"/>
            </w:tcBorders>
            <w:shd w:val="clear" w:color="000000" w:fill="F2F2F2"/>
            <w:noWrap/>
            <w:vAlign w:val="center"/>
            <w:hideMark/>
          </w:tcPr>
          <w:p w14:paraId="4BCDFAC3" w14:textId="7A41BB7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230</w:t>
            </w:r>
          </w:p>
        </w:tc>
        <w:tc>
          <w:tcPr>
            <w:tcW w:w="1305" w:type="dxa"/>
            <w:tcBorders>
              <w:top w:val="nil"/>
              <w:left w:val="nil"/>
              <w:bottom w:val="single" w:sz="4" w:space="0" w:color="auto"/>
              <w:right w:val="nil"/>
            </w:tcBorders>
            <w:shd w:val="clear" w:color="auto" w:fill="auto"/>
            <w:noWrap/>
            <w:vAlign w:val="center"/>
            <w:hideMark/>
          </w:tcPr>
          <w:p w14:paraId="3819F996" w14:textId="26EF695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8,181</w:t>
            </w:r>
          </w:p>
        </w:tc>
        <w:tc>
          <w:tcPr>
            <w:tcW w:w="1307" w:type="dxa"/>
            <w:tcBorders>
              <w:top w:val="nil"/>
              <w:left w:val="nil"/>
              <w:bottom w:val="single" w:sz="4" w:space="0" w:color="auto"/>
              <w:right w:val="single" w:sz="4" w:space="0" w:color="auto"/>
            </w:tcBorders>
            <w:shd w:val="clear" w:color="000000" w:fill="F2F2F2"/>
            <w:noWrap/>
            <w:vAlign w:val="center"/>
            <w:hideMark/>
          </w:tcPr>
          <w:p w14:paraId="5788B4CD" w14:textId="6020DC2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642</w:t>
            </w:r>
          </w:p>
        </w:tc>
        <w:tc>
          <w:tcPr>
            <w:tcW w:w="1305" w:type="dxa"/>
            <w:tcBorders>
              <w:top w:val="nil"/>
              <w:left w:val="nil"/>
              <w:bottom w:val="single" w:sz="4" w:space="0" w:color="auto"/>
              <w:right w:val="nil"/>
            </w:tcBorders>
            <w:shd w:val="clear" w:color="auto" w:fill="auto"/>
            <w:noWrap/>
            <w:vAlign w:val="center"/>
            <w:hideMark/>
          </w:tcPr>
          <w:p w14:paraId="328CF6FD" w14:textId="059F322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7,783</w:t>
            </w:r>
          </w:p>
        </w:tc>
        <w:tc>
          <w:tcPr>
            <w:tcW w:w="1307" w:type="dxa"/>
            <w:tcBorders>
              <w:top w:val="nil"/>
              <w:left w:val="nil"/>
              <w:bottom w:val="single" w:sz="4" w:space="0" w:color="auto"/>
              <w:right w:val="single" w:sz="4" w:space="0" w:color="auto"/>
            </w:tcBorders>
            <w:shd w:val="clear" w:color="000000" w:fill="F2F2F2"/>
            <w:noWrap/>
            <w:vAlign w:val="center"/>
            <w:hideMark/>
          </w:tcPr>
          <w:p w14:paraId="64EC0B92" w14:textId="7C536F0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1,163</w:t>
            </w:r>
          </w:p>
        </w:tc>
        <w:tc>
          <w:tcPr>
            <w:tcW w:w="1305" w:type="dxa"/>
            <w:tcBorders>
              <w:top w:val="nil"/>
              <w:left w:val="nil"/>
              <w:bottom w:val="single" w:sz="4" w:space="0" w:color="auto"/>
              <w:right w:val="nil"/>
            </w:tcBorders>
            <w:shd w:val="clear" w:color="auto" w:fill="auto"/>
            <w:noWrap/>
            <w:vAlign w:val="center"/>
            <w:hideMark/>
          </w:tcPr>
          <w:p w14:paraId="4E84BAB4" w14:textId="162BE4B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10,432</w:t>
            </w:r>
          </w:p>
        </w:tc>
        <w:tc>
          <w:tcPr>
            <w:tcW w:w="1307" w:type="dxa"/>
            <w:tcBorders>
              <w:top w:val="nil"/>
              <w:left w:val="nil"/>
              <w:bottom w:val="single" w:sz="4" w:space="0" w:color="auto"/>
              <w:right w:val="single" w:sz="4" w:space="0" w:color="auto"/>
            </w:tcBorders>
            <w:shd w:val="clear" w:color="000000" w:fill="F2F2F2"/>
            <w:noWrap/>
            <w:vAlign w:val="center"/>
            <w:hideMark/>
          </w:tcPr>
          <w:p w14:paraId="54FB5CFD" w14:textId="564610E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2,781</w:t>
            </w:r>
          </w:p>
        </w:tc>
        <w:tc>
          <w:tcPr>
            <w:tcW w:w="1305" w:type="dxa"/>
            <w:tcBorders>
              <w:top w:val="nil"/>
              <w:left w:val="nil"/>
              <w:bottom w:val="single" w:sz="4" w:space="0" w:color="auto"/>
              <w:right w:val="nil"/>
            </w:tcBorders>
            <w:shd w:val="clear" w:color="auto" w:fill="auto"/>
            <w:noWrap/>
            <w:vAlign w:val="center"/>
            <w:hideMark/>
          </w:tcPr>
          <w:p w14:paraId="4A2B2855" w14:textId="7CD0E345"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9,146</w:t>
            </w:r>
          </w:p>
        </w:tc>
        <w:tc>
          <w:tcPr>
            <w:tcW w:w="1091" w:type="dxa"/>
            <w:tcBorders>
              <w:top w:val="nil"/>
              <w:left w:val="nil"/>
              <w:bottom w:val="single" w:sz="4" w:space="0" w:color="auto"/>
              <w:right w:val="single" w:sz="4" w:space="0" w:color="auto"/>
            </w:tcBorders>
            <w:shd w:val="clear" w:color="000000" w:fill="F2F2F2"/>
            <w:noWrap/>
            <w:vAlign w:val="center"/>
            <w:hideMark/>
          </w:tcPr>
          <w:p w14:paraId="74B71739" w14:textId="7F5F900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3,502</w:t>
            </w:r>
          </w:p>
        </w:tc>
      </w:tr>
      <w:tr w:rsidR="000F0973" w:rsidRPr="000F0973" w14:paraId="559F00A8" w14:textId="77777777" w:rsidTr="000F0973">
        <w:trPr>
          <w:trHeight w:val="282"/>
        </w:trPr>
        <w:tc>
          <w:tcPr>
            <w:tcW w:w="1555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0266E" w14:textId="77777777" w:rsidR="000F0973" w:rsidRPr="000F0973" w:rsidRDefault="000F0973" w:rsidP="000F0973">
            <w:pPr>
              <w:spacing w:before="80" w:after="2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b/>
                <w:bCs/>
                <w:color w:val="000000"/>
                <w:sz w:val="20"/>
                <w:szCs w:val="20"/>
              </w:rPr>
              <w:t>Leverage measures</w:t>
            </w:r>
          </w:p>
        </w:tc>
      </w:tr>
      <w:tr w:rsidR="00D77F60" w:rsidRPr="000F0973" w14:paraId="3BC55E18" w14:textId="77777777" w:rsidTr="00D77F60">
        <w:trPr>
          <w:trHeight w:val="282"/>
        </w:trPr>
        <w:tc>
          <w:tcPr>
            <w:tcW w:w="2717" w:type="dxa"/>
            <w:tcBorders>
              <w:top w:val="single" w:sz="4" w:space="0" w:color="auto"/>
              <w:left w:val="single" w:sz="4" w:space="0" w:color="auto"/>
              <w:bottom w:val="nil"/>
              <w:right w:val="single" w:sz="4" w:space="0" w:color="auto"/>
            </w:tcBorders>
            <w:shd w:val="clear" w:color="auto" w:fill="auto"/>
            <w:noWrap/>
            <w:vAlign w:val="bottom"/>
            <w:hideMark/>
          </w:tcPr>
          <w:p w14:paraId="4FE91DCC"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 xml:space="preserve">Debt-service-to-income ratio </w:t>
            </w:r>
          </w:p>
        </w:tc>
        <w:tc>
          <w:tcPr>
            <w:tcW w:w="1304" w:type="dxa"/>
            <w:tcBorders>
              <w:top w:val="single" w:sz="4" w:space="0" w:color="auto"/>
              <w:left w:val="nil"/>
              <w:bottom w:val="nil"/>
              <w:right w:val="nil"/>
            </w:tcBorders>
            <w:shd w:val="clear" w:color="auto" w:fill="auto"/>
            <w:noWrap/>
            <w:vAlign w:val="center"/>
            <w:hideMark/>
          </w:tcPr>
          <w:p w14:paraId="3D29031C" w14:textId="0B7B645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u w:val="single"/>
              </w:rPr>
              <w:t>24.08</w:t>
            </w:r>
          </w:p>
        </w:tc>
        <w:tc>
          <w:tcPr>
            <w:tcW w:w="1306" w:type="dxa"/>
            <w:tcBorders>
              <w:top w:val="single" w:sz="4" w:space="0" w:color="auto"/>
              <w:left w:val="nil"/>
              <w:bottom w:val="nil"/>
              <w:right w:val="single" w:sz="4" w:space="0" w:color="auto"/>
            </w:tcBorders>
            <w:shd w:val="clear" w:color="000000" w:fill="F2F2F2"/>
            <w:noWrap/>
            <w:vAlign w:val="center"/>
            <w:hideMark/>
          </w:tcPr>
          <w:p w14:paraId="69692781" w14:textId="0AB8B23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u w:val="single"/>
              </w:rPr>
              <w:t>26.61</w:t>
            </w:r>
          </w:p>
        </w:tc>
        <w:tc>
          <w:tcPr>
            <w:tcW w:w="1305" w:type="dxa"/>
            <w:tcBorders>
              <w:top w:val="single" w:sz="4" w:space="0" w:color="auto"/>
              <w:left w:val="nil"/>
              <w:bottom w:val="nil"/>
              <w:right w:val="nil"/>
            </w:tcBorders>
            <w:shd w:val="clear" w:color="auto" w:fill="auto"/>
            <w:noWrap/>
            <w:vAlign w:val="center"/>
            <w:hideMark/>
          </w:tcPr>
          <w:p w14:paraId="021D7402" w14:textId="0C33836D"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9.47</w:t>
            </w:r>
          </w:p>
        </w:tc>
        <w:tc>
          <w:tcPr>
            <w:tcW w:w="1307" w:type="dxa"/>
            <w:tcBorders>
              <w:top w:val="single" w:sz="4" w:space="0" w:color="auto"/>
              <w:left w:val="nil"/>
              <w:bottom w:val="nil"/>
              <w:right w:val="single" w:sz="4" w:space="0" w:color="auto"/>
            </w:tcBorders>
            <w:shd w:val="clear" w:color="000000" w:fill="F2F2F2"/>
            <w:noWrap/>
            <w:vAlign w:val="center"/>
            <w:hideMark/>
          </w:tcPr>
          <w:p w14:paraId="3EF812AB" w14:textId="1C3D748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78.67</w:t>
            </w:r>
          </w:p>
        </w:tc>
        <w:tc>
          <w:tcPr>
            <w:tcW w:w="1305" w:type="dxa"/>
            <w:tcBorders>
              <w:top w:val="single" w:sz="4" w:space="0" w:color="auto"/>
              <w:left w:val="nil"/>
              <w:bottom w:val="nil"/>
              <w:right w:val="nil"/>
            </w:tcBorders>
            <w:shd w:val="clear" w:color="auto" w:fill="auto"/>
            <w:noWrap/>
            <w:vAlign w:val="center"/>
            <w:hideMark/>
          </w:tcPr>
          <w:p w14:paraId="4DF10ED4" w14:textId="7D4D145B"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0.00</w:t>
            </w:r>
          </w:p>
        </w:tc>
        <w:tc>
          <w:tcPr>
            <w:tcW w:w="1307" w:type="dxa"/>
            <w:tcBorders>
              <w:top w:val="single" w:sz="4" w:space="0" w:color="auto"/>
              <w:left w:val="nil"/>
              <w:bottom w:val="nil"/>
              <w:right w:val="single" w:sz="4" w:space="0" w:color="auto"/>
            </w:tcBorders>
            <w:shd w:val="clear" w:color="000000" w:fill="F2F2F2"/>
            <w:noWrap/>
            <w:vAlign w:val="center"/>
            <w:hideMark/>
          </w:tcPr>
          <w:p w14:paraId="33D2AA4A" w14:textId="1B89DAB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130.56</w:t>
            </w:r>
          </w:p>
        </w:tc>
        <w:tc>
          <w:tcPr>
            <w:tcW w:w="1305" w:type="dxa"/>
            <w:tcBorders>
              <w:top w:val="single" w:sz="4" w:space="0" w:color="auto"/>
              <w:left w:val="nil"/>
              <w:bottom w:val="nil"/>
              <w:right w:val="nil"/>
            </w:tcBorders>
            <w:shd w:val="clear" w:color="auto" w:fill="auto"/>
            <w:noWrap/>
            <w:vAlign w:val="center"/>
            <w:hideMark/>
          </w:tcPr>
          <w:p w14:paraId="33DBB977" w14:textId="2967E2F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27.52</w:t>
            </w:r>
          </w:p>
        </w:tc>
        <w:tc>
          <w:tcPr>
            <w:tcW w:w="1307" w:type="dxa"/>
            <w:tcBorders>
              <w:top w:val="single" w:sz="4" w:space="0" w:color="auto"/>
              <w:left w:val="nil"/>
              <w:bottom w:val="nil"/>
              <w:right w:val="single" w:sz="4" w:space="0" w:color="auto"/>
            </w:tcBorders>
            <w:shd w:val="clear" w:color="000000" w:fill="F2F2F2"/>
            <w:noWrap/>
            <w:vAlign w:val="center"/>
            <w:hideMark/>
          </w:tcPr>
          <w:p w14:paraId="0F66E93E" w14:textId="4A245F9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158.37</w:t>
            </w:r>
          </w:p>
        </w:tc>
        <w:tc>
          <w:tcPr>
            <w:tcW w:w="1305" w:type="dxa"/>
            <w:tcBorders>
              <w:top w:val="single" w:sz="4" w:space="0" w:color="auto"/>
              <w:left w:val="nil"/>
              <w:bottom w:val="nil"/>
              <w:right w:val="nil"/>
            </w:tcBorders>
            <w:shd w:val="clear" w:color="auto" w:fill="auto"/>
            <w:noWrap/>
            <w:vAlign w:val="center"/>
            <w:hideMark/>
          </w:tcPr>
          <w:p w14:paraId="7A0EAF49" w14:textId="5C20E6BE"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49.30</w:t>
            </w:r>
          </w:p>
        </w:tc>
        <w:tc>
          <w:tcPr>
            <w:tcW w:w="1091" w:type="dxa"/>
            <w:tcBorders>
              <w:top w:val="single" w:sz="4" w:space="0" w:color="auto"/>
              <w:left w:val="nil"/>
              <w:bottom w:val="nil"/>
              <w:right w:val="single" w:sz="4" w:space="0" w:color="auto"/>
            </w:tcBorders>
            <w:shd w:val="clear" w:color="000000" w:fill="F2F2F2"/>
            <w:noWrap/>
            <w:vAlign w:val="center"/>
            <w:hideMark/>
          </w:tcPr>
          <w:p w14:paraId="20677377" w14:textId="58A865CC"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167.88</w:t>
            </w:r>
          </w:p>
        </w:tc>
      </w:tr>
      <w:tr w:rsidR="00D77F60" w:rsidRPr="000F0973" w14:paraId="3D833901"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1DB78B99"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Debt-to-asset ratio</w:t>
            </w:r>
          </w:p>
        </w:tc>
        <w:tc>
          <w:tcPr>
            <w:tcW w:w="1304" w:type="dxa"/>
            <w:tcBorders>
              <w:top w:val="nil"/>
              <w:left w:val="nil"/>
              <w:bottom w:val="nil"/>
              <w:right w:val="nil"/>
            </w:tcBorders>
            <w:shd w:val="clear" w:color="auto" w:fill="auto"/>
            <w:noWrap/>
            <w:vAlign w:val="center"/>
            <w:hideMark/>
          </w:tcPr>
          <w:p w14:paraId="25732DFF" w14:textId="35736A05"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-0.17</w:t>
            </w:r>
          </w:p>
        </w:tc>
        <w:tc>
          <w:tcPr>
            <w:tcW w:w="1306" w:type="dxa"/>
            <w:tcBorders>
              <w:top w:val="nil"/>
              <w:left w:val="nil"/>
              <w:bottom w:val="nil"/>
              <w:right w:val="single" w:sz="4" w:space="0" w:color="auto"/>
            </w:tcBorders>
            <w:shd w:val="clear" w:color="000000" w:fill="F2F2F2"/>
            <w:noWrap/>
            <w:vAlign w:val="center"/>
            <w:hideMark/>
          </w:tcPr>
          <w:p w14:paraId="4EB85911" w14:textId="34FDA11A"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color w:val="000000"/>
                <w:sz w:val="20"/>
                <w:szCs w:val="20"/>
              </w:rPr>
              <w:t>3.48</w:t>
            </w:r>
          </w:p>
        </w:tc>
        <w:tc>
          <w:tcPr>
            <w:tcW w:w="1305" w:type="dxa"/>
            <w:tcBorders>
              <w:top w:val="nil"/>
              <w:left w:val="nil"/>
              <w:bottom w:val="nil"/>
              <w:right w:val="nil"/>
            </w:tcBorders>
            <w:shd w:val="clear" w:color="auto" w:fill="auto"/>
            <w:noWrap/>
            <w:vAlign w:val="center"/>
            <w:hideMark/>
          </w:tcPr>
          <w:p w14:paraId="113DBB51" w14:textId="671D0777"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-0.84</w:t>
            </w:r>
          </w:p>
        </w:tc>
        <w:tc>
          <w:tcPr>
            <w:tcW w:w="1307" w:type="dxa"/>
            <w:tcBorders>
              <w:top w:val="nil"/>
              <w:left w:val="nil"/>
              <w:bottom w:val="nil"/>
              <w:right w:val="single" w:sz="4" w:space="0" w:color="auto"/>
            </w:tcBorders>
            <w:shd w:val="clear" w:color="000000" w:fill="F2F2F2"/>
            <w:noWrap/>
            <w:vAlign w:val="center"/>
            <w:hideMark/>
          </w:tcPr>
          <w:p w14:paraId="0847D99D" w14:textId="2274C709"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color w:val="000000"/>
                <w:sz w:val="20"/>
                <w:szCs w:val="20"/>
              </w:rPr>
              <w:t>2.44</w:t>
            </w:r>
          </w:p>
        </w:tc>
        <w:tc>
          <w:tcPr>
            <w:tcW w:w="1305" w:type="dxa"/>
            <w:tcBorders>
              <w:top w:val="nil"/>
              <w:left w:val="nil"/>
              <w:bottom w:val="nil"/>
              <w:right w:val="nil"/>
            </w:tcBorders>
            <w:shd w:val="clear" w:color="auto" w:fill="auto"/>
            <w:noWrap/>
            <w:vAlign w:val="center"/>
            <w:hideMark/>
          </w:tcPr>
          <w:p w14:paraId="4773FE94" w14:textId="466440FE"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0.00</w:t>
            </w:r>
          </w:p>
        </w:tc>
        <w:tc>
          <w:tcPr>
            <w:tcW w:w="1307" w:type="dxa"/>
            <w:tcBorders>
              <w:top w:val="nil"/>
              <w:left w:val="nil"/>
              <w:bottom w:val="nil"/>
              <w:right w:val="single" w:sz="4" w:space="0" w:color="auto"/>
            </w:tcBorders>
            <w:shd w:val="clear" w:color="000000" w:fill="F2F2F2"/>
            <w:noWrap/>
            <w:vAlign w:val="center"/>
            <w:hideMark/>
          </w:tcPr>
          <w:p w14:paraId="47FA437D" w14:textId="14845DBA"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5.61</w:t>
            </w:r>
          </w:p>
        </w:tc>
        <w:tc>
          <w:tcPr>
            <w:tcW w:w="1305" w:type="dxa"/>
            <w:tcBorders>
              <w:top w:val="nil"/>
              <w:left w:val="nil"/>
              <w:bottom w:val="nil"/>
              <w:right w:val="nil"/>
            </w:tcBorders>
            <w:shd w:val="clear" w:color="auto" w:fill="auto"/>
            <w:noWrap/>
            <w:vAlign w:val="center"/>
            <w:hideMark/>
          </w:tcPr>
          <w:p w14:paraId="66FBF670" w14:textId="35F4CCE1" w:rsidR="00D77F60" w:rsidRPr="00D77F60" w:rsidRDefault="00D77F60" w:rsidP="00D77F60">
            <w:pPr>
              <w:spacing w:after="0" w:line="240" w:lineRule="auto"/>
              <w:ind w:firstLine="0"/>
              <w:jc w:val="center"/>
              <w:rPr>
                <w:rFonts w:eastAsia="Calibri" w:cs="Times New Roman"/>
                <w:color w:val="000000"/>
                <w:sz w:val="20"/>
                <w:szCs w:val="20"/>
              </w:rPr>
            </w:pPr>
            <w:r w:rsidRPr="00D77F60">
              <w:rPr>
                <w:i/>
                <w:iCs/>
                <w:color w:val="000000"/>
                <w:sz w:val="20"/>
                <w:szCs w:val="20"/>
              </w:rPr>
              <w:t>0.81</w:t>
            </w:r>
          </w:p>
        </w:tc>
        <w:tc>
          <w:tcPr>
            <w:tcW w:w="1307" w:type="dxa"/>
            <w:tcBorders>
              <w:top w:val="nil"/>
              <w:left w:val="nil"/>
              <w:bottom w:val="nil"/>
              <w:right w:val="single" w:sz="4" w:space="0" w:color="auto"/>
            </w:tcBorders>
            <w:shd w:val="clear" w:color="000000" w:fill="F2F2F2"/>
            <w:noWrap/>
            <w:vAlign w:val="center"/>
            <w:hideMark/>
          </w:tcPr>
          <w:p w14:paraId="6B2A1355" w14:textId="2CA9836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3.57</w:t>
            </w:r>
          </w:p>
        </w:tc>
        <w:tc>
          <w:tcPr>
            <w:tcW w:w="1305" w:type="dxa"/>
            <w:tcBorders>
              <w:top w:val="nil"/>
              <w:left w:val="nil"/>
              <w:bottom w:val="nil"/>
              <w:right w:val="nil"/>
            </w:tcBorders>
            <w:shd w:val="clear" w:color="auto" w:fill="auto"/>
            <w:noWrap/>
            <w:vAlign w:val="center"/>
            <w:hideMark/>
          </w:tcPr>
          <w:p w14:paraId="48348C41" w14:textId="70C43C2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9.41</w:t>
            </w:r>
          </w:p>
        </w:tc>
        <w:tc>
          <w:tcPr>
            <w:tcW w:w="1091" w:type="dxa"/>
            <w:tcBorders>
              <w:top w:val="nil"/>
              <w:left w:val="nil"/>
              <w:bottom w:val="nil"/>
              <w:right w:val="single" w:sz="4" w:space="0" w:color="auto"/>
            </w:tcBorders>
            <w:shd w:val="clear" w:color="000000" w:fill="F2F2F2"/>
            <w:noWrap/>
            <w:vAlign w:val="center"/>
            <w:hideMark/>
          </w:tcPr>
          <w:p w14:paraId="22F57481" w14:textId="03029229"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color w:val="000000"/>
                <w:sz w:val="20"/>
                <w:szCs w:val="20"/>
              </w:rPr>
              <w:t>1.91</w:t>
            </w:r>
          </w:p>
        </w:tc>
      </w:tr>
      <w:tr w:rsidR="00D77F60" w:rsidRPr="000F0973" w14:paraId="31BC5D0F" w14:textId="77777777" w:rsidTr="00D77F60">
        <w:trPr>
          <w:trHeight w:val="282"/>
        </w:trPr>
        <w:tc>
          <w:tcPr>
            <w:tcW w:w="2717" w:type="dxa"/>
            <w:tcBorders>
              <w:top w:val="nil"/>
              <w:left w:val="single" w:sz="4" w:space="0" w:color="auto"/>
              <w:bottom w:val="nil"/>
              <w:right w:val="single" w:sz="4" w:space="0" w:color="auto"/>
            </w:tcBorders>
            <w:shd w:val="clear" w:color="auto" w:fill="auto"/>
            <w:noWrap/>
            <w:vAlign w:val="bottom"/>
            <w:hideMark/>
          </w:tcPr>
          <w:p w14:paraId="6E2EA16B" w14:textId="77777777" w:rsidR="00D77F60" w:rsidRPr="000F0973" w:rsidRDefault="00D77F60" w:rsidP="00D77F60">
            <w:pPr>
              <w:spacing w:after="0" w:line="240" w:lineRule="auto"/>
              <w:ind w:firstLine="0"/>
              <w:jc w:val="lef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Debt-to-income ratio</w:t>
            </w:r>
          </w:p>
        </w:tc>
        <w:tc>
          <w:tcPr>
            <w:tcW w:w="1304" w:type="dxa"/>
            <w:tcBorders>
              <w:top w:val="nil"/>
              <w:left w:val="nil"/>
              <w:bottom w:val="nil"/>
              <w:right w:val="nil"/>
            </w:tcBorders>
            <w:shd w:val="clear" w:color="auto" w:fill="auto"/>
            <w:noWrap/>
            <w:vAlign w:val="center"/>
            <w:hideMark/>
          </w:tcPr>
          <w:p w14:paraId="0DF37FB5" w14:textId="6EB53DF7" w:rsidR="00D77F60" w:rsidRPr="00D77F60" w:rsidRDefault="00D77F60" w:rsidP="00D77F60">
            <w:pPr>
              <w:spacing w:after="0" w:line="240" w:lineRule="auto"/>
              <w:ind w:firstLine="0"/>
              <w:jc w:val="center"/>
              <w:rPr>
                <w:rFonts w:eastAsia="Calibri" w:cs="Times New Roman"/>
                <w:i/>
                <w:iCs/>
                <w:color w:val="000000"/>
                <w:sz w:val="20"/>
                <w:szCs w:val="20"/>
              </w:rPr>
            </w:pPr>
            <w:r w:rsidRPr="00D77F60">
              <w:rPr>
                <w:color w:val="000000"/>
                <w:sz w:val="20"/>
                <w:szCs w:val="20"/>
              </w:rPr>
              <w:t>17.30</w:t>
            </w:r>
          </w:p>
        </w:tc>
        <w:tc>
          <w:tcPr>
            <w:tcW w:w="1306" w:type="dxa"/>
            <w:tcBorders>
              <w:top w:val="nil"/>
              <w:left w:val="nil"/>
              <w:bottom w:val="nil"/>
              <w:right w:val="single" w:sz="4" w:space="0" w:color="auto"/>
            </w:tcBorders>
            <w:shd w:val="clear" w:color="000000" w:fill="F2F2F2"/>
            <w:noWrap/>
            <w:vAlign w:val="center"/>
            <w:hideMark/>
          </w:tcPr>
          <w:p w14:paraId="517703B7" w14:textId="26B917D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4.85</w:t>
            </w:r>
          </w:p>
        </w:tc>
        <w:tc>
          <w:tcPr>
            <w:tcW w:w="1305" w:type="dxa"/>
            <w:tcBorders>
              <w:top w:val="nil"/>
              <w:left w:val="nil"/>
              <w:bottom w:val="nil"/>
              <w:right w:val="nil"/>
            </w:tcBorders>
            <w:shd w:val="clear" w:color="auto" w:fill="auto"/>
            <w:noWrap/>
            <w:vAlign w:val="center"/>
            <w:hideMark/>
          </w:tcPr>
          <w:p w14:paraId="5DD66FD3" w14:textId="6A7F88B3"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12.39</w:t>
            </w:r>
          </w:p>
        </w:tc>
        <w:tc>
          <w:tcPr>
            <w:tcW w:w="1307" w:type="dxa"/>
            <w:tcBorders>
              <w:top w:val="nil"/>
              <w:left w:val="nil"/>
              <w:bottom w:val="nil"/>
              <w:right w:val="single" w:sz="4" w:space="0" w:color="auto"/>
            </w:tcBorders>
            <w:shd w:val="clear" w:color="000000" w:fill="F2F2F2"/>
            <w:noWrap/>
            <w:vAlign w:val="center"/>
            <w:hideMark/>
          </w:tcPr>
          <w:p w14:paraId="068CE485" w14:textId="1EA880C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4.39</w:t>
            </w:r>
          </w:p>
        </w:tc>
        <w:tc>
          <w:tcPr>
            <w:tcW w:w="1305" w:type="dxa"/>
            <w:tcBorders>
              <w:top w:val="nil"/>
              <w:left w:val="nil"/>
              <w:bottom w:val="nil"/>
              <w:right w:val="nil"/>
            </w:tcBorders>
            <w:shd w:val="clear" w:color="auto" w:fill="auto"/>
            <w:noWrap/>
            <w:vAlign w:val="center"/>
            <w:hideMark/>
          </w:tcPr>
          <w:p w14:paraId="66278740" w14:textId="3D787E2B"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9.46</w:t>
            </w:r>
          </w:p>
        </w:tc>
        <w:tc>
          <w:tcPr>
            <w:tcW w:w="1307" w:type="dxa"/>
            <w:tcBorders>
              <w:top w:val="nil"/>
              <w:left w:val="nil"/>
              <w:bottom w:val="nil"/>
              <w:right w:val="single" w:sz="4" w:space="0" w:color="auto"/>
            </w:tcBorders>
            <w:shd w:val="clear" w:color="000000" w:fill="F2F2F2"/>
            <w:noWrap/>
            <w:vAlign w:val="center"/>
            <w:hideMark/>
          </w:tcPr>
          <w:p w14:paraId="157C804A" w14:textId="07A49BE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15.12</w:t>
            </w:r>
          </w:p>
        </w:tc>
        <w:tc>
          <w:tcPr>
            <w:tcW w:w="1305" w:type="dxa"/>
            <w:tcBorders>
              <w:top w:val="nil"/>
              <w:left w:val="nil"/>
              <w:bottom w:val="nil"/>
              <w:right w:val="nil"/>
            </w:tcBorders>
            <w:shd w:val="clear" w:color="auto" w:fill="auto"/>
            <w:noWrap/>
            <w:vAlign w:val="center"/>
            <w:hideMark/>
          </w:tcPr>
          <w:p w14:paraId="645248C8" w14:textId="26BDFC6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9.60</w:t>
            </w:r>
          </w:p>
        </w:tc>
        <w:tc>
          <w:tcPr>
            <w:tcW w:w="1307" w:type="dxa"/>
            <w:tcBorders>
              <w:top w:val="nil"/>
              <w:left w:val="nil"/>
              <w:bottom w:val="nil"/>
              <w:right w:val="single" w:sz="4" w:space="0" w:color="auto"/>
            </w:tcBorders>
            <w:shd w:val="clear" w:color="000000" w:fill="F2F2F2"/>
            <w:noWrap/>
            <w:vAlign w:val="center"/>
            <w:hideMark/>
          </w:tcPr>
          <w:p w14:paraId="43BF1FCF" w14:textId="52A4C4A2"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13.47</w:t>
            </w:r>
          </w:p>
        </w:tc>
        <w:tc>
          <w:tcPr>
            <w:tcW w:w="1305" w:type="dxa"/>
            <w:tcBorders>
              <w:top w:val="nil"/>
              <w:left w:val="nil"/>
              <w:bottom w:val="nil"/>
              <w:right w:val="nil"/>
            </w:tcBorders>
            <w:shd w:val="clear" w:color="auto" w:fill="auto"/>
            <w:noWrap/>
            <w:vAlign w:val="center"/>
            <w:hideMark/>
          </w:tcPr>
          <w:p w14:paraId="16342B68" w14:textId="3D1A0B9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14.29</w:t>
            </w:r>
          </w:p>
        </w:tc>
        <w:tc>
          <w:tcPr>
            <w:tcW w:w="1091" w:type="dxa"/>
            <w:tcBorders>
              <w:top w:val="nil"/>
              <w:left w:val="nil"/>
              <w:bottom w:val="nil"/>
              <w:right w:val="single" w:sz="4" w:space="0" w:color="auto"/>
            </w:tcBorders>
            <w:shd w:val="clear" w:color="000000" w:fill="F2F2F2"/>
            <w:noWrap/>
            <w:vAlign w:val="center"/>
            <w:hideMark/>
          </w:tcPr>
          <w:p w14:paraId="6A71FB23" w14:textId="51A2428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13.67</w:t>
            </w:r>
          </w:p>
        </w:tc>
      </w:tr>
      <w:tr w:rsidR="00D77F60" w:rsidRPr="000F0973" w14:paraId="67234EE0" w14:textId="77777777" w:rsidTr="00D77F60">
        <w:trPr>
          <w:trHeight w:val="282"/>
        </w:trPr>
        <w:tc>
          <w:tcPr>
            <w:tcW w:w="2717" w:type="dxa"/>
            <w:tcBorders>
              <w:top w:val="nil"/>
              <w:left w:val="single" w:sz="4" w:space="0" w:color="auto"/>
              <w:bottom w:val="single" w:sz="4" w:space="0" w:color="auto"/>
              <w:right w:val="single" w:sz="4" w:space="0" w:color="auto"/>
            </w:tcBorders>
            <w:shd w:val="clear" w:color="auto" w:fill="auto"/>
            <w:noWrap/>
            <w:vAlign w:val="bottom"/>
            <w:hideMark/>
          </w:tcPr>
          <w:p w14:paraId="224ADF25" w14:textId="77777777" w:rsidR="00D77F60" w:rsidRPr="000F0973" w:rsidRDefault="00D77F60" w:rsidP="00D77F60">
            <w:pPr>
              <w:spacing w:after="0" w:line="240" w:lineRule="auto"/>
              <w:ind w:firstLine="0"/>
              <w:jc w:val="right"/>
              <w:rPr>
                <w:rFonts w:ascii="Times New Roman" w:eastAsia="Times New Roman" w:hAnsi="Times New Roman" w:cs="Times New Roman"/>
                <w:color w:val="000000"/>
                <w:sz w:val="20"/>
                <w:szCs w:val="20"/>
              </w:rPr>
            </w:pPr>
            <w:r w:rsidRPr="000F0973">
              <w:rPr>
                <w:rFonts w:ascii="Times New Roman" w:eastAsia="Times New Roman" w:hAnsi="Times New Roman" w:cs="Times New Roman"/>
                <w:color w:val="000000"/>
                <w:sz w:val="20"/>
                <w:szCs w:val="20"/>
              </w:rPr>
              <w:t>N</w:t>
            </w:r>
          </w:p>
        </w:tc>
        <w:tc>
          <w:tcPr>
            <w:tcW w:w="1304" w:type="dxa"/>
            <w:tcBorders>
              <w:top w:val="nil"/>
              <w:left w:val="nil"/>
              <w:bottom w:val="single" w:sz="4" w:space="0" w:color="auto"/>
              <w:right w:val="nil"/>
            </w:tcBorders>
            <w:shd w:val="clear" w:color="auto" w:fill="auto"/>
            <w:noWrap/>
            <w:vAlign w:val="center"/>
            <w:hideMark/>
          </w:tcPr>
          <w:p w14:paraId="2D5F47FD" w14:textId="790CB92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9,773</w:t>
            </w:r>
          </w:p>
        </w:tc>
        <w:tc>
          <w:tcPr>
            <w:tcW w:w="1306" w:type="dxa"/>
            <w:tcBorders>
              <w:top w:val="nil"/>
              <w:left w:val="nil"/>
              <w:bottom w:val="single" w:sz="4" w:space="0" w:color="auto"/>
              <w:right w:val="single" w:sz="4" w:space="0" w:color="auto"/>
            </w:tcBorders>
            <w:shd w:val="clear" w:color="000000" w:fill="F2F2F2"/>
            <w:noWrap/>
            <w:vAlign w:val="center"/>
            <w:hideMark/>
          </w:tcPr>
          <w:p w14:paraId="3B597B91" w14:textId="6329033A"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332</w:t>
            </w:r>
          </w:p>
        </w:tc>
        <w:tc>
          <w:tcPr>
            <w:tcW w:w="1305" w:type="dxa"/>
            <w:tcBorders>
              <w:top w:val="nil"/>
              <w:left w:val="nil"/>
              <w:bottom w:val="single" w:sz="4" w:space="0" w:color="auto"/>
              <w:right w:val="nil"/>
            </w:tcBorders>
            <w:shd w:val="clear" w:color="auto" w:fill="auto"/>
            <w:noWrap/>
            <w:vAlign w:val="center"/>
            <w:hideMark/>
          </w:tcPr>
          <w:p w14:paraId="72E64E87" w14:textId="08C3017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9,943</w:t>
            </w:r>
          </w:p>
        </w:tc>
        <w:tc>
          <w:tcPr>
            <w:tcW w:w="1307" w:type="dxa"/>
            <w:tcBorders>
              <w:top w:val="nil"/>
              <w:left w:val="nil"/>
              <w:bottom w:val="single" w:sz="4" w:space="0" w:color="auto"/>
              <w:right w:val="single" w:sz="4" w:space="0" w:color="auto"/>
            </w:tcBorders>
            <w:shd w:val="clear" w:color="000000" w:fill="F2F2F2"/>
            <w:noWrap/>
            <w:vAlign w:val="center"/>
            <w:hideMark/>
          </w:tcPr>
          <w:p w14:paraId="085F7D9E" w14:textId="01A1C4C0"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892</w:t>
            </w:r>
          </w:p>
        </w:tc>
        <w:tc>
          <w:tcPr>
            <w:tcW w:w="1305" w:type="dxa"/>
            <w:tcBorders>
              <w:top w:val="nil"/>
              <w:left w:val="nil"/>
              <w:bottom w:val="single" w:sz="4" w:space="0" w:color="auto"/>
              <w:right w:val="nil"/>
            </w:tcBorders>
            <w:shd w:val="clear" w:color="auto" w:fill="auto"/>
            <w:noWrap/>
            <w:vAlign w:val="center"/>
            <w:hideMark/>
          </w:tcPr>
          <w:p w14:paraId="5262D184" w14:textId="12B0DD4C"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9,425</w:t>
            </w:r>
          </w:p>
        </w:tc>
        <w:tc>
          <w:tcPr>
            <w:tcW w:w="1307" w:type="dxa"/>
            <w:tcBorders>
              <w:top w:val="nil"/>
              <w:left w:val="nil"/>
              <w:bottom w:val="single" w:sz="4" w:space="0" w:color="auto"/>
              <w:right w:val="single" w:sz="4" w:space="0" w:color="auto"/>
            </w:tcBorders>
            <w:shd w:val="clear" w:color="000000" w:fill="F2F2F2"/>
            <w:noWrap/>
            <w:vAlign w:val="center"/>
            <w:hideMark/>
          </w:tcPr>
          <w:p w14:paraId="340C9ADB" w14:textId="2C90F784"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1,505</w:t>
            </w:r>
          </w:p>
        </w:tc>
        <w:tc>
          <w:tcPr>
            <w:tcW w:w="1305" w:type="dxa"/>
            <w:tcBorders>
              <w:top w:val="nil"/>
              <w:left w:val="nil"/>
              <w:bottom w:val="single" w:sz="4" w:space="0" w:color="auto"/>
              <w:right w:val="nil"/>
            </w:tcBorders>
            <w:shd w:val="clear" w:color="auto" w:fill="auto"/>
            <w:noWrap/>
            <w:vAlign w:val="center"/>
            <w:hideMark/>
          </w:tcPr>
          <w:p w14:paraId="629D9E98" w14:textId="1710B7D9"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13,495</w:t>
            </w:r>
          </w:p>
        </w:tc>
        <w:tc>
          <w:tcPr>
            <w:tcW w:w="1307" w:type="dxa"/>
            <w:tcBorders>
              <w:top w:val="nil"/>
              <w:left w:val="nil"/>
              <w:bottom w:val="single" w:sz="4" w:space="0" w:color="auto"/>
              <w:right w:val="single" w:sz="4" w:space="0" w:color="auto"/>
            </w:tcBorders>
            <w:shd w:val="clear" w:color="000000" w:fill="F2F2F2"/>
            <w:noWrap/>
            <w:vAlign w:val="center"/>
            <w:hideMark/>
          </w:tcPr>
          <w:p w14:paraId="53DA21A8" w14:textId="303E2AC6"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3,740</w:t>
            </w:r>
          </w:p>
        </w:tc>
        <w:tc>
          <w:tcPr>
            <w:tcW w:w="1305" w:type="dxa"/>
            <w:tcBorders>
              <w:top w:val="nil"/>
              <w:left w:val="nil"/>
              <w:bottom w:val="single" w:sz="4" w:space="0" w:color="auto"/>
              <w:right w:val="nil"/>
            </w:tcBorders>
            <w:shd w:val="clear" w:color="auto" w:fill="auto"/>
            <w:noWrap/>
            <w:vAlign w:val="center"/>
            <w:hideMark/>
          </w:tcPr>
          <w:p w14:paraId="724A0E35" w14:textId="62CFFD65"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12,240</w:t>
            </w:r>
          </w:p>
        </w:tc>
        <w:tc>
          <w:tcPr>
            <w:tcW w:w="1091" w:type="dxa"/>
            <w:tcBorders>
              <w:top w:val="nil"/>
              <w:left w:val="nil"/>
              <w:bottom w:val="single" w:sz="4" w:space="0" w:color="auto"/>
              <w:right w:val="single" w:sz="4" w:space="0" w:color="auto"/>
            </w:tcBorders>
            <w:shd w:val="clear" w:color="000000" w:fill="F2F2F2"/>
            <w:noWrap/>
            <w:vAlign w:val="center"/>
            <w:hideMark/>
          </w:tcPr>
          <w:p w14:paraId="1E1001D7" w14:textId="04EF3FDF" w:rsidR="00D77F60" w:rsidRPr="00D77F60" w:rsidRDefault="00D77F60" w:rsidP="00D77F60">
            <w:pPr>
              <w:spacing w:after="0" w:line="240" w:lineRule="auto"/>
              <w:ind w:firstLine="0"/>
              <w:jc w:val="center"/>
              <w:rPr>
                <w:rFonts w:eastAsia="Calibri" w:cs="Times New Roman"/>
                <w:color w:val="000000"/>
                <w:sz w:val="20"/>
                <w:szCs w:val="20"/>
              </w:rPr>
            </w:pPr>
            <w:r w:rsidRPr="00D77F60">
              <w:rPr>
                <w:color w:val="000000"/>
                <w:sz w:val="20"/>
                <w:szCs w:val="20"/>
              </w:rPr>
              <w:t>4,690</w:t>
            </w:r>
          </w:p>
        </w:tc>
      </w:tr>
    </w:tbl>
    <w:p w14:paraId="0E022895" w14:textId="77777777" w:rsidR="000F0973" w:rsidRPr="000F0973" w:rsidRDefault="000F0973" w:rsidP="000F0973">
      <w:pPr>
        <w:spacing w:after="0" w:line="240" w:lineRule="auto"/>
        <w:ind w:firstLine="0"/>
        <w:jc w:val="center"/>
        <w:rPr>
          <w:rFonts w:ascii="Times New Roman" w:eastAsia="Calibri" w:hAnsi="Times New Roman" w:cs="Times New Roman"/>
          <w:sz w:val="20"/>
          <w:szCs w:val="20"/>
        </w:rPr>
      </w:pPr>
      <w:r w:rsidRPr="000F0973">
        <w:rPr>
          <w:rFonts w:ascii="Times New Roman" w:eastAsia="Calibri" w:hAnsi="Times New Roman" w:cs="Times New Roman"/>
          <w:b/>
          <w:sz w:val="20"/>
          <w:szCs w:val="20"/>
        </w:rPr>
        <w:t>Notes</w:t>
      </w:r>
      <w:r w:rsidRPr="000F0973">
        <w:rPr>
          <w:rFonts w:ascii="Times New Roman" w:eastAsia="Calibri" w:hAnsi="Times New Roman" w:cs="Times New Roman"/>
          <w:sz w:val="20"/>
          <w:szCs w:val="20"/>
        </w:rPr>
        <w:t>: Baby boomers are respondents born between 1946 and 1964. Millennials are respondents born between 1980 and 1995. Italics indicate that the Theil-Sen median slope is not statistically different from zero. Underlined estimates indicate overlapping confidence intervals.</w:t>
      </w:r>
    </w:p>
    <w:p w14:paraId="13789C85" w14:textId="7D688DE1" w:rsidR="00CA0E44" w:rsidRDefault="00CA0E44" w:rsidP="00CA0E44">
      <w:pPr>
        <w:widowControl w:val="0"/>
        <w:autoSpaceDE w:val="0"/>
        <w:autoSpaceDN w:val="0"/>
        <w:adjustRightInd w:val="0"/>
        <w:spacing w:after="0" w:line="240" w:lineRule="auto"/>
        <w:ind w:firstLine="0"/>
        <w:jc w:val="center"/>
        <w:rPr>
          <w:rFonts w:ascii="Times New Roman" w:eastAsia="Times New Roman" w:hAnsi="Times New Roman" w:cs="Times New Roman"/>
          <w:lang w:eastAsia="en-GB"/>
        </w:rPr>
      </w:pPr>
    </w:p>
    <w:p w14:paraId="39F983E4" w14:textId="77777777" w:rsidR="000F0973" w:rsidRDefault="000F0973" w:rsidP="00CA0E44">
      <w:pPr>
        <w:widowControl w:val="0"/>
        <w:autoSpaceDE w:val="0"/>
        <w:autoSpaceDN w:val="0"/>
        <w:adjustRightInd w:val="0"/>
        <w:spacing w:after="0" w:line="240" w:lineRule="auto"/>
        <w:ind w:firstLine="0"/>
        <w:jc w:val="center"/>
        <w:rPr>
          <w:rFonts w:ascii="Times New Roman" w:eastAsia="Times New Roman" w:hAnsi="Times New Roman" w:cs="Times New Roman"/>
          <w:lang w:eastAsia="en-GB"/>
        </w:rPr>
        <w:sectPr w:rsidR="000F0973" w:rsidSect="000F0973">
          <w:pgSz w:w="16840" w:h="11900" w:orient="landscape"/>
          <w:pgMar w:top="720" w:right="720" w:bottom="720" w:left="720" w:header="708" w:footer="708" w:gutter="0"/>
          <w:cols w:space="708"/>
          <w:docGrid w:linePitch="360"/>
        </w:sectPr>
      </w:pPr>
    </w:p>
    <w:p w14:paraId="151965FF" w14:textId="0D1545B1" w:rsidR="00CA0E44" w:rsidRPr="00E92972" w:rsidRDefault="007A4025" w:rsidP="00401C40">
      <w:pPr>
        <w:pStyle w:val="MyHeading2"/>
        <w:numPr>
          <w:ilvl w:val="1"/>
          <w:numId w:val="2"/>
        </w:numPr>
        <w:ind w:left="426"/>
      </w:pPr>
      <w:r>
        <w:lastRenderedPageBreak/>
        <w:t xml:space="preserve"> </w:t>
      </w:r>
      <w:r w:rsidR="00401C40">
        <w:t>Regression analysis</w:t>
      </w:r>
    </w:p>
    <w:p w14:paraId="48C8345F" w14:textId="62FF309F" w:rsidR="00915480" w:rsidRDefault="006E6EF1" w:rsidP="00915480">
      <w:pPr>
        <w:ind w:firstLine="0"/>
      </w:pPr>
      <w:r>
        <w:t xml:space="preserve">The previous analysis </w:t>
      </w:r>
      <w:r w:rsidR="00915480">
        <w:t xml:space="preserve">undertook a non-parametric evaluation of the empirical regularities between wealth composition and </w:t>
      </w:r>
      <w:r w:rsidR="00AE300C">
        <w:t>relative income</w:t>
      </w:r>
      <w:r w:rsidR="00424D08">
        <w:t>, examining differences between different household groups.</w:t>
      </w:r>
      <w:r w:rsidR="00915480">
        <w:t xml:space="preserve"> A limitation of this analysis is that it does not consider how the empirical relationship holds when controlling for the potential impact of household characteristics on relative income. To this end, the following analysis </w:t>
      </w:r>
      <w:r w:rsidR="00783B52">
        <w:t xml:space="preserve">uses the extra sum-of-squares F-test to </w:t>
      </w:r>
      <w:r w:rsidR="00915480">
        <w:t xml:space="preserve">compare </w:t>
      </w:r>
      <w:r w:rsidR="00847611">
        <w:t>performance</w:t>
      </w:r>
      <w:r w:rsidR="00915480">
        <w:t xml:space="preserve"> of</w:t>
      </w:r>
      <w:r w:rsidR="00783B52">
        <w:t xml:space="preserve"> a</w:t>
      </w:r>
      <w:r w:rsidR="00915480">
        <w:t xml:space="preserve"> regression</w:t>
      </w:r>
      <w:r w:rsidR="00847611">
        <w:t xml:space="preserve"> specification</w:t>
      </w:r>
      <w:r w:rsidR="00915480">
        <w:t xml:space="preserve"> including only </w:t>
      </w:r>
      <w:r w:rsidR="00847611">
        <w:t>household</w:t>
      </w:r>
      <w:r w:rsidR="00915480">
        <w:t xml:space="preserve"> controls with specifications including controls and balance sheet variables, as described in</w:t>
      </w:r>
      <w:r w:rsidR="00915480" w:rsidRPr="00915480">
        <w:t xml:space="preserve"> </w:t>
      </w:r>
      <w:r w:rsidR="00915480">
        <w:t xml:space="preserve">Section 2. </w:t>
      </w:r>
    </w:p>
    <w:p w14:paraId="6E99DD9D" w14:textId="6EDC845E" w:rsidR="00775754" w:rsidRPr="000926C8" w:rsidRDefault="00775754" w:rsidP="008D68A2">
      <w:r>
        <w:t>The extra sum-of-squares F-test evaluates which of two nested regression models is preferred. In the present case, regression specification including controls only is nested in the extended specifications including balance sheet variables. The F-test estimates the relative increase in the sum of squared errors in the reduced regression specification (with controls only</w:t>
      </w:r>
      <w:r w:rsidR="00485E19">
        <w:t>) and</w:t>
      </w:r>
      <w:r>
        <w:t xml:space="preserve"> compares it to the relative gain in the degrees of freedom. The null hypothesis of the F-test is that the reduced model without balance sheet variables is superior to the extended specification as the additional regressor in the extended model does not lead to a significant decrease in the error sum of squares</w:t>
      </w:r>
      <w:r w:rsidR="000926C8">
        <w:t xml:space="preserve">. The obtained F </w:t>
      </w:r>
      <w:r w:rsidR="009E3779">
        <w:t>statistic</w:t>
      </w:r>
      <w:r w:rsidR="000926C8">
        <w:t xml:space="preserve"> is shown in </w:t>
      </w:r>
      <w:r w:rsidR="00336133">
        <w:t>Equation 4</w:t>
      </w:r>
      <w:r w:rsidR="000926C8">
        <w:t>, where SS</w:t>
      </w:r>
      <w:r w:rsidR="000926C8" w:rsidRPr="000926C8">
        <w:rPr>
          <w:vertAlign w:val="subscript"/>
        </w:rPr>
        <w:t>1</w:t>
      </w:r>
      <w:r w:rsidR="000926C8">
        <w:t xml:space="preserve"> and DF</w:t>
      </w:r>
      <w:r w:rsidR="000926C8" w:rsidRPr="000926C8">
        <w:rPr>
          <w:vertAlign w:val="subscript"/>
        </w:rPr>
        <w:t>1</w:t>
      </w:r>
      <w:r w:rsidR="000926C8">
        <w:t xml:space="preserve"> are the sum-of-squares and the degrees of freedom of the reduced model with controls only, and SS</w:t>
      </w:r>
      <w:r w:rsidR="000926C8">
        <w:rPr>
          <w:vertAlign w:val="subscript"/>
        </w:rPr>
        <w:t>2</w:t>
      </w:r>
      <w:r w:rsidR="000926C8">
        <w:t xml:space="preserve"> and DF</w:t>
      </w:r>
      <w:r w:rsidR="000926C8">
        <w:rPr>
          <w:vertAlign w:val="subscript"/>
        </w:rPr>
        <w:t xml:space="preserve">2  </w:t>
      </w:r>
      <w:r w:rsidR="008203C7">
        <w:rPr>
          <w:vertAlign w:val="subscript"/>
        </w:rPr>
        <w:t xml:space="preserve"> </w:t>
      </w:r>
      <w:r w:rsidR="000926C8">
        <w:t xml:space="preserve">are the respective statistics of the extended </w:t>
      </w:r>
      <w:r w:rsidR="008D68A2">
        <w:t>specifications</w:t>
      </w:r>
      <w:r w:rsidR="000926C8">
        <w:t xml:space="preserve"> including balance sheet variables.</w:t>
      </w:r>
      <w:r w:rsidR="009E3779">
        <w:t xml:space="preserve"> </w:t>
      </w:r>
      <w:r w:rsidR="008D68A2">
        <w:t>The resulting F statistic is compared to the critical values of F distribution to determine rejection of the null hypothesis.</w:t>
      </w:r>
    </w:p>
    <w:p w14:paraId="3622A0E1" w14:textId="29EF9AEA" w:rsidR="00336133" w:rsidRDefault="000926C8" w:rsidP="000926C8">
      <w:pPr>
        <w:jc w:val="right"/>
      </w:pPr>
      <m:oMath>
        <m:r>
          <w:rPr>
            <w:rFonts w:ascii="Cambria Math" w:hAnsi="Cambria Math"/>
          </w:rPr>
          <m:t>F=</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2</m:t>
                </m:r>
              </m:sub>
            </m:sSub>
            <m:r>
              <w:rPr>
                <w:rFonts w:ascii="Cambria Math" w:hAnsi="Cambria Math"/>
              </w:rPr>
              <m:t>)</m:t>
            </m:r>
          </m:num>
          <m:den>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2</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00336133">
        <w:t>(4)</w:t>
      </w:r>
    </w:p>
    <w:p w14:paraId="35EF3651" w14:textId="42FD121E" w:rsidR="00775754" w:rsidRDefault="00775754" w:rsidP="00775754">
      <w:r>
        <w:t>Table 6 shows that according to the results of the extra sum-of-squares F-test, in the vast majority of cases inclusion of balance sheet variables leads to statistically significant reduction in the error sum of squares, indicating that the extended specifications perform better than the reduced model. Exceptions</w:t>
      </w:r>
      <w:r w:rsidR="00C9070C">
        <w:t xml:space="preserve"> (marked in italics)</w:t>
      </w:r>
      <w:r>
        <w:t xml:space="preserve"> include the extended regression including the relative holdings of </w:t>
      </w:r>
      <w:r w:rsidR="009B7ACC">
        <w:t xml:space="preserve">primary residence in 1989, relative holdings </w:t>
      </w:r>
      <w:r>
        <w:t xml:space="preserve">of other types of debt in </w:t>
      </w:r>
      <w:r w:rsidR="00FE09BB">
        <w:t>1992, 1995, 2001, 2004, and 2013</w:t>
      </w:r>
      <w:r>
        <w:t>, as well as the debt-to-asset ratio in 2001</w:t>
      </w:r>
      <w:r w:rsidR="00FE09BB">
        <w:t xml:space="preserve"> </w:t>
      </w:r>
      <w:r>
        <w:t>and 200</w:t>
      </w:r>
      <w:r w:rsidR="00FE09BB">
        <w:t>7</w:t>
      </w:r>
      <w:r>
        <w:t xml:space="preserve">. In these cases, the estimated coefficients of these balance </w:t>
      </w:r>
      <w:r w:rsidRPr="008B5FB9">
        <w:t xml:space="preserve">sheet variables are not statistically different from zero at 5% level (as shown in Table </w:t>
      </w:r>
      <w:r w:rsidR="008B5FB9" w:rsidRPr="008B5FB9">
        <w:t>B</w:t>
      </w:r>
      <w:r w:rsidRPr="008B5FB9">
        <w:t>3 in Appendix</w:t>
      </w:r>
      <w:r w:rsidR="008B5FB9">
        <w:t xml:space="preserve"> B</w:t>
      </w:r>
      <w:r>
        <w:t xml:space="preserve">). </w:t>
      </w:r>
    </w:p>
    <w:p w14:paraId="1875F425" w14:textId="780A949C" w:rsidR="00775754" w:rsidRDefault="00775754" w:rsidP="00E71C2E">
      <w:pPr>
        <w:rPr>
          <w:rFonts w:ascii="Times New Roman" w:hAnsi="Times New Roman" w:cs="Times New Roman"/>
        </w:rPr>
      </w:pPr>
      <w:r>
        <w:t>As an additional insight into the relative performance of regression specifications including balance sheet variables, Table 6 reports the RMSE and adjusted R</w:t>
      </w:r>
      <w:r w:rsidRPr="006E191D">
        <w:rPr>
          <w:vertAlign w:val="superscript"/>
        </w:rPr>
        <w:t>2</w:t>
      </w:r>
      <w:r>
        <w:t xml:space="preserve"> of the respective regressions. The adjusted R</w:t>
      </w:r>
      <w:r w:rsidRPr="00775754">
        <w:rPr>
          <w:vertAlign w:val="superscript"/>
        </w:rPr>
        <w:t>2</w:t>
      </w:r>
      <w:r>
        <w:t xml:space="preserve"> indicates that the proposed specifications explain </w:t>
      </w:r>
      <w:r w:rsidR="00FE09BB">
        <w:t>between 30% and 40%</w:t>
      </w:r>
      <w:r>
        <w:t xml:space="preserve"> of </w:t>
      </w:r>
      <w:r>
        <w:lastRenderedPageBreak/>
        <w:t xml:space="preserve">variation in the </w:t>
      </w:r>
      <w:r w:rsidR="00AE300C">
        <w:t>median income ratio</w:t>
      </w:r>
      <w:r>
        <w:t xml:space="preserve"> over time. The differences in the adjusted R</w:t>
      </w:r>
      <w:r w:rsidRPr="00775754">
        <w:rPr>
          <w:vertAlign w:val="superscript"/>
        </w:rPr>
        <w:t>2</w:t>
      </w:r>
      <w:r>
        <w:t xml:space="preserve"> upon inclusion of balance sheet variables are minimal – in the majority of cases, the statistic doesn’t change or changes by +/- 0.01. Generally, inclusion of balance sheet variables increases the value of adjusted R</w:t>
      </w:r>
      <w:r w:rsidRPr="00775754">
        <w:rPr>
          <w:vertAlign w:val="superscript"/>
        </w:rPr>
        <w:t>2</w:t>
      </w:r>
      <w:r>
        <w:t xml:space="preserve"> in the case of relative asset holdings and leverage measures from </w:t>
      </w:r>
      <w:r w:rsidR="00FE09BB">
        <w:t>2004</w:t>
      </w:r>
      <w:r>
        <w:t xml:space="preserve"> onwards. The gains are the largest when regression includes </w:t>
      </w:r>
      <w:r w:rsidR="00FE09BB">
        <w:t>relative holdings of vehicles and other non-financial assets, mortgages secured by other property,</w:t>
      </w:r>
      <w:r>
        <w:t xml:space="preserve"> the debt-service-to-income ratio or the debt-to-income ratio. </w:t>
      </w:r>
      <w:r w:rsidRPr="00A42E7A">
        <w:t>Low R</w:t>
      </w:r>
      <w:r w:rsidRPr="00A42E7A">
        <w:rPr>
          <w:vertAlign w:val="superscript"/>
        </w:rPr>
        <w:t xml:space="preserve">2 </w:t>
      </w:r>
      <w:r w:rsidRPr="00A42E7A">
        <w:t>is expected</w:t>
      </w:r>
      <w:r w:rsidR="00E71C2E">
        <w:t xml:space="preserve"> in survey data</w:t>
      </w:r>
      <w:r w:rsidRPr="00A42E7A">
        <w:t xml:space="preserve"> given the large sample size, but it may signal omitted variable problems</w:t>
      </w:r>
      <w:r w:rsidR="00E71C2E">
        <w:t xml:space="preserve">, which is </w:t>
      </w:r>
      <w:r>
        <w:t>confirmed by rejection of null hypothesis of no omitted variables in the Ramsey RESET test</w:t>
      </w:r>
      <w:r w:rsidRPr="00A42E7A">
        <w:t>.</w:t>
      </w:r>
      <w:r>
        <w:t xml:space="preserve"> </w:t>
      </w:r>
      <w:r w:rsidRPr="00A42E7A">
        <w:t xml:space="preserve">For this reason, </w:t>
      </w:r>
      <w:r w:rsidR="004C4220">
        <w:t>results</w:t>
      </w:r>
      <w:r w:rsidRPr="00A42E7A">
        <w:t xml:space="preserve"> also compare the Root Mean Squared Error (RMSE), which takes a square root of the ratio of the residual sum of squares in the regression to its degrees of freedom.</w:t>
      </w:r>
      <w:r>
        <w:t xml:space="preserve"> </w:t>
      </w:r>
      <w:r w:rsidR="00E179BD">
        <w:t>Marginally l</w:t>
      </w:r>
      <w:r>
        <w:t>ower values are obtained for the reduced regression in all years, with the exception of specifications including the debt-service-to-income ratio or the debt-to-income ratio.</w:t>
      </w:r>
    </w:p>
    <w:p w14:paraId="2EA4ACBB" w14:textId="7F134C21" w:rsidR="00401C40" w:rsidRDefault="00775754" w:rsidP="00A13BA8">
      <w:pPr>
        <w:rPr>
          <w:rFonts w:ascii="Times New Roman" w:hAnsi="Times New Roman" w:cs="Times New Roman"/>
        </w:rPr>
      </w:pPr>
      <w:r w:rsidRPr="00E71C2E">
        <w:rPr>
          <w:rFonts w:ascii="Times New Roman" w:hAnsi="Times New Roman" w:cs="Times New Roman"/>
        </w:rPr>
        <w:t>In sum, t</w:t>
      </w:r>
      <w:r w:rsidR="00A13BA8" w:rsidRPr="00E71C2E">
        <w:rPr>
          <w:rFonts w:ascii="Times New Roman" w:hAnsi="Times New Roman" w:cs="Times New Roman"/>
        </w:rPr>
        <w:t xml:space="preserve">hese findings suggest that household wealth </w:t>
      </w:r>
      <w:r w:rsidRPr="00E71C2E">
        <w:rPr>
          <w:rFonts w:ascii="Times New Roman" w:hAnsi="Times New Roman" w:cs="Times New Roman"/>
        </w:rPr>
        <w:t>composition</w:t>
      </w:r>
      <w:r w:rsidR="00A13BA8" w:rsidRPr="00E71C2E">
        <w:rPr>
          <w:rFonts w:ascii="Times New Roman" w:hAnsi="Times New Roman" w:cs="Times New Roman"/>
        </w:rPr>
        <w:t xml:space="preserve"> significantly affects position in the income distribution relative to the median, and thus needs to be considered as an independent factor shaping income inequality.</w:t>
      </w:r>
      <w:r w:rsidRPr="00E71C2E">
        <w:rPr>
          <w:rFonts w:ascii="Times New Roman" w:hAnsi="Times New Roman" w:cs="Times New Roman"/>
        </w:rPr>
        <w:t xml:space="preserve"> Nevertheless,</w:t>
      </w:r>
      <w:r w:rsidR="00E71C2E" w:rsidRPr="00E71C2E">
        <w:rPr>
          <w:rFonts w:ascii="Times New Roman" w:hAnsi="Times New Roman" w:cs="Times New Roman"/>
        </w:rPr>
        <w:t xml:space="preserve"> the regression analysis suffers from major specification and estimation problems owing to the multiply imputed survey design of the data and insufficient information on macroeconomic determinants of income, as outlined in Section 2. </w:t>
      </w:r>
      <w:r w:rsidR="00A13BA8" w:rsidRPr="00E71C2E">
        <w:rPr>
          <w:rFonts w:ascii="Times New Roman" w:hAnsi="Times New Roman" w:cs="Times New Roman"/>
        </w:rPr>
        <w:t xml:space="preserve">In addition to the potential omitted variable bias, a further limitation of </w:t>
      </w:r>
      <w:r w:rsidR="00E71C2E" w:rsidRPr="00E71C2E">
        <w:rPr>
          <w:rFonts w:ascii="Times New Roman" w:hAnsi="Times New Roman" w:cs="Times New Roman"/>
        </w:rPr>
        <w:t xml:space="preserve">regression analysis </w:t>
      </w:r>
      <w:r w:rsidR="00A13BA8" w:rsidRPr="00E71C2E">
        <w:rPr>
          <w:rFonts w:ascii="Times New Roman" w:hAnsi="Times New Roman" w:cs="Times New Roman"/>
        </w:rPr>
        <w:t>arise</w:t>
      </w:r>
      <w:r w:rsidR="00E71C2E" w:rsidRPr="00E71C2E">
        <w:rPr>
          <w:rFonts w:ascii="Times New Roman" w:hAnsi="Times New Roman" w:cs="Times New Roman"/>
        </w:rPr>
        <w:t>s</w:t>
      </w:r>
      <w:r w:rsidR="00A13BA8" w:rsidRPr="00E71C2E">
        <w:rPr>
          <w:rFonts w:ascii="Times New Roman" w:hAnsi="Times New Roman" w:cs="Times New Roman"/>
        </w:rPr>
        <w:t xml:space="preserve"> due to the endogeneity issues associated with the interplay between income and wealth,</w:t>
      </w:r>
      <w:r w:rsidR="00E71C2E" w:rsidRPr="00E71C2E">
        <w:rPr>
          <w:rFonts w:ascii="Times New Roman" w:hAnsi="Times New Roman" w:cs="Times New Roman"/>
        </w:rPr>
        <w:t xml:space="preserve"> and the non-normal and heteroscedastic error structure</w:t>
      </w:r>
      <w:r w:rsidR="00A13BA8" w:rsidRPr="00E71C2E">
        <w:rPr>
          <w:rFonts w:ascii="Times New Roman" w:hAnsi="Times New Roman" w:cs="Times New Roman"/>
        </w:rPr>
        <w:t xml:space="preserve">. For this reason, </w:t>
      </w:r>
      <w:r w:rsidR="00E71C2E" w:rsidRPr="00E71C2E">
        <w:rPr>
          <w:rFonts w:ascii="Times New Roman" w:hAnsi="Times New Roman" w:cs="Times New Roman"/>
        </w:rPr>
        <w:t>the reported regression</w:t>
      </w:r>
      <w:r w:rsidR="00A13BA8" w:rsidRPr="00E71C2E">
        <w:rPr>
          <w:rFonts w:ascii="Times New Roman" w:hAnsi="Times New Roman" w:cs="Times New Roman"/>
        </w:rPr>
        <w:t xml:space="preserve"> exercise should be treated as an illustration of the statistical significance of the relationship between household </w:t>
      </w:r>
      <w:r w:rsidR="00CE13BB">
        <w:rPr>
          <w:rFonts w:ascii="Times New Roman" w:hAnsi="Times New Roman" w:cs="Times New Roman"/>
        </w:rPr>
        <w:t>wealth</w:t>
      </w:r>
      <w:r w:rsidR="00A13BA8" w:rsidRPr="00E71C2E">
        <w:rPr>
          <w:rFonts w:ascii="Times New Roman" w:hAnsi="Times New Roman" w:cs="Times New Roman"/>
        </w:rPr>
        <w:t xml:space="preserve"> composition and </w:t>
      </w:r>
      <w:r w:rsidR="00CE13BB">
        <w:rPr>
          <w:rFonts w:ascii="Times New Roman" w:hAnsi="Times New Roman" w:cs="Times New Roman"/>
        </w:rPr>
        <w:t>relative</w:t>
      </w:r>
      <w:r w:rsidR="00A13BA8" w:rsidRPr="00E71C2E">
        <w:rPr>
          <w:rFonts w:ascii="Times New Roman" w:hAnsi="Times New Roman" w:cs="Times New Roman"/>
        </w:rPr>
        <w:t xml:space="preserve"> income when controlling for household characteristics, rather than estimation of a</w:t>
      </w:r>
      <w:r w:rsidR="00CE13BB">
        <w:rPr>
          <w:rFonts w:ascii="Times New Roman" w:hAnsi="Times New Roman" w:cs="Times New Roman"/>
        </w:rPr>
        <w:t>ny</w:t>
      </w:r>
      <w:r w:rsidR="00A13BA8" w:rsidRPr="00E71C2E">
        <w:rPr>
          <w:rFonts w:ascii="Times New Roman" w:hAnsi="Times New Roman" w:cs="Times New Roman"/>
        </w:rPr>
        <w:t xml:space="preserve"> causal relationship</w:t>
      </w:r>
      <w:r w:rsidR="00715234">
        <w:rPr>
          <w:rFonts w:ascii="Times New Roman" w:hAnsi="Times New Roman" w:cs="Times New Roman"/>
        </w:rPr>
        <w:t xml:space="preserve"> or magnitude of the analysed effects</w:t>
      </w:r>
      <w:r w:rsidR="00A13BA8" w:rsidRPr="00E71C2E">
        <w:rPr>
          <w:rFonts w:ascii="Times New Roman" w:hAnsi="Times New Roman" w:cs="Times New Roman"/>
        </w:rPr>
        <w:t>.</w:t>
      </w:r>
      <w:r w:rsidR="00A13BA8" w:rsidRPr="00E92972">
        <w:rPr>
          <w:rFonts w:ascii="Times New Roman" w:hAnsi="Times New Roman" w:cs="Times New Roman"/>
        </w:rPr>
        <w:t xml:space="preserve"> </w:t>
      </w:r>
    </w:p>
    <w:p w14:paraId="6E0F6010" w14:textId="77777777" w:rsidR="006E6EF1" w:rsidRDefault="006E6EF1" w:rsidP="00A13BA8">
      <w:pPr>
        <w:rPr>
          <w:rFonts w:ascii="Times New Roman" w:hAnsi="Times New Roman" w:cs="Times New Roman"/>
        </w:rPr>
        <w:sectPr w:rsidR="006E6EF1" w:rsidSect="005634A0">
          <w:pgSz w:w="11900" w:h="16840"/>
          <w:pgMar w:top="1440" w:right="1440" w:bottom="1440" w:left="1440" w:header="708" w:footer="708" w:gutter="0"/>
          <w:cols w:space="708"/>
          <w:docGrid w:linePitch="360"/>
        </w:sectPr>
      </w:pPr>
    </w:p>
    <w:p w14:paraId="18328E52" w14:textId="795F07EC" w:rsidR="006E6EF1" w:rsidRDefault="000B615A" w:rsidP="000B615A">
      <w:pPr>
        <w:spacing w:after="0" w:line="240" w:lineRule="auto"/>
        <w:ind w:firstLine="0"/>
        <w:jc w:val="center"/>
        <w:rPr>
          <w:rFonts w:ascii="Times New Roman" w:eastAsia="Calibri" w:hAnsi="Times New Roman" w:cs="Times New Roman"/>
          <w:color w:val="000000"/>
          <w:szCs w:val="23"/>
        </w:rPr>
      </w:pPr>
      <w:r w:rsidRPr="000B615A">
        <w:rPr>
          <w:rFonts w:ascii="Times New Roman" w:eastAsia="Calibri" w:hAnsi="Times New Roman" w:cs="Times New Roman"/>
          <w:b/>
          <w:color w:val="000000"/>
          <w:szCs w:val="23"/>
        </w:rPr>
        <w:lastRenderedPageBreak/>
        <w:t xml:space="preserve">Table </w:t>
      </w:r>
      <w:r w:rsidRPr="000B615A">
        <w:rPr>
          <w:rFonts w:ascii="Times New Roman" w:eastAsia="Calibri" w:hAnsi="Times New Roman" w:cs="Times New Roman"/>
          <w:b/>
          <w:color w:val="000000"/>
          <w:szCs w:val="23"/>
        </w:rPr>
        <w:fldChar w:fldCharType="begin"/>
      </w:r>
      <w:r w:rsidRPr="000B615A">
        <w:rPr>
          <w:rFonts w:ascii="Times New Roman" w:eastAsia="Calibri" w:hAnsi="Times New Roman" w:cs="Times New Roman"/>
          <w:b/>
          <w:color w:val="000000"/>
          <w:szCs w:val="23"/>
        </w:rPr>
        <w:instrText xml:space="preserve"> SEQ Table \* ARABIC </w:instrText>
      </w:r>
      <w:r w:rsidRPr="000B615A">
        <w:rPr>
          <w:rFonts w:ascii="Times New Roman" w:eastAsia="Calibri" w:hAnsi="Times New Roman" w:cs="Times New Roman"/>
          <w:b/>
          <w:color w:val="000000"/>
          <w:szCs w:val="23"/>
        </w:rPr>
        <w:fldChar w:fldCharType="separate"/>
      </w:r>
      <w:r w:rsidRPr="000B615A">
        <w:rPr>
          <w:rFonts w:ascii="Times New Roman" w:eastAsia="Calibri" w:hAnsi="Times New Roman" w:cs="Times New Roman"/>
          <w:b/>
          <w:noProof/>
          <w:color w:val="000000"/>
          <w:szCs w:val="23"/>
        </w:rPr>
        <w:t>6</w:t>
      </w:r>
      <w:r w:rsidRPr="000B615A">
        <w:rPr>
          <w:rFonts w:ascii="Times New Roman" w:eastAsia="Calibri" w:hAnsi="Times New Roman" w:cs="Times New Roman"/>
          <w:b/>
          <w:color w:val="000000"/>
          <w:szCs w:val="23"/>
        </w:rPr>
        <w:fldChar w:fldCharType="end"/>
      </w:r>
      <w:r w:rsidRPr="000B615A">
        <w:rPr>
          <w:rFonts w:ascii="Times New Roman" w:eastAsia="Calibri" w:hAnsi="Times New Roman" w:cs="Times New Roman"/>
          <w:b/>
          <w:color w:val="000000"/>
          <w:szCs w:val="23"/>
        </w:rPr>
        <w:t xml:space="preserve">. </w:t>
      </w:r>
      <w:r w:rsidRPr="000B615A">
        <w:rPr>
          <w:rFonts w:ascii="Times New Roman" w:eastAsia="Calibri" w:hAnsi="Times New Roman" w:cs="Times New Roman"/>
          <w:color w:val="000000"/>
          <w:szCs w:val="23"/>
        </w:rPr>
        <w:t>Goodness-of-fit measures in regression analysis, 1989-2013</w:t>
      </w:r>
      <w:r>
        <w:rPr>
          <w:rFonts w:ascii="Times New Roman" w:eastAsia="Calibri" w:hAnsi="Times New Roman" w:cs="Times New Roman"/>
          <w:color w:val="000000"/>
          <w:szCs w:val="23"/>
        </w:rPr>
        <w:t xml:space="preserve"> </w:t>
      </w:r>
      <w:r w:rsidRPr="000B615A">
        <w:rPr>
          <w:rFonts w:ascii="Times New Roman" w:eastAsia="Calibri" w:hAnsi="Times New Roman" w:cs="Times New Roman"/>
          <w:color w:val="000000"/>
          <w:szCs w:val="23"/>
        </w:rPr>
        <w:t>(source: own calculations based on the U.S. Survey of Consumer Finances)</w:t>
      </w:r>
    </w:p>
    <w:p w14:paraId="4DBFECD5" w14:textId="2B9AD0F2" w:rsidR="000B615A" w:rsidRPr="000B615A" w:rsidRDefault="000B615A" w:rsidP="000B615A">
      <w:pPr>
        <w:spacing w:after="0" w:line="240" w:lineRule="auto"/>
        <w:ind w:firstLine="0"/>
        <w:jc w:val="center"/>
        <w:rPr>
          <w:rFonts w:ascii="Calibri" w:eastAsia="Calibri" w:hAnsi="Calibri" w:cs="Times New Roman"/>
          <w:sz w:val="24"/>
        </w:rPr>
      </w:pPr>
      <w:r w:rsidRPr="000B615A">
        <w:rPr>
          <w:rFonts w:ascii="Times New Roman" w:eastAsia="Calibri" w:hAnsi="Times New Roman" w:cs="Times New Roman"/>
          <w:b/>
          <w:sz w:val="20"/>
          <w:szCs w:val="20"/>
        </w:rPr>
        <w:t>Notes</w:t>
      </w:r>
      <w:r w:rsidRPr="000B615A">
        <w:rPr>
          <w:rFonts w:ascii="Times New Roman" w:eastAsia="Calibri" w:hAnsi="Times New Roman" w:cs="Times New Roman"/>
          <w:sz w:val="20"/>
          <w:szCs w:val="20"/>
        </w:rPr>
        <w:t>: Each of the balance sheet variables is estimated in a separate regression. Italics indicate that the extra-sum-of-squares F-test is not statistically significant at 5% level, so that the null hypothesis (the reduced model with controls only is preferred) cannot be rejected</w:t>
      </w:r>
      <w:r w:rsidR="00FB39BF">
        <w:rPr>
          <w:rFonts w:ascii="Times New Roman" w:eastAsia="Calibri" w:hAnsi="Times New Roman" w:cs="Times New Roman"/>
          <w:sz w:val="20"/>
          <w:szCs w:val="20"/>
        </w:rPr>
        <w:t>. F</w:t>
      </w:r>
      <w:r w:rsidR="00FB39BF" w:rsidRPr="00FB39BF">
        <w:rPr>
          <w:rFonts w:ascii="Times New Roman" w:eastAsia="Calibri" w:hAnsi="Times New Roman" w:cs="Times New Roman"/>
          <w:sz w:val="20"/>
          <w:szCs w:val="20"/>
        </w:rPr>
        <w:t>ull results are available on request</w:t>
      </w:r>
      <w:r w:rsidR="00FB39BF">
        <w:rPr>
          <w:rFonts w:ascii="Times New Roman" w:eastAsia="Calibri" w:hAnsi="Times New Roman" w:cs="Times New Roman"/>
          <w:sz w:val="20"/>
          <w:szCs w:val="20"/>
        </w:rPr>
        <w:t>.</w:t>
      </w:r>
    </w:p>
    <w:tbl>
      <w:tblPr>
        <w:tblpPr w:leftFromText="180" w:rightFromText="180" w:vertAnchor="page" w:horzAnchor="margin" w:tblpXSpec="center" w:tblpY="1681"/>
        <w:tblW w:w="15993" w:type="dxa"/>
        <w:tblLayout w:type="fixed"/>
        <w:tblLook w:val="04A0" w:firstRow="1" w:lastRow="0" w:firstColumn="1" w:lastColumn="0" w:noHBand="0" w:noVBand="1"/>
      </w:tblPr>
      <w:tblGrid>
        <w:gridCol w:w="1555"/>
        <w:gridCol w:w="850"/>
        <w:gridCol w:w="851"/>
        <w:gridCol w:w="814"/>
        <w:gridCol w:w="794"/>
        <w:gridCol w:w="794"/>
        <w:gridCol w:w="794"/>
        <w:gridCol w:w="773"/>
        <w:gridCol w:w="815"/>
        <w:gridCol w:w="794"/>
        <w:gridCol w:w="797"/>
        <w:gridCol w:w="794"/>
        <w:gridCol w:w="794"/>
        <w:gridCol w:w="825"/>
        <w:gridCol w:w="851"/>
        <w:gridCol w:w="850"/>
        <w:gridCol w:w="709"/>
        <w:gridCol w:w="745"/>
        <w:gridCol w:w="794"/>
      </w:tblGrid>
      <w:tr w:rsidR="000B615A" w:rsidRPr="000B615A" w14:paraId="3F120836" w14:textId="77777777" w:rsidTr="000B615A">
        <w:trPr>
          <w:trHeight w:val="227"/>
        </w:trPr>
        <w:tc>
          <w:tcPr>
            <w:tcW w:w="1555" w:type="dxa"/>
            <w:vMerge w:val="restart"/>
            <w:tcBorders>
              <w:top w:val="single" w:sz="4" w:space="0" w:color="auto"/>
              <w:left w:val="single" w:sz="4" w:space="0" w:color="auto"/>
              <w:right w:val="single" w:sz="4" w:space="0" w:color="auto"/>
            </w:tcBorders>
            <w:shd w:val="clear" w:color="auto" w:fill="auto"/>
            <w:noWrap/>
            <w:vAlign w:val="bottom"/>
            <w:hideMark/>
          </w:tcPr>
          <w:p w14:paraId="3F6D8AEA" w14:textId="11291359" w:rsidR="000B615A" w:rsidRPr="000B615A" w:rsidRDefault="00AE300C" w:rsidP="000B615A">
            <w:pPr>
              <w:spacing w:after="0" w:line="240" w:lineRule="auto"/>
              <w:ind w:firstLine="0"/>
              <w:jc w:val="left"/>
              <w:rPr>
                <w:rFonts w:ascii="Times New Roman" w:eastAsia="Times New Roman" w:hAnsi="Times New Roman" w:cs="Times New Roman"/>
                <w:b/>
                <w:bCs/>
                <w:color w:val="000000"/>
                <w:sz w:val="19"/>
                <w:szCs w:val="19"/>
              </w:rPr>
            </w:pPr>
            <w:r>
              <w:rPr>
                <w:rFonts w:ascii="Times New Roman" w:eastAsia="Times New Roman" w:hAnsi="Times New Roman" w:cs="Times New Roman"/>
                <w:b/>
                <w:bCs/>
                <w:color w:val="000000"/>
                <w:sz w:val="19"/>
                <w:szCs w:val="19"/>
              </w:rPr>
              <w:t>Median income ratio</w:t>
            </w:r>
          </w:p>
          <w:p w14:paraId="6877117E" w14:textId="77777777" w:rsidR="000B615A" w:rsidRPr="000B615A" w:rsidRDefault="000B615A" w:rsidP="000B615A">
            <w:pPr>
              <w:spacing w:after="0" w:line="240" w:lineRule="auto"/>
              <w:ind w:firstLine="0"/>
              <w:jc w:val="left"/>
              <w:rPr>
                <w:rFonts w:ascii="Times New Roman" w:eastAsia="Times New Roman" w:hAnsi="Times New Roman" w:cs="Times New Roman"/>
                <w:b/>
                <w:bCs/>
                <w:color w:val="000000"/>
                <w:sz w:val="19"/>
                <w:szCs w:val="19"/>
              </w:rPr>
            </w:pPr>
            <w:r w:rsidRPr="000B615A">
              <w:rPr>
                <w:rFonts w:ascii="Times New Roman" w:eastAsia="Times New Roman" w:hAnsi="Times New Roman" w:cs="Times New Roman"/>
                <w:color w:val="000000"/>
                <w:sz w:val="19"/>
                <w:szCs w:val="19"/>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6EA7C"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1989</w:t>
            </w:r>
          </w:p>
        </w:tc>
        <w:tc>
          <w:tcPr>
            <w:tcW w:w="16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BE7D79"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1992</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E07068"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1995</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4543BC"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1998</w:t>
            </w:r>
          </w:p>
        </w:tc>
        <w:tc>
          <w:tcPr>
            <w:tcW w:w="15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446A2C"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2001</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AA02E3"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2004</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3D7D54"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2007</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FDE891"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2010</w:t>
            </w:r>
          </w:p>
        </w:tc>
        <w:tc>
          <w:tcPr>
            <w:tcW w:w="15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CFDB05" w14:textId="77777777" w:rsidR="000B615A" w:rsidRPr="000B615A" w:rsidRDefault="000B615A" w:rsidP="000B615A">
            <w:pPr>
              <w:spacing w:after="0" w:line="240" w:lineRule="auto"/>
              <w:ind w:firstLine="0"/>
              <w:jc w:val="center"/>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2013</w:t>
            </w:r>
          </w:p>
        </w:tc>
      </w:tr>
      <w:tr w:rsidR="000B615A" w:rsidRPr="000B615A" w14:paraId="77F42797" w14:textId="77777777" w:rsidTr="000B615A">
        <w:trPr>
          <w:trHeight w:val="227"/>
        </w:trPr>
        <w:tc>
          <w:tcPr>
            <w:tcW w:w="1555" w:type="dxa"/>
            <w:vMerge/>
            <w:tcBorders>
              <w:left w:val="single" w:sz="4" w:space="0" w:color="auto"/>
              <w:bottom w:val="single" w:sz="4" w:space="0" w:color="auto"/>
              <w:right w:val="single" w:sz="4" w:space="0" w:color="auto"/>
            </w:tcBorders>
            <w:shd w:val="clear" w:color="auto" w:fill="auto"/>
            <w:noWrap/>
            <w:vAlign w:val="bottom"/>
            <w:hideMark/>
          </w:tcPr>
          <w:p w14:paraId="31D1DEB4" w14:textId="77777777" w:rsidR="000B615A" w:rsidRPr="000B615A" w:rsidRDefault="000B615A" w:rsidP="000B615A">
            <w:pPr>
              <w:spacing w:after="0" w:line="240" w:lineRule="auto"/>
              <w:ind w:firstLine="0"/>
              <w:jc w:val="left"/>
              <w:rPr>
                <w:rFonts w:ascii="Times New Roman" w:eastAsia="Times New Roman" w:hAnsi="Times New Roman" w:cs="Times New Roman"/>
                <w:color w:val="000000"/>
                <w:sz w:val="19"/>
                <w:szCs w:val="19"/>
              </w:rPr>
            </w:pPr>
          </w:p>
        </w:tc>
        <w:tc>
          <w:tcPr>
            <w:tcW w:w="850" w:type="dxa"/>
            <w:tcBorders>
              <w:top w:val="single" w:sz="4" w:space="0" w:color="auto"/>
              <w:left w:val="nil"/>
              <w:bottom w:val="single" w:sz="4" w:space="0" w:color="auto"/>
              <w:right w:val="nil"/>
            </w:tcBorders>
            <w:shd w:val="clear" w:color="auto" w:fill="auto"/>
            <w:noWrap/>
            <w:vAlign w:val="center"/>
            <w:hideMark/>
          </w:tcPr>
          <w:p w14:paraId="5B59661F"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0FAF9F16"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c>
          <w:tcPr>
            <w:tcW w:w="814" w:type="dxa"/>
            <w:tcBorders>
              <w:top w:val="single" w:sz="4" w:space="0" w:color="auto"/>
              <w:left w:val="nil"/>
              <w:bottom w:val="single" w:sz="4" w:space="0" w:color="auto"/>
              <w:right w:val="nil"/>
            </w:tcBorders>
            <w:shd w:val="clear" w:color="auto" w:fill="auto"/>
            <w:noWrap/>
            <w:vAlign w:val="center"/>
            <w:hideMark/>
          </w:tcPr>
          <w:p w14:paraId="5F76D114"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6C3FCE0B"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c>
          <w:tcPr>
            <w:tcW w:w="794" w:type="dxa"/>
            <w:tcBorders>
              <w:top w:val="single" w:sz="4" w:space="0" w:color="auto"/>
              <w:left w:val="nil"/>
              <w:bottom w:val="single" w:sz="4" w:space="0" w:color="auto"/>
              <w:right w:val="nil"/>
            </w:tcBorders>
            <w:shd w:val="clear" w:color="auto" w:fill="auto"/>
            <w:noWrap/>
            <w:vAlign w:val="center"/>
            <w:hideMark/>
          </w:tcPr>
          <w:p w14:paraId="66D07DC5"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6775DF7B"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c>
          <w:tcPr>
            <w:tcW w:w="773" w:type="dxa"/>
            <w:tcBorders>
              <w:top w:val="single" w:sz="4" w:space="0" w:color="auto"/>
              <w:left w:val="nil"/>
              <w:bottom w:val="single" w:sz="4" w:space="0" w:color="auto"/>
              <w:right w:val="nil"/>
            </w:tcBorders>
            <w:shd w:val="clear" w:color="auto" w:fill="auto"/>
            <w:noWrap/>
            <w:vAlign w:val="center"/>
            <w:hideMark/>
          </w:tcPr>
          <w:p w14:paraId="300B679F"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815" w:type="dxa"/>
            <w:tcBorders>
              <w:top w:val="single" w:sz="4" w:space="0" w:color="auto"/>
              <w:left w:val="nil"/>
              <w:bottom w:val="single" w:sz="4" w:space="0" w:color="auto"/>
              <w:right w:val="single" w:sz="4" w:space="0" w:color="auto"/>
            </w:tcBorders>
            <w:shd w:val="clear" w:color="000000" w:fill="F2F2F2"/>
            <w:noWrap/>
            <w:vAlign w:val="center"/>
            <w:hideMark/>
          </w:tcPr>
          <w:p w14:paraId="409314DB"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c>
          <w:tcPr>
            <w:tcW w:w="794" w:type="dxa"/>
            <w:tcBorders>
              <w:top w:val="single" w:sz="4" w:space="0" w:color="auto"/>
              <w:left w:val="nil"/>
              <w:bottom w:val="single" w:sz="4" w:space="0" w:color="auto"/>
              <w:right w:val="nil"/>
            </w:tcBorders>
            <w:shd w:val="clear" w:color="auto" w:fill="auto"/>
            <w:noWrap/>
            <w:vAlign w:val="center"/>
            <w:hideMark/>
          </w:tcPr>
          <w:p w14:paraId="6593E415"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797" w:type="dxa"/>
            <w:tcBorders>
              <w:top w:val="single" w:sz="4" w:space="0" w:color="auto"/>
              <w:left w:val="nil"/>
              <w:bottom w:val="single" w:sz="4" w:space="0" w:color="auto"/>
              <w:right w:val="single" w:sz="4" w:space="0" w:color="auto"/>
            </w:tcBorders>
            <w:shd w:val="clear" w:color="000000" w:fill="F2F2F2"/>
            <w:noWrap/>
            <w:vAlign w:val="center"/>
            <w:hideMark/>
          </w:tcPr>
          <w:p w14:paraId="75A1E140"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c>
          <w:tcPr>
            <w:tcW w:w="794" w:type="dxa"/>
            <w:tcBorders>
              <w:top w:val="single" w:sz="4" w:space="0" w:color="auto"/>
              <w:left w:val="nil"/>
              <w:bottom w:val="single" w:sz="4" w:space="0" w:color="auto"/>
              <w:right w:val="nil"/>
            </w:tcBorders>
            <w:shd w:val="clear" w:color="auto" w:fill="auto"/>
            <w:noWrap/>
            <w:vAlign w:val="center"/>
            <w:hideMark/>
          </w:tcPr>
          <w:p w14:paraId="5E4B5C78"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0C274A21"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c>
          <w:tcPr>
            <w:tcW w:w="825" w:type="dxa"/>
            <w:tcBorders>
              <w:top w:val="single" w:sz="4" w:space="0" w:color="auto"/>
              <w:left w:val="nil"/>
              <w:bottom w:val="single" w:sz="4" w:space="0" w:color="auto"/>
              <w:right w:val="nil"/>
            </w:tcBorders>
            <w:shd w:val="clear" w:color="auto" w:fill="auto"/>
            <w:noWrap/>
            <w:vAlign w:val="center"/>
            <w:hideMark/>
          </w:tcPr>
          <w:p w14:paraId="5A5381FE"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50AEDB58"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c>
          <w:tcPr>
            <w:tcW w:w="850" w:type="dxa"/>
            <w:tcBorders>
              <w:top w:val="single" w:sz="4" w:space="0" w:color="auto"/>
              <w:left w:val="nil"/>
              <w:bottom w:val="single" w:sz="4" w:space="0" w:color="auto"/>
              <w:right w:val="nil"/>
            </w:tcBorders>
            <w:shd w:val="clear" w:color="auto" w:fill="auto"/>
            <w:noWrap/>
            <w:vAlign w:val="center"/>
            <w:hideMark/>
          </w:tcPr>
          <w:p w14:paraId="5F21924A"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14:paraId="25F5FA20"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c>
          <w:tcPr>
            <w:tcW w:w="745" w:type="dxa"/>
            <w:tcBorders>
              <w:top w:val="single" w:sz="4" w:space="0" w:color="auto"/>
              <w:left w:val="nil"/>
              <w:bottom w:val="single" w:sz="4" w:space="0" w:color="auto"/>
              <w:right w:val="nil"/>
            </w:tcBorders>
            <w:shd w:val="clear" w:color="auto" w:fill="auto"/>
            <w:noWrap/>
            <w:vAlign w:val="center"/>
            <w:hideMark/>
          </w:tcPr>
          <w:p w14:paraId="68895DE9"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RMSE</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78E4AE00" w14:textId="77777777" w:rsidR="000B615A" w:rsidRPr="000B615A" w:rsidRDefault="000B615A" w:rsidP="000B615A">
            <w:pPr>
              <w:spacing w:after="0" w:line="240" w:lineRule="auto"/>
              <w:ind w:firstLine="0"/>
              <w:jc w:val="center"/>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Adj. R</w:t>
            </w:r>
            <w:r w:rsidRPr="000B615A">
              <w:rPr>
                <w:rFonts w:ascii="Times New Roman" w:eastAsia="Times New Roman" w:hAnsi="Times New Roman" w:cs="Times New Roman"/>
                <w:color w:val="000000"/>
                <w:sz w:val="19"/>
                <w:szCs w:val="19"/>
                <w:vertAlign w:val="superscript"/>
              </w:rPr>
              <w:t>2</w:t>
            </w:r>
          </w:p>
        </w:tc>
      </w:tr>
      <w:tr w:rsidR="007D725D" w:rsidRPr="000B615A" w14:paraId="526D13C4" w14:textId="77777777" w:rsidTr="007D725D">
        <w:trPr>
          <w:trHeight w:val="227"/>
        </w:trPr>
        <w:tc>
          <w:tcPr>
            <w:tcW w:w="1555" w:type="dxa"/>
            <w:tcBorders>
              <w:left w:val="single" w:sz="4" w:space="0" w:color="auto"/>
              <w:right w:val="single" w:sz="4" w:space="0" w:color="auto"/>
            </w:tcBorders>
            <w:shd w:val="clear" w:color="auto" w:fill="auto"/>
            <w:noWrap/>
            <w:vAlign w:val="bottom"/>
          </w:tcPr>
          <w:p w14:paraId="6C9FB3C7" w14:textId="77777777" w:rsidR="007D725D" w:rsidRPr="000B615A" w:rsidRDefault="007D725D" w:rsidP="007D725D">
            <w:pPr>
              <w:spacing w:before="80" w:after="20" w:line="240" w:lineRule="auto"/>
              <w:ind w:firstLine="0"/>
              <w:jc w:val="left"/>
              <w:rPr>
                <w:rFonts w:ascii="Times New Roman" w:eastAsia="Times New Roman" w:hAnsi="Times New Roman" w:cs="Times New Roman"/>
                <w:b/>
                <w:color w:val="000000"/>
                <w:sz w:val="19"/>
                <w:szCs w:val="19"/>
              </w:rPr>
            </w:pPr>
            <w:r w:rsidRPr="000B615A">
              <w:rPr>
                <w:rFonts w:ascii="Times New Roman" w:eastAsia="Times New Roman" w:hAnsi="Times New Roman" w:cs="Times New Roman"/>
                <w:b/>
                <w:color w:val="000000"/>
                <w:sz w:val="19"/>
                <w:szCs w:val="19"/>
              </w:rPr>
              <w:t>Controls only</w:t>
            </w:r>
          </w:p>
        </w:tc>
        <w:tc>
          <w:tcPr>
            <w:tcW w:w="850" w:type="dxa"/>
            <w:tcBorders>
              <w:top w:val="single" w:sz="4" w:space="0" w:color="auto"/>
              <w:left w:val="nil"/>
              <w:right w:val="nil"/>
            </w:tcBorders>
            <w:shd w:val="clear" w:color="auto" w:fill="auto"/>
            <w:noWrap/>
            <w:vAlign w:val="center"/>
          </w:tcPr>
          <w:p w14:paraId="45C0D719" w14:textId="58FCF36E"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103.11</w:t>
            </w:r>
          </w:p>
        </w:tc>
        <w:tc>
          <w:tcPr>
            <w:tcW w:w="851" w:type="dxa"/>
            <w:tcBorders>
              <w:top w:val="single" w:sz="4" w:space="0" w:color="auto"/>
              <w:left w:val="nil"/>
              <w:right w:val="single" w:sz="4" w:space="0" w:color="auto"/>
            </w:tcBorders>
            <w:shd w:val="clear" w:color="000000" w:fill="F2F2F2"/>
            <w:noWrap/>
            <w:vAlign w:val="center"/>
          </w:tcPr>
          <w:p w14:paraId="1208B306" w14:textId="078093D3"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0.36</w:t>
            </w:r>
          </w:p>
        </w:tc>
        <w:tc>
          <w:tcPr>
            <w:tcW w:w="814" w:type="dxa"/>
            <w:tcBorders>
              <w:top w:val="single" w:sz="4" w:space="0" w:color="auto"/>
              <w:left w:val="nil"/>
              <w:right w:val="nil"/>
            </w:tcBorders>
            <w:shd w:val="clear" w:color="auto" w:fill="auto"/>
            <w:noWrap/>
            <w:vAlign w:val="center"/>
          </w:tcPr>
          <w:p w14:paraId="72C8B7F5" w14:textId="0E477C57"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95.90</w:t>
            </w:r>
          </w:p>
        </w:tc>
        <w:tc>
          <w:tcPr>
            <w:tcW w:w="794" w:type="dxa"/>
            <w:tcBorders>
              <w:top w:val="single" w:sz="4" w:space="0" w:color="auto"/>
              <w:left w:val="nil"/>
              <w:right w:val="single" w:sz="4" w:space="0" w:color="auto"/>
            </w:tcBorders>
            <w:shd w:val="clear" w:color="000000" w:fill="F2F2F2"/>
            <w:noWrap/>
            <w:vAlign w:val="center"/>
          </w:tcPr>
          <w:p w14:paraId="1946167C" w14:textId="48CD3DA6"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0.39</w:t>
            </w:r>
          </w:p>
        </w:tc>
        <w:tc>
          <w:tcPr>
            <w:tcW w:w="794" w:type="dxa"/>
            <w:tcBorders>
              <w:top w:val="single" w:sz="4" w:space="0" w:color="auto"/>
              <w:left w:val="nil"/>
              <w:right w:val="nil"/>
            </w:tcBorders>
            <w:shd w:val="clear" w:color="auto" w:fill="auto"/>
            <w:noWrap/>
            <w:vAlign w:val="center"/>
          </w:tcPr>
          <w:p w14:paraId="30D95CDA" w14:textId="469BD111"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89.50</w:t>
            </w:r>
          </w:p>
        </w:tc>
        <w:tc>
          <w:tcPr>
            <w:tcW w:w="794" w:type="dxa"/>
            <w:tcBorders>
              <w:top w:val="single" w:sz="4" w:space="0" w:color="auto"/>
              <w:left w:val="nil"/>
              <w:right w:val="single" w:sz="4" w:space="0" w:color="auto"/>
            </w:tcBorders>
            <w:shd w:val="clear" w:color="000000" w:fill="F2F2F2"/>
            <w:noWrap/>
            <w:vAlign w:val="center"/>
          </w:tcPr>
          <w:p w14:paraId="1DCBEDD1" w14:textId="20B87A46"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0.40</w:t>
            </w:r>
          </w:p>
        </w:tc>
        <w:tc>
          <w:tcPr>
            <w:tcW w:w="773" w:type="dxa"/>
            <w:tcBorders>
              <w:top w:val="single" w:sz="4" w:space="0" w:color="auto"/>
              <w:left w:val="nil"/>
              <w:right w:val="nil"/>
            </w:tcBorders>
            <w:shd w:val="clear" w:color="auto" w:fill="auto"/>
            <w:noWrap/>
            <w:vAlign w:val="center"/>
          </w:tcPr>
          <w:p w14:paraId="336F1D81" w14:textId="50FE3DE7"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100.83</w:t>
            </w:r>
          </w:p>
        </w:tc>
        <w:tc>
          <w:tcPr>
            <w:tcW w:w="815" w:type="dxa"/>
            <w:tcBorders>
              <w:top w:val="single" w:sz="4" w:space="0" w:color="auto"/>
              <w:left w:val="nil"/>
              <w:right w:val="single" w:sz="4" w:space="0" w:color="auto"/>
            </w:tcBorders>
            <w:shd w:val="clear" w:color="000000" w:fill="F2F2F2"/>
            <w:noWrap/>
            <w:vAlign w:val="center"/>
          </w:tcPr>
          <w:p w14:paraId="48CBA8A4" w14:textId="571D489A"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0.36</w:t>
            </w:r>
          </w:p>
        </w:tc>
        <w:tc>
          <w:tcPr>
            <w:tcW w:w="794" w:type="dxa"/>
            <w:tcBorders>
              <w:top w:val="single" w:sz="4" w:space="0" w:color="auto"/>
              <w:left w:val="nil"/>
              <w:right w:val="nil"/>
            </w:tcBorders>
            <w:shd w:val="clear" w:color="auto" w:fill="auto"/>
            <w:noWrap/>
            <w:vAlign w:val="center"/>
          </w:tcPr>
          <w:p w14:paraId="4811800F" w14:textId="0929AA95"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119.72</w:t>
            </w:r>
          </w:p>
        </w:tc>
        <w:tc>
          <w:tcPr>
            <w:tcW w:w="797" w:type="dxa"/>
            <w:tcBorders>
              <w:top w:val="single" w:sz="4" w:space="0" w:color="auto"/>
              <w:left w:val="nil"/>
              <w:right w:val="single" w:sz="4" w:space="0" w:color="auto"/>
            </w:tcBorders>
            <w:shd w:val="clear" w:color="000000" w:fill="F2F2F2"/>
            <w:noWrap/>
            <w:vAlign w:val="center"/>
          </w:tcPr>
          <w:p w14:paraId="626A892D" w14:textId="7495EBAD"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0.32</w:t>
            </w:r>
          </w:p>
        </w:tc>
        <w:tc>
          <w:tcPr>
            <w:tcW w:w="794" w:type="dxa"/>
            <w:tcBorders>
              <w:top w:val="single" w:sz="4" w:space="0" w:color="auto"/>
              <w:left w:val="nil"/>
              <w:right w:val="nil"/>
            </w:tcBorders>
            <w:shd w:val="clear" w:color="auto" w:fill="auto"/>
            <w:noWrap/>
            <w:vAlign w:val="center"/>
          </w:tcPr>
          <w:p w14:paraId="2C1D795C" w14:textId="4A311C17"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106.33</w:t>
            </w:r>
          </w:p>
        </w:tc>
        <w:tc>
          <w:tcPr>
            <w:tcW w:w="794" w:type="dxa"/>
            <w:tcBorders>
              <w:top w:val="single" w:sz="4" w:space="0" w:color="auto"/>
              <w:left w:val="nil"/>
              <w:right w:val="single" w:sz="4" w:space="0" w:color="auto"/>
            </w:tcBorders>
            <w:shd w:val="clear" w:color="000000" w:fill="F2F2F2"/>
            <w:noWrap/>
            <w:vAlign w:val="center"/>
          </w:tcPr>
          <w:p w14:paraId="01C59B7D" w14:textId="42D8F872"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0.38</w:t>
            </w:r>
          </w:p>
        </w:tc>
        <w:tc>
          <w:tcPr>
            <w:tcW w:w="825" w:type="dxa"/>
            <w:tcBorders>
              <w:top w:val="single" w:sz="4" w:space="0" w:color="auto"/>
              <w:left w:val="nil"/>
              <w:right w:val="nil"/>
            </w:tcBorders>
            <w:shd w:val="clear" w:color="auto" w:fill="auto"/>
            <w:noWrap/>
            <w:vAlign w:val="center"/>
          </w:tcPr>
          <w:p w14:paraId="14EAAE74" w14:textId="1B10ECB5"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126.44</w:t>
            </w:r>
          </w:p>
        </w:tc>
        <w:tc>
          <w:tcPr>
            <w:tcW w:w="851" w:type="dxa"/>
            <w:tcBorders>
              <w:top w:val="single" w:sz="4" w:space="0" w:color="auto"/>
              <w:left w:val="nil"/>
              <w:right w:val="single" w:sz="4" w:space="0" w:color="auto"/>
            </w:tcBorders>
            <w:shd w:val="clear" w:color="000000" w:fill="F2F2F2"/>
            <w:noWrap/>
            <w:vAlign w:val="center"/>
          </w:tcPr>
          <w:p w14:paraId="0A3359C9" w14:textId="38780D29"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0.32</w:t>
            </w:r>
          </w:p>
        </w:tc>
        <w:tc>
          <w:tcPr>
            <w:tcW w:w="850" w:type="dxa"/>
            <w:tcBorders>
              <w:top w:val="single" w:sz="4" w:space="0" w:color="auto"/>
              <w:left w:val="nil"/>
              <w:right w:val="nil"/>
            </w:tcBorders>
            <w:shd w:val="clear" w:color="auto" w:fill="auto"/>
            <w:noWrap/>
            <w:vAlign w:val="center"/>
          </w:tcPr>
          <w:p w14:paraId="6F081CA1" w14:textId="6D98B93A"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126.24</w:t>
            </w:r>
          </w:p>
        </w:tc>
        <w:tc>
          <w:tcPr>
            <w:tcW w:w="709" w:type="dxa"/>
            <w:tcBorders>
              <w:top w:val="single" w:sz="4" w:space="0" w:color="auto"/>
              <w:left w:val="nil"/>
              <w:right w:val="single" w:sz="4" w:space="0" w:color="auto"/>
            </w:tcBorders>
            <w:shd w:val="clear" w:color="000000" w:fill="F2F2F2"/>
            <w:noWrap/>
            <w:vAlign w:val="center"/>
          </w:tcPr>
          <w:p w14:paraId="253F3790" w14:textId="7A2811F0"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0.33</w:t>
            </w:r>
          </w:p>
        </w:tc>
        <w:tc>
          <w:tcPr>
            <w:tcW w:w="745" w:type="dxa"/>
            <w:tcBorders>
              <w:top w:val="single" w:sz="4" w:space="0" w:color="auto"/>
              <w:left w:val="nil"/>
              <w:right w:val="nil"/>
            </w:tcBorders>
            <w:shd w:val="clear" w:color="auto" w:fill="auto"/>
            <w:noWrap/>
            <w:vAlign w:val="center"/>
          </w:tcPr>
          <w:p w14:paraId="05435885" w14:textId="6D8F0247"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135.52</w:t>
            </w:r>
          </w:p>
        </w:tc>
        <w:tc>
          <w:tcPr>
            <w:tcW w:w="794" w:type="dxa"/>
            <w:tcBorders>
              <w:top w:val="single" w:sz="4" w:space="0" w:color="auto"/>
              <w:left w:val="nil"/>
              <w:right w:val="single" w:sz="4" w:space="0" w:color="auto"/>
            </w:tcBorders>
            <w:shd w:val="clear" w:color="000000" w:fill="F2F2F2"/>
            <w:noWrap/>
            <w:vAlign w:val="center"/>
          </w:tcPr>
          <w:p w14:paraId="03A7AB8E" w14:textId="09A47515" w:rsidR="007D725D" w:rsidRPr="007D725D" w:rsidRDefault="007D725D" w:rsidP="007D725D">
            <w:pPr>
              <w:spacing w:after="0" w:line="240" w:lineRule="auto"/>
              <w:ind w:firstLine="0"/>
              <w:jc w:val="center"/>
              <w:rPr>
                <w:rFonts w:eastAsia="Calibri" w:cs="Times New Roman"/>
                <w:b/>
                <w:color w:val="000000"/>
                <w:sz w:val="19"/>
                <w:szCs w:val="19"/>
              </w:rPr>
            </w:pPr>
            <w:r w:rsidRPr="007D725D">
              <w:rPr>
                <w:b/>
                <w:color w:val="000000"/>
                <w:sz w:val="19"/>
                <w:szCs w:val="19"/>
              </w:rPr>
              <w:t>0.34</w:t>
            </w:r>
          </w:p>
        </w:tc>
      </w:tr>
      <w:tr w:rsidR="000B615A" w:rsidRPr="000B615A" w14:paraId="47C69ED3" w14:textId="77777777" w:rsidTr="00AF355D">
        <w:trPr>
          <w:trHeight w:val="227"/>
        </w:trPr>
        <w:tc>
          <w:tcPr>
            <w:tcW w:w="1555" w:type="dxa"/>
            <w:tcBorders>
              <w:left w:val="single" w:sz="4" w:space="0" w:color="auto"/>
              <w:bottom w:val="single" w:sz="4" w:space="0" w:color="auto"/>
              <w:right w:val="single" w:sz="4" w:space="0" w:color="auto"/>
            </w:tcBorders>
            <w:shd w:val="clear" w:color="auto" w:fill="auto"/>
            <w:noWrap/>
            <w:vAlign w:val="bottom"/>
          </w:tcPr>
          <w:p w14:paraId="3D9C3459" w14:textId="77777777" w:rsidR="000B615A" w:rsidRPr="000B615A" w:rsidRDefault="000B615A" w:rsidP="000B615A">
            <w:pPr>
              <w:spacing w:before="80" w:after="20" w:line="240" w:lineRule="auto"/>
              <w:ind w:firstLine="0"/>
              <w:jc w:val="righ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N</w:t>
            </w:r>
          </w:p>
        </w:tc>
        <w:tc>
          <w:tcPr>
            <w:tcW w:w="1701" w:type="dxa"/>
            <w:gridSpan w:val="2"/>
            <w:tcBorders>
              <w:left w:val="nil"/>
              <w:bottom w:val="single" w:sz="4" w:space="0" w:color="auto"/>
              <w:right w:val="single" w:sz="4" w:space="0" w:color="auto"/>
            </w:tcBorders>
            <w:shd w:val="clear" w:color="auto" w:fill="auto"/>
            <w:noWrap/>
            <w:vAlign w:val="center"/>
          </w:tcPr>
          <w:p w14:paraId="2C91149F" w14:textId="78B2F3AA"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13,520</w:t>
            </w:r>
          </w:p>
        </w:tc>
        <w:tc>
          <w:tcPr>
            <w:tcW w:w="1608" w:type="dxa"/>
            <w:gridSpan w:val="2"/>
            <w:tcBorders>
              <w:left w:val="nil"/>
              <w:bottom w:val="single" w:sz="4" w:space="0" w:color="auto"/>
              <w:right w:val="single" w:sz="4" w:space="0" w:color="auto"/>
            </w:tcBorders>
            <w:shd w:val="clear" w:color="auto" w:fill="auto"/>
            <w:noWrap/>
            <w:vAlign w:val="center"/>
          </w:tcPr>
          <w:p w14:paraId="54D0ECE1" w14:textId="590CFCF3"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16,289</w:t>
            </w:r>
          </w:p>
        </w:tc>
        <w:tc>
          <w:tcPr>
            <w:tcW w:w="1588" w:type="dxa"/>
            <w:gridSpan w:val="2"/>
            <w:tcBorders>
              <w:left w:val="nil"/>
              <w:bottom w:val="single" w:sz="4" w:space="0" w:color="auto"/>
              <w:right w:val="single" w:sz="4" w:space="0" w:color="auto"/>
            </w:tcBorders>
            <w:shd w:val="clear" w:color="auto" w:fill="auto"/>
            <w:noWrap/>
            <w:vAlign w:val="center"/>
          </w:tcPr>
          <w:p w14:paraId="6E1C5AC3" w14:textId="5201F86C"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18,253</w:t>
            </w:r>
          </w:p>
        </w:tc>
        <w:tc>
          <w:tcPr>
            <w:tcW w:w="1588" w:type="dxa"/>
            <w:gridSpan w:val="2"/>
            <w:tcBorders>
              <w:left w:val="nil"/>
              <w:bottom w:val="single" w:sz="4" w:space="0" w:color="auto"/>
              <w:right w:val="single" w:sz="4" w:space="0" w:color="auto"/>
            </w:tcBorders>
            <w:shd w:val="clear" w:color="auto" w:fill="auto"/>
            <w:noWrap/>
            <w:vAlign w:val="center"/>
          </w:tcPr>
          <w:p w14:paraId="50D2E1AD" w14:textId="24DA78F6"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18,667</w:t>
            </w:r>
          </w:p>
        </w:tc>
        <w:tc>
          <w:tcPr>
            <w:tcW w:w="1591" w:type="dxa"/>
            <w:gridSpan w:val="2"/>
            <w:tcBorders>
              <w:left w:val="nil"/>
              <w:bottom w:val="single" w:sz="4" w:space="0" w:color="auto"/>
              <w:right w:val="single" w:sz="4" w:space="0" w:color="auto"/>
            </w:tcBorders>
            <w:shd w:val="clear" w:color="auto" w:fill="auto"/>
            <w:noWrap/>
            <w:vAlign w:val="center"/>
          </w:tcPr>
          <w:p w14:paraId="452886FC" w14:textId="1E911FE3"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18,932</w:t>
            </w:r>
          </w:p>
        </w:tc>
        <w:tc>
          <w:tcPr>
            <w:tcW w:w="1588" w:type="dxa"/>
            <w:gridSpan w:val="2"/>
            <w:tcBorders>
              <w:left w:val="nil"/>
              <w:bottom w:val="single" w:sz="4" w:space="0" w:color="auto"/>
              <w:right w:val="single" w:sz="4" w:space="0" w:color="auto"/>
            </w:tcBorders>
            <w:shd w:val="clear" w:color="auto" w:fill="auto"/>
            <w:noWrap/>
            <w:vAlign w:val="center"/>
          </w:tcPr>
          <w:p w14:paraId="3ECF42EB" w14:textId="30A8EFE5"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18,913</w:t>
            </w:r>
          </w:p>
        </w:tc>
        <w:tc>
          <w:tcPr>
            <w:tcW w:w="1676" w:type="dxa"/>
            <w:gridSpan w:val="2"/>
            <w:tcBorders>
              <w:left w:val="nil"/>
              <w:bottom w:val="single" w:sz="4" w:space="0" w:color="auto"/>
              <w:right w:val="single" w:sz="4" w:space="0" w:color="auto"/>
            </w:tcBorders>
            <w:shd w:val="clear" w:color="auto" w:fill="auto"/>
            <w:noWrap/>
            <w:vAlign w:val="center"/>
          </w:tcPr>
          <w:p w14:paraId="30471540" w14:textId="3753657B"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18,446</w:t>
            </w:r>
          </w:p>
        </w:tc>
        <w:tc>
          <w:tcPr>
            <w:tcW w:w="1559" w:type="dxa"/>
            <w:gridSpan w:val="2"/>
            <w:tcBorders>
              <w:left w:val="nil"/>
              <w:bottom w:val="single" w:sz="4" w:space="0" w:color="auto"/>
              <w:right w:val="single" w:sz="4" w:space="0" w:color="auto"/>
            </w:tcBorders>
            <w:shd w:val="clear" w:color="auto" w:fill="auto"/>
            <w:noWrap/>
            <w:vAlign w:val="center"/>
          </w:tcPr>
          <w:p w14:paraId="320716F6" w14:textId="73624794"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28,995</w:t>
            </w:r>
          </w:p>
        </w:tc>
        <w:tc>
          <w:tcPr>
            <w:tcW w:w="1539" w:type="dxa"/>
            <w:gridSpan w:val="2"/>
            <w:tcBorders>
              <w:left w:val="nil"/>
              <w:bottom w:val="single" w:sz="4" w:space="0" w:color="auto"/>
              <w:right w:val="single" w:sz="4" w:space="0" w:color="auto"/>
            </w:tcBorders>
            <w:shd w:val="clear" w:color="auto" w:fill="auto"/>
            <w:noWrap/>
            <w:vAlign w:val="center"/>
          </w:tcPr>
          <w:p w14:paraId="5508A59F" w14:textId="4DA9A5F2" w:rsidR="000B615A" w:rsidRPr="00AF355D" w:rsidRDefault="00AF355D" w:rsidP="00AF355D">
            <w:pPr>
              <w:spacing w:after="0" w:line="240" w:lineRule="auto"/>
              <w:ind w:firstLine="0"/>
              <w:jc w:val="center"/>
              <w:rPr>
                <w:b/>
                <w:color w:val="000000"/>
                <w:sz w:val="19"/>
                <w:szCs w:val="19"/>
              </w:rPr>
            </w:pPr>
            <w:r w:rsidRPr="00AF355D">
              <w:rPr>
                <w:b/>
                <w:color w:val="000000"/>
                <w:sz w:val="19"/>
                <w:szCs w:val="19"/>
              </w:rPr>
              <w:t>26,649</w:t>
            </w:r>
          </w:p>
        </w:tc>
      </w:tr>
      <w:tr w:rsidR="000B615A" w:rsidRPr="000B615A" w14:paraId="75980375" w14:textId="77777777" w:rsidTr="000B615A">
        <w:trPr>
          <w:trHeight w:val="227"/>
        </w:trPr>
        <w:tc>
          <w:tcPr>
            <w:tcW w:w="15993" w:type="dxa"/>
            <w:gridSpan w:val="19"/>
            <w:tcBorders>
              <w:top w:val="nil"/>
              <w:left w:val="single" w:sz="4" w:space="0" w:color="auto"/>
              <w:bottom w:val="single" w:sz="4" w:space="0" w:color="auto"/>
              <w:right w:val="single" w:sz="4" w:space="0" w:color="auto"/>
            </w:tcBorders>
            <w:shd w:val="clear" w:color="auto" w:fill="auto"/>
            <w:noWrap/>
            <w:vAlign w:val="center"/>
            <w:hideMark/>
          </w:tcPr>
          <w:p w14:paraId="29C7EB3B" w14:textId="77777777" w:rsidR="000B615A" w:rsidRPr="000B615A" w:rsidRDefault="000B615A" w:rsidP="000B615A">
            <w:pPr>
              <w:spacing w:before="80" w:after="2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b/>
                <w:bCs/>
                <w:color w:val="000000"/>
                <w:sz w:val="19"/>
                <w:szCs w:val="19"/>
              </w:rPr>
              <w:t>Share of total assets</w:t>
            </w:r>
          </w:p>
        </w:tc>
      </w:tr>
      <w:tr w:rsidR="00AF355D" w:rsidRPr="000B615A" w14:paraId="7C852F16" w14:textId="77777777" w:rsidTr="00AF355D">
        <w:trPr>
          <w:trHeight w:val="227"/>
        </w:trPr>
        <w:tc>
          <w:tcPr>
            <w:tcW w:w="1555" w:type="dxa"/>
            <w:tcBorders>
              <w:top w:val="single" w:sz="4" w:space="0" w:color="auto"/>
              <w:left w:val="single" w:sz="4" w:space="0" w:color="auto"/>
              <w:bottom w:val="nil"/>
              <w:right w:val="single" w:sz="4" w:space="0" w:color="auto"/>
            </w:tcBorders>
            <w:shd w:val="clear" w:color="auto" w:fill="auto"/>
            <w:noWrap/>
            <w:vAlign w:val="bottom"/>
            <w:hideMark/>
          </w:tcPr>
          <w:p w14:paraId="63C99537"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Primary residence</w:t>
            </w:r>
          </w:p>
        </w:tc>
        <w:tc>
          <w:tcPr>
            <w:tcW w:w="850" w:type="dxa"/>
            <w:tcBorders>
              <w:top w:val="single" w:sz="4" w:space="0" w:color="auto"/>
              <w:left w:val="nil"/>
              <w:bottom w:val="nil"/>
              <w:right w:val="nil"/>
            </w:tcBorders>
            <w:shd w:val="clear" w:color="auto" w:fill="auto"/>
            <w:noWrap/>
            <w:vAlign w:val="center"/>
            <w:hideMark/>
          </w:tcPr>
          <w:p w14:paraId="476E469B" w14:textId="3792F269"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105.18</w:t>
            </w:r>
          </w:p>
        </w:tc>
        <w:tc>
          <w:tcPr>
            <w:tcW w:w="851" w:type="dxa"/>
            <w:tcBorders>
              <w:top w:val="single" w:sz="4" w:space="0" w:color="auto"/>
              <w:left w:val="nil"/>
              <w:bottom w:val="nil"/>
              <w:right w:val="single" w:sz="4" w:space="0" w:color="auto"/>
            </w:tcBorders>
            <w:shd w:val="clear" w:color="000000" w:fill="F2F2F2"/>
            <w:noWrap/>
            <w:vAlign w:val="center"/>
            <w:hideMark/>
          </w:tcPr>
          <w:p w14:paraId="6C978A2A" w14:textId="07447FF5"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0.35</w:t>
            </w:r>
          </w:p>
        </w:tc>
        <w:tc>
          <w:tcPr>
            <w:tcW w:w="814" w:type="dxa"/>
            <w:tcBorders>
              <w:top w:val="single" w:sz="4" w:space="0" w:color="auto"/>
              <w:left w:val="nil"/>
              <w:bottom w:val="nil"/>
              <w:right w:val="nil"/>
            </w:tcBorders>
            <w:shd w:val="clear" w:color="auto" w:fill="auto"/>
            <w:noWrap/>
            <w:vAlign w:val="center"/>
            <w:hideMark/>
          </w:tcPr>
          <w:p w14:paraId="0C9C4FA4" w14:textId="5AA6EA5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97.09</w:t>
            </w:r>
          </w:p>
        </w:tc>
        <w:tc>
          <w:tcPr>
            <w:tcW w:w="794" w:type="dxa"/>
            <w:tcBorders>
              <w:top w:val="single" w:sz="4" w:space="0" w:color="auto"/>
              <w:left w:val="nil"/>
              <w:bottom w:val="nil"/>
              <w:right w:val="single" w:sz="4" w:space="0" w:color="auto"/>
            </w:tcBorders>
            <w:shd w:val="clear" w:color="000000" w:fill="F2F2F2"/>
            <w:noWrap/>
            <w:vAlign w:val="center"/>
            <w:hideMark/>
          </w:tcPr>
          <w:p w14:paraId="63A80D15" w14:textId="5D4E6E8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794" w:type="dxa"/>
            <w:tcBorders>
              <w:top w:val="single" w:sz="4" w:space="0" w:color="auto"/>
              <w:left w:val="nil"/>
              <w:bottom w:val="nil"/>
              <w:right w:val="nil"/>
            </w:tcBorders>
            <w:shd w:val="clear" w:color="auto" w:fill="auto"/>
            <w:noWrap/>
            <w:vAlign w:val="center"/>
            <w:hideMark/>
          </w:tcPr>
          <w:p w14:paraId="410ADBE9" w14:textId="151E950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90.66</w:t>
            </w:r>
          </w:p>
        </w:tc>
        <w:tc>
          <w:tcPr>
            <w:tcW w:w="794" w:type="dxa"/>
            <w:tcBorders>
              <w:top w:val="single" w:sz="4" w:space="0" w:color="auto"/>
              <w:left w:val="nil"/>
              <w:bottom w:val="nil"/>
              <w:right w:val="single" w:sz="4" w:space="0" w:color="auto"/>
            </w:tcBorders>
            <w:shd w:val="clear" w:color="000000" w:fill="F2F2F2"/>
            <w:noWrap/>
            <w:vAlign w:val="center"/>
            <w:hideMark/>
          </w:tcPr>
          <w:p w14:paraId="58A34818" w14:textId="4CB0189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773" w:type="dxa"/>
            <w:tcBorders>
              <w:top w:val="single" w:sz="4" w:space="0" w:color="auto"/>
              <w:left w:val="nil"/>
              <w:bottom w:val="nil"/>
              <w:right w:val="nil"/>
            </w:tcBorders>
            <w:shd w:val="clear" w:color="auto" w:fill="auto"/>
            <w:noWrap/>
            <w:vAlign w:val="center"/>
            <w:hideMark/>
          </w:tcPr>
          <w:p w14:paraId="0B11A161" w14:textId="463F18E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101.96</w:t>
            </w:r>
          </w:p>
        </w:tc>
        <w:tc>
          <w:tcPr>
            <w:tcW w:w="815" w:type="dxa"/>
            <w:tcBorders>
              <w:top w:val="single" w:sz="4" w:space="0" w:color="auto"/>
              <w:left w:val="nil"/>
              <w:bottom w:val="nil"/>
              <w:right w:val="single" w:sz="4" w:space="0" w:color="auto"/>
            </w:tcBorders>
            <w:shd w:val="clear" w:color="000000" w:fill="F2F2F2"/>
            <w:noWrap/>
            <w:vAlign w:val="center"/>
            <w:hideMark/>
          </w:tcPr>
          <w:p w14:paraId="3E68C5DA" w14:textId="0D648FE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c>
          <w:tcPr>
            <w:tcW w:w="794" w:type="dxa"/>
            <w:tcBorders>
              <w:top w:val="single" w:sz="4" w:space="0" w:color="auto"/>
              <w:left w:val="nil"/>
              <w:bottom w:val="nil"/>
              <w:right w:val="nil"/>
            </w:tcBorders>
            <w:shd w:val="clear" w:color="auto" w:fill="auto"/>
            <w:noWrap/>
            <w:vAlign w:val="center"/>
            <w:hideMark/>
          </w:tcPr>
          <w:p w14:paraId="547B1E33" w14:textId="23FF7DD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121.13</w:t>
            </w:r>
          </w:p>
        </w:tc>
        <w:tc>
          <w:tcPr>
            <w:tcW w:w="797" w:type="dxa"/>
            <w:tcBorders>
              <w:top w:val="single" w:sz="4" w:space="0" w:color="auto"/>
              <w:left w:val="nil"/>
              <w:bottom w:val="nil"/>
              <w:right w:val="single" w:sz="4" w:space="0" w:color="auto"/>
            </w:tcBorders>
            <w:shd w:val="clear" w:color="000000" w:fill="F2F2F2"/>
            <w:noWrap/>
            <w:vAlign w:val="center"/>
            <w:hideMark/>
          </w:tcPr>
          <w:p w14:paraId="12427AD9" w14:textId="2AD0DF0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0.31</w:t>
            </w:r>
          </w:p>
        </w:tc>
        <w:tc>
          <w:tcPr>
            <w:tcW w:w="794" w:type="dxa"/>
            <w:tcBorders>
              <w:top w:val="single" w:sz="4" w:space="0" w:color="auto"/>
              <w:left w:val="nil"/>
              <w:bottom w:val="nil"/>
              <w:right w:val="nil"/>
            </w:tcBorders>
            <w:shd w:val="clear" w:color="auto" w:fill="auto"/>
            <w:noWrap/>
            <w:vAlign w:val="center"/>
            <w:hideMark/>
          </w:tcPr>
          <w:p w14:paraId="1B6F9506" w14:textId="3E79215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106.89</w:t>
            </w:r>
          </w:p>
        </w:tc>
        <w:tc>
          <w:tcPr>
            <w:tcW w:w="794" w:type="dxa"/>
            <w:tcBorders>
              <w:top w:val="single" w:sz="4" w:space="0" w:color="auto"/>
              <w:left w:val="nil"/>
              <w:bottom w:val="nil"/>
              <w:right w:val="single" w:sz="4" w:space="0" w:color="auto"/>
            </w:tcBorders>
            <w:shd w:val="clear" w:color="000000" w:fill="F2F2F2"/>
            <w:noWrap/>
            <w:vAlign w:val="center"/>
            <w:hideMark/>
          </w:tcPr>
          <w:p w14:paraId="22B4D7E1" w14:textId="50E66AF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single" w:sz="4" w:space="0" w:color="auto"/>
              <w:left w:val="nil"/>
              <w:bottom w:val="nil"/>
              <w:right w:val="nil"/>
            </w:tcBorders>
            <w:shd w:val="clear" w:color="auto" w:fill="auto"/>
            <w:noWrap/>
            <w:vAlign w:val="center"/>
            <w:hideMark/>
          </w:tcPr>
          <w:p w14:paraId="0ECA9E45" w14:textId="1040A88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127.32</w:t>
            </w:r>
          </w:p>
        </w:tc>
        <w:tc>
          <w:tcPr>
            <w:tcW w:w="851" w:type="dxa"/>
            <w:tcBorders>
              <w:top w:val="single" w:sz="4" w:space="0" w:color="auto"/>
              <w:left w:val="nil"/>
              <w:bottom w:val="nil"/>
              <w:right w:val="single" w:sz="4" w:space="0" w:color="auto"/>
            </w:tcBorders>
            <w:shd w:val="clear" w:color="000000" w:fill="F2F2F2"/>
            <w:noWrap/>
            <w:vAlign w:val="center"/>
            <w:hideMark/>
          </w:tcPr>
          <w:p w14:paraId="0E267424" w14:textId="5AA2F56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850" w:type="dxa"/>
            <w:tcBorders>
              <w:top w:val="single" w:sz="4" w:space="0" w:color="auto"/>
              <w:left w:val="nil"/>
              <w:bottom w:val="nil"/>
              <w:right w:val="nil"/>
            </w:tcBorders>
            <w:shd w:val="clear" w:color="auto" w:fill="auto"/>
            <w:noWrap/>
            <w:vAlign w:val="center"/>
            <w:hideMark/>
          </w:tcPr>
          <w:p w14:paraId="74424FF5" w14:textId="6061923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127.16</w:t>
            </w:r>
          </w:p>
        </w:tc>
        <w:tc>
          <w:tcPr>
            <w:tcW w:w="709" w:type="dxa"/>
            <w:tcBorders>
              <w:top w:val="single" w:sz="4" w:space="0" w:color="auto"/>
              <w:left w:val="nil"/>
              <w:bottom w:val="nil"/>
              <w:right w:val="single" w:sz="4" w:space="0" w:color="auto"/>
            </w:tcBorders>
            <w:shd w:val="clear" w:color="000000" w:fill="F2F2F2"/>
            <w:noWrap/>
            <w:vAlign w:val="center"/>
            <w:hideMark/>
          </w:tcPr>
          <w:p w14:paraId="2F0263C4" w14:textId="69603EA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745" w:type="dxa"/>
            <w:tcBorders>
              <w:top w:val="single" w:sz="4" w:space="0" w:color="auto"/>
              <w:left w:val="nil"/>
              <w:bottom w:val="nil"/>
              <w:right w:val="nil"/>
            </w:tcBorders>
            <w:shd w:val="clear" w:color="auto" w:fill="auto"/>
            <w:noWrap/>
            <w:vAlign w:val="center"/>
            <w:hideMark/>
          </w:tcPr>
          <w:p w14:paraId="09BA1020" w14:textId="387E68C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136.23</w:t>
            </w:r>
          </w:p>
        </w:tc>
        <w:tc>
          <w:tcPr>
            <w:tcW w:w="794" w:type="dxa"/>
            <w:tcBorders>
              <w:top w:val="single" w:sz="4" w:space="0" w:color="auto"/>
              <w:left w:val="nil"/>
              <w:bottom w:val="nil"/>
              <w:right w:val="single" w:sz="4" w:space="0" w:color="auto"/>
            </w:tcBorders>
            <w:shd w:val="clear" w:color="000000" w:fill="F2F2F2"/>
            <w:noWrap/>
            <w:vAlign w:val="center"/>
            <w:hideMark/>
          </w:tcPr>
          <w:p w14:paraId="42095EC3" w14:textId="370547B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r>
      <w:tr w:rsidR="00AF355D" w:rsidRPr="000B615A" w14:paraId="464EF84A"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1C6C4D70"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Other property</w:t>
            </w:r>
          </w:p>
        </w:tc>
        <w:tc>
          <w:tcPr>
            <w:tcW w:w="850" w:type="dxa"/>
            <w:tcBorders>
              <w:top w:val="nil"/>
              <w:left w:val="nil"/>
              <w:bottom w:val="nil"/>
              <w:right w:val="nil"/>
            </w:tcBorders>
            <w:shd w:val="clear" w:color="auto" w:fill="auto"/>
            <w:noWrap/>
            <w:vAlign w:val="center"/>
            <w:hideMark/>
          </w:tcPr>
          <w:p w14:paraId="01E391A4" w14:textId="0937943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105.01</w:t>
            </w:r>
          </w:p>
        </w:tc>
        <w:tc>
          <w:tcPr>
            <w:tcW w:w="851" w:type="dxa"/>
            <w:tcBorders>
              <w:top w:val="nil"/>
              <w:left w:val="nil"/>
              <w:bottom w:val="nil"/>
              <w:right w:val="single" w:sz="4" w:space="0" w:color="auto"/>
            </w:tcBorders>
            <w:shd w:val="clear" w:color="000000" w:fill="F2F2F2"/>
            <w:noWrap/>
            <w:vAlign w:val="center"/>
            <w:hideMark/>
          </w:tcPr>
          <w:p w14:paraId="1256ECCA" w14:textId="41CB341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814" w:type="dxa"/>
            <w:tcBorders>
              <w:top w:val="nil"/>
              <w:left w:val="nil"/>
              <w:bottom w:val="nil"/>
              <w:right w:val="nil"/>
            </w:tcBorders>
            <w:shd w:val="clear" w:color="auto" w:fill="auto"/>
            <w:noWrap/>
            <w:vAlign w:val="center"/>
            <w:hideMark/>
          </w:tcPr>
          <w:p w14:paraId="2BC6BB4E" w14:textId="009ACC2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96.76</w:t>
            </w:r>
          </w:p>
        </w:tc>
        <w:tc>
          <w:tcPr>
            <w:tcW w:w="794" w:type="dxa"/>
            <w:tcBorders>
              <w:top w:val="nil"/>
              <w:left w:val="nil"/>
              <w:bottom w:val="nil"/>
              <w:right w:val="single" w:sz="4" w:space="0" w:color="auto"/>
            </w:tcBorders>
            <w:shd w:val="clear" w:color="000000" w:fill="F2F2F2"/>
            <w:noWrap/>
            <w:vAlign w:val="center"/>
            <w:hideMark/>
          </w:tcPr>
          <w:p w14:paraId="020C797B" w14:textId="7EE7CC1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94" w:type="dxa"/>
            <w:tcBorders>
              <w:top w:val="nil"/>
              <w:left w:val="nil"/>
              <w:bottom w:val="nil"/>
              <w:right w:val="nil"/>
            </w:tcBorders>
            <w:shd w:val="clear" w:color="auto" w:fill="auto"/>
            <w:noWrap/>
            <w:vAlign w:val="center"/>
            <w:hideMark/>
          </w:tcPr>
          <w:p w14:paraId="339D0481" w14:textId="33B4F5F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90.44</w:t>
            </w:r>
          </w:p>
        </w:tc>
        <w:tc>
          <w:tcPr>
            <w:tcW w:w="794" w:type="dxa"/>
            <w:tcBorders>
              <w:top w:val="nil"/>
              <w:left w:val="nil"/>
              <w:bottom w:val="nil"/>
              <w:right w:val="single" w:sz="4" w:space="0" w:color="auto"/>
            </w:tcBorders>
            <w:shd w:val="clear" w:color="000000" w:fill="F2F2F2"/>
            <w:noWrap/>
            <w:vAlign w:val="center"/>
            <w:hideMark/>
          </w:tcPr>
          <w:p w14:paraId="29C291C6" w14:textId="0AAB8D6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73" w:type="dxa"/>
            <w:tcBorders>
              <w:top w:val="nil"/>
              <w:left w:val="nil"/>
              <w:bottom w:val="nil"/>
              <w:right w:val="nil"/>
            </w:tcBorders>
            <w:shd w:val="clear" w:color="auto" w:fill="auto"/>
            <w:noWrap/>
            <w:vAlign w:val="center"/>
            <w:hideMark/>
          </w:tcPr>
          <w:p w14:paraId="285F194B" w14:textId="615FD6C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101.68</w:t>
            </w:r>
          </w:p>
        </w:tc>
        <w:tc>
          <w:tcPr>
            <w:tcW w:w="815" w:type="dxa"/>
            <w:tcBorders>
              <w:top w:val="nil"/>
              <w:left w:val="nil"/>
              <w:bottom w:val="nil"/>
              <w:right w:val="single" w:sz="4" w:space="0" w:color="auto"/>
            </w:tcBorders>
            <w:shd w:val="clear" w:color="000000" w:fill="F2F2F2"/>
            <w:noWrap/>
            <w:vAlign w:val="center"/>
            <w:hideMark/>
          </w:tcPr>
          <w:p w14:paraId="635A2D35" w14:textId="16C2FB9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c>
          <w:tcPr>
            <w:tcW w:w="794" w:type="dxa"/>
            <w:tcBorders>
              <w:top w:val="nil"/>
              <w:left w:val="nil"/>
              <w:bottom w:val="nil"/>
              <w:right w:val="nil"/>
            </w:tcBorders>
            <w:shd w:val="clear" w:color="auto" w:fill="auto"/>
            <w:noWrap/>
            <w:vAlign w:val="center"/>
            <w:hideMark/>
          </w:tcPr>
          <w:p w14:paraId="158537BA" w14:textId="6CD8F47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120.72</w:t>
            </w:r>
          </w:p>
        </w:tc>
        <w:tc>
          <w:tcPr>
            <w:tcW w:w="797" w:type="dxa"/>
            <w:tcBorders>
              <w:top w:val="nil"/>
              <w:left w:val="nil"/>
              <w:bottom w:val="nil"/>
              <w:right w:val="single" w:sz="4" w:space="0" w:color="auto"/>
            </w:tcBorders>
            <w:shd w:val="clear" w:color="000000" w:fill="F2F2F2"/>
            <w:noWrap/>
            <w:vAlign w:val="center"/>
            <w:hideMark/>
          </w:tcPr>
          <w:p w14:paraId="32B79C82" w14:textId="22C1570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0.31</w:t>
            </w:r>
          </w:p>
        </w:tc>
        <w:tc>
          <w:tcPr>
            <w:tcW w:w="794" w:type="dxa"/>
            <w:tcBorders>
              <w:top w:val="nil"/>
              <w:left w:val="nil"/>
              <w:bottom w:val="nil"/>
              <w:right w:val="nil"/>
            </w:tcBorders>
            <w:shd w:val="clear" w:color="auto" w:fill="auto"/>
            <w:noWrap/>
            <w:vAlign w:val="center"/>
            <w:hideMark/>
          </w:tcPr>
          <w:p w14:paraId="48FBFB12" w14:textId="7414479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106.67</w:t>
            </w:r>
          </w:p>
        </w:tc>
        <w:tc>
          <w:tcPr>
            <w:tcW w:w="794" w:type="dxa"/>
            <w:tcBorders>
              <w:top w:val="nil"/>
              <w:left w:val="nil"/>
              <w:bottom w:val="nil"/>
              <w:right w:val="single" w:sz="4" w:space="0" w:color="auto"/>
            </w:tcBorders>
            <w:shd w:val="clear" w:color="000000" w:fill="F2F2F2"/>
            <w:noWrap/>
            <w:vAlign w:val="center"/>
            <w:hideMark/>
          </w:tcPr>
          <w:p w14:paraId="05DBC533" w14:textId="3129B83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nil"/>
              <w:left w:val="nil"/>
              <w:bottom w:val="nil"/>
              <w:right w:val="nil"/>
            </w:tcBorders>
            <w:shd w:val="clear" w:color="auto" w:fill="auto"/>
            <w:noWrap/>
            <w:vAlign w:val="center"/>
            <w:hideMark/>
          </w:tcPr>
          <w:p w14:paraId="5B28D8F8" w14:textId="5822FC3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126.89</w:t>
            </w:r>
          </w:p>
        </w:tc>
        <w:tc>
          <w:tcPr>
            <w:tcW w:w="851" w:type="dxa"/>
            <w:tcBorders>
              <w:top w:val="nil"/>
              <w:left w:val="nil"/>
              <w:bottom w:val="nil"/>
              <w:right w:val="single" w:sz="4" w:space="0" w:color="auto"/>
            </w:tcBorders>
            <w:shd w:val="clear" w:color="000000" w:fill="F2F2F2"/>
            <w:noWrap/>
            <w:vAlign w:val="center"/>
            <w:hideMark/>
          </w:tcPr>
          <w:p w14:paraId="491878B6" w14:textId="5119DD3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850" w:type="dxa"/>
            <w:tcBorders>
              <w:top w:val="nil"/>
              <w:left w:val="nil"/>
              <w:bottom w:val="nil"/>
              <w:right w:val="nil"/>
            </w:tcBorders>
            <w:shd w:val="clear" w:color="auto" w:fill="auto"/>
            <w:noWrap/>
            <w:vAlign w:val="center"/>
            <w:hideMark/>
          </w:tcPr>
          <w:p w14:paraId="4ADBB70F" w14:textId="1B9CFBB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126.95</w:t>
            </w:r>
          </w:p>
        </w:tc>
        <w:tc>
          <w:tcPr>
            <w:tcW w:w="709" w:type="dxa"/>
            <w:tcBorders>
              <w:top w:val="nil"/>
              <w:left w:val="nil"/>
              <w:bottom w:val="nil"/>
              <w:right w:val="single" w:sz="4" w:space="0" w:color="auto"/>
            </w:tcBorders>
            <w:shd w:val="clear" w:color="000000" w:fill="F2F2F2"/>
            <w:noWrap/>
            <w:vAlign w:val="center"/>
            <w:hideMark/>
          </w:tcPr>
          <w:p w14:paraId="6A0A853A" w14:textId="3B0D7BF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745" w:type="dxa"/>
            <w:tcBorders>
              <w:top w:val="nil"/>
              <w:left w:val="nil"/>
              <w:bottom w:val="nil"/>
              <w:right w:val="nil"/>
            </w:tcBorders>
            <w:shd w:val="clear" w:color="auto" w:fill="auto"/>
            <w:noWrap/>
            <w:vAlign w:val="center"/>
            <w:hideMark/>
          </w:tcPr>
          <w:p w14:paraId="30A5E68D" w14:textId="222979C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136.28</w:t>
            </w:r>
          </w:p>
        </w:tc>
        <w:tc>
          <w:tcPr>
            <w:tcW w:w="794" w:type="dxa"/>
            <w:tcBorders>
              <w:top w:val="nil"/>
              <w:left w:val="nil"/>
              <w:bottom w:val="nil"/>
              <w:right w:val="single" w:sz="4" w:space="0" w:color="auto"/>
            </w:tcBorders>
            <w:shd w:val="clear" w:color="000000" w:fill="F2F2F2"/>
            <w:noWrap/>
            <w:vAlign w:val="center"/>
            <w:hideMark/>
          </w:tcPr>
          <w:p w14:paraId="678A78F3" w14:textId="03FD09B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r>
      <w:tr w:rsidR="00AF355D" w:rsidRPr="000B615A" w14:paraId="21570527"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5E980BF1"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Vehicles and other non-financial assets</w:t>
            </w:r>
          </w:p>
        </w:tc>
        <w:tc>
          <w:tcPr>
            <w:tcW w:w="850" w:type="dxa"/>
            <w:tcBorders>
              <w:top w:val="nil"/>
              <w:left w:val="nil"/>
              <w:bottom w:val="nil"/>
              <w:right w:val="nil"/>
            </w:tcBorders>
            <w:shd w:val="clear" w:color="auto" w:fill="auto"/>
            <w:noWrap/>
            <w:vAlign w:val="center"/>
            <w:hideMark/>
          </w:tcPr>
          <w:p w14:paraId="0A0F0D52" w14:textId="6C29FAE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104.03</w:t>
            </w:r>
          </w:p>
        </w:tc>
        <w:tc>
          <w:tcPr>
            <w:tcW w:w="851" w:type="dxa"/>
            <w:tcBorders>
              <w:top w:val="nil"/>
              <w:left w:val="nil"/>
              <w:bottom w:val="nil"/>
              <w:right w:val="single" w:sz="4" w:space="0" w:color="auto"/>
            </w:tcBorders>
            <w:shd w:val="clear" w:color="000000" w:fill="F2F2F2"/>
            <w:noWrap/>
            <w:vAlign w:val="center"/>
            <w:hideMark/>
          </w:tcPr>
          <w:p w14:paraId="7E7EC46C" w14:textId="15B10EA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c>
          <w:tcPr>
            <w:tcW w:w="814" w:type="dxa"/>
            <w:tcBorders>
              <w:top w:val="nil"/>
              <w:left w:val="nil"/>
              <w:bottom w:val="nil"/>
              <w:right w:val="nil"/>
            </w:tcBorders>
            <w:shd w:val="clear" w:color="auto" w:fill="auto"/>
            <w:noWrap/>
            <w:vAlign w:val="center"/>
            <w:hideMark/>
          </w:tcPr>
          <w:p w14:paraId="604267EE" w14:textId="279945B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96.31</w:t>
            </w:r>
          </w:p>
        </w:tc>
        <w:tc>
          <w:tcPr>
            <w:tcW w:w="794" w:type="dxa"/>
            <w:tcBorders>
              <w:top w:val="nil"/>
              <w:left w:val="nil"/>
              <w:bottom w:val="nil"/>
              <w:right w:val="single" w:sz="4" w:space="0" w:color="auto"/>
            </w:tcBorders>
            <w:shd w:val="clear" w:color="000000" w:fill="F2F2F2"/>
            <w:noWrap/>
            <w:vAlign w:val="center"/>
            <w:hideMark/>
          </w:tcPr>
          <w:p w14:paraId="6E9A09AC" w14:textId="0E82FA3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94" w:type="dxa"/>
            <w:tcBorders>
              <w:top w:val="nil"/>
              <w:left w:val="nil"/>
              <w:bottom w:val="nil"/>
              <w:right w:val="nil"/>
            </w:tcBorders>
            <w:shd w:val="clear" w:color="auto" w:fill="auto"/>
            <w:noWrap/>
            <w:vAlign w:val="center"/>
            <w:hideMark/>
          </w:tcPr>
          <w:p w14:paraId="26720120" w14:textId="504F226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89.85</w:t>
            </w:r>
          </w:p>
        </w:tc>
        <w:tc>
          <w:tcPr>
            <w:tcW w:w="794" w:type="dxa"/>
            <w:tcBorders>
              <w:top w:val="nil"/>
              <w:left w:val="nil"/>
              <w:bottom w:val="nil"/>
              <w:right w:val="single" w:sz="4" w:space="0" w:color="auto"/>
            </w:tcBorders>
            <w:shd w:val="clear" w:color="000000" w:fill="F2F2F2"/>
            <w:noWrap/>
            <w:vAlign w:val="center"/>
            <w:hideMark/>
          </w:tcPr>
          <w:p w14:paraId="7EA1E2FE" w14:textId="6F24084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0.40</w:t>
            </w:r>
          </w:p>
        </w:tc>
        <w:tc>
          <w:tcPr>
            <w:tcW w:w="773" w:type="dxa"/>
            <w:tcBorders>
              <w:top w:val="nil"/>
              <w:left w:val="nil"/>
              <w:bottom w:val="nil"/>
              <w:right w:val="nil"/>
            </w:tcBorders>
            <w:shd w:val="clear" w:color="auto" w:fill="auto"/>
            <w:noWrap/>
            <w:vAlign w:val="center"/>
            <w:hideMark/>
          </w:tcPr>
          <w:p w14:paraId="238E1739" w14:textId="661A65D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100.78</w:t>
            </w:r>
          </w:p>
        </w:tc>
        <w:tc>
          <w:tcPr>
            <w:tcW w:w="815" w:type="dxa"/>
            <w:tcBorders>
              <w:top w:val="nil"/>
              <w:left w:val="nil"/>
              <w:bottom w:val="nil"/>
              <w:right w:val="single" w:sz="4" w:space="0" w:color="auto"/>
            </w:tcBorders>
            <w:shd w:val="clear" w:color="000000" w:fill="F2F2F2"/>
            <w:noWrap/>
            <w:vAlign w:val="center"/>
            <w:hideMark/>
          </w:tcPr>
          <w:p w14:paraId="1D1D9D62" w14:textId="177E2BA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0.37</w:t>
            </w:r>
          </w:p>
        </w:tc>
        <w:tc>
          <w:tcPr>
            <w:tcW w:w="794" w:type="dxa"/>
            <w:tcBorders>
              <w:top w:val="nil"/>
              <w:left w:val="nil"/>
              <w:bottom w:val="nil"/>
              <w:right w:val="nil"/>
            </w:tcBorders>
            <w:shd w:val="clear" w:color="auto" w:fill="auto"/>
            <w:noWrap/>
            <w:vAlign w:val="center"/>
            <w:hideMark/>
          </w:tcPr>
          <w:p w14:paraId="142B6A82" w14:textId="34BA7F2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119.76</w:t>
            </w:r>
          </w:p>
        </w:tc>
        <w:tc>
          <w:tcPr>
            <w:tcW w:w="797" w:type="dxa"/>
            <w:tcBorders>
              <w:top w:val="nil"/>
              <w:left w:val="nil"/>
              <w:bottom w:val="nil"/>
              <w:right w:val="single" w:sz="4" w:space="0" w:color="auto"/>
            </w:tcBorders>
            <w:shd w:val="clear" w:color="000000" w:fill="F2F2F2"/>
            <w:noWrap/>
            <w:vAlign w:val="center"/>
            <w:hideMark/>
          </w:tcPr>
          <w:p w14:paraId="60A1AFA7" w14:textId="74D7C66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794" w:type="dxa"/>
            <w:tcBorders>
              <w:top w:val="nil"/>
              <w:left w:val="nil"/>
              <w:bottom w:val="nil"/>
              <w:right w:val="nil"/>
            </w:tcBorders>
            <w:shd w:val="clear" w:color="auto" w:fill="auto"/>
            <w:noWrap/>
            <w:vAlign w:val="center"/>
            <w:hideMark/>
          </w:tcPr>
          <w:p w14:paraId="35DC7CE0" w14:textId="5AA9361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105.94</w:t>
            </w:r>
          </w:p>
        </w:tc>
        <w:tc>
          <w:tcPr>
            <w:tcW w:w="794" w:type="dxa"/>
            <w:tcBorders>
              <w:top w:val="nil"/>
              <w:left w:val="nil"/>
              <w:bottom w:val="nil"/>
              <w:right w:val="single" w:sz="4" w:space="0" w:color="auto"/>
            </w:tcBorders>
            <w:shd w:val="clear" w:color="000000" w:fill="F2F2F2"/>
            <w:noWrap/>
            <w:vAlign w:val="center"/>
            <w:hideMark/>
          </w:tcPr>
          <w:p w14:paraId="66AF63BB" w14:textId="2A8F345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825" w:type="dxa"/>
            <w:tcBorders>
              <w:top w:val="nil"/>
              <w:left w:val="nil"/>
              <w:bottom w:val="nil"/>
              <w:right w:val="nil"/>
            </w:tcBorders>
            <w:shd w:val="clear" w:color="auto" w:fill="auto"/>
            <w:noWrap/>
            <w:vAlign w:val="center"/>
            <w:hideMark/>
          </w:tcPr>
          <w:p w14:paraId="7191EC46" w14:textId="5634993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126.54</w:t>
            </w:r>
          </w:p>
        </w:tc>
        <w:tc>
          <w:tcPr>
            <w:tcW w:w="851" w:type="dxa"/>
            <w:tcBorders>
              <w:top w:val="nil"/>
              <w:left w:val="nil"/>
              <w:bottom w:val="nil"/>
              <w:right w:val="single" w:sz="4" w:space="0" w:color="auto"/>
            </w:tcBorders>
            <w:shd w:val="clear" w:color="000000" w:fill="F2F2F2"/>
            <w:noWrap/>
            <w:vAlign w:val="center"/>
            <w:hideMark/>
          </w:tcPr>
          <w:p w14:paraId="0622367D" w14:textId="6D450B5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850" w:type="dxa"/>
            <w:tcBorders>
              <w:top w:val="nil"/>
              <w:left w:val="nil"/>
              <w:bottom w:val="nil"/>
              <w:right w:val="nil"/>
            </w:tcBorders>
            <w:shd w:val="clear" w:color="auto" w:fill="auto"/>
            <w:noWrap/>
            <w:vAlign w:val="center"/>
            <w:hideMark/>
          </w:tcPr>
          <w:p w14:paraId="69911307" w14:textId="255D886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126.47</w:t>
            </w:r>
          </w:p>
        </w:tc>
        <w:tc>
          <w:tcPr>
            <w:tcW w:w="709" w:type="dxa"/>
            <w:tcBorders>
              <w:top w:val="nil"/>
              <w:left w:val="nil"/>
              <w:bottom w:val="nil"/>
              <w:right w:val="single" w:sz="4" w:space="0" w:color="auto"/>
            </w:tcBorders>
            <w:shd w:val="clear" w:color="000000" w:fill="F2F2F2"/>
            <w:noWrap/>
            <w:vAlign w:val="center"/>
            <w:hideMark/>
          </w:tcPr>
          <w:p w14:paraId="7D93E787" w14:textId="58DB888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745" w:type="dxa"/>
            <w:tcBorders>
              <w:top w:val="nil"/>
              <w:left w:val="nil"/>
              <w:bottom w:val="nil"/>
              <w:right w:val="nil"/>
            </w:tcBorders>
            <w:shd w:val="clear" w:color="auto" w:fill="auto"/>
            <w:noWrap/>
            <w:vAlign w:val="center"/>
            <w:hideMark/>
          </w:tcPr>
          <w:p w14:paraId="2E262D24" w14:textId="2C7B381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135.40</w:t>
            </w:r>
          </w:p>
        </w:tc>
        <w:tc>
          <w:tcPr>
            <w:tcW w:w="794" w:type="dxa"/>
            <w:tcBorders>
              <w:top w:val="nil"/>
              <w:left w:val="nil"/>
              <w:bottom w:val="nil"/>
              <w:right w:val="single" w:sz="4" w:space="0" w:color="auto"/>
            </w:tcBorders>
            <w:shd w:val="clear" w:color="000000" w:fill="F2F2F2"/>
            <w:noWrap/>
            <w:vAlign w:val="center"/>
            <w:hideMark/>
          </w:tcPr>
          <w:p w14:paraId="099E84BD" w14:textId="11157F7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r>
      <w:tr w:rsidR="00AF355D" w:rsidRPr="000B615A" w14:paraId="1ABDA058"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226D6F61"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Business equity</w:t>
            </w:r>
          </w:p>
        </w:tc>
        <w:tc>
          <w:tcPr>
            <w:tcW w:w="850" w:type="dxa"/>
            <w:tcBorders>
              <w:top w:val="nil"/>
              <w:left w:val="nil"/>
              <w:bottom w:val="nil"/>
              <w:right w:val="nil"/>
            </w:tcBorders>
            <w:shd w:val="clear" w:color="auto" w:fill="auto"/>
            <w:noWrap/>
            <w:vAlign w:val="center"/>
            <w:hideMark/>
          </w:tcPr>
          <w:p w14:paraId="5B569748" w14:textId="21AF9DE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105.04</w:t>
            </w:r>
          </w:p>
        </w:tc>
        <w:tc>
          <w:tcPr>
            <w:tcW w:w="851" w:type="dxa"/>
            <w:tcBorders>
              <w:top w:val="nil"/>
              <w:left w:val="nil"/>
              <w:bottom w:val="nil"/>
              <w:right w:val="single" w:sz="4" w:space="0" w:color="auto"/>
            </w:tcBorders>
            <w:shd w:val="clear" w:color="000000" w:fill="F2F2F2"/>
            <w:noWrap/>
            <w:vAlign w:val="center"/>
            <w:hideMark/>
          </w:tcPr>
          <w:p w14:paraId="23F68418" w14:textId="62E68A3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814" w:type="dxa"/>
            <w:tcBorders>
              <w:top w:val="nil"/>
              <w:left w:val="nil"/>
              <w:bottom w:val="nil"/>
              <w:right w:val="nil"/>
            </w:tcBorders>
            <w:shd w:val="clear" w:color="auto" w:fill="auto"/>
            <w:noWrap/>
            <w:vAlign w:val="center"/>
            <w:hideMark/>
          </w:tcPr>
          <w:p w14:paraId="43364584" w14:textId="44434E1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96.94</w:t>
            </w:r>
          </w:p>
        </w:tc>
        <w:tc>
          <w:tcPr>
            <w:tcW w:w="794" w:type="dxa"/>
            <w:tcBorders>
              <w:top w:val="nil"/>
              <w:left w:val="nil"/>
              <w:bottom w:val="nil"/>
              <w:right w:val="single" w:sz="4" w:space="0" w:color="auto"/>
            </w:tcBorders>
            <w:shd w:val="clear" w:color="000000" w:fill="F2F2F2"/>
            <w:noWrap/>
            <w:vAlign w:val="center"/>
            <w:hideMark/>
          </w:tcPr>
          <w:p w14:paraId="1415A6A8" w14:textId="7EB7FD0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794" w:type="dxa"/>
            <w:tcBorders>
              <w:top w:val="nil"/>
              <w:left w:val="nil"/>
              <w:bottom w:val="nil"/>
              <w:right w:val="nil"/>
            </w:tcBorders>
            <w:shd w:val="clear" w:color="auto" w:fill="auto"/>
            <w:noWrap/>
            <w:vAlign w:val="center"/>
            <w:hideMark/>
          </w:tcPr>
          <w:p w14:paraId="1DA73C5F" w14:textId="34B0B90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90.34</w:t>
            </w:r>
          </w:p>
        </w:tc>
        <w:tc>
          <w:tcPr>
            <w:tcW w:w="794" w:type="dxa"/>
            <w:tcBorders>
              <w:top w:val="nil"/>
              <w:left w:val="nil"/>
              <w:bottom w:val="nil"/>
              <w:right w:val="single" w:sz="4" w:space="0" w:color="auto"/>
            </w:tcBorders>
            <w:shd w:val="clear" w:color="000000" w:fill="F2F2F2"/>
            <w:noWrap/>
            <w:vAlign w:val="center"/>
            <w:hideMark/>
          </w:tcPr>
          <w:p w14:paraId="33C3CAF9" w14:textId="669DE8D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73" w:type="dxa"/>
            <w:tcBorders>
              <w:top w:val="nil"/>
              <w:left w:val="nil"/>
              <w:bottom w:val="nil"/>
              <w:right w:val="nil"/>
            </w:tcBorders>
            <w:shd w:val="clear" w:color="auto" w:fill="auto"/>
            <w:noWrap/>
            <w:vAlign w:val="center"/>
            <w:hideMark/>
          </w:tcPr>
          <w:p w14:paraId="794E90B7" w14:textId="416BB67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101.92</w:t>
            </w:r>
          </w:p>
        </w:tc>
        <w:tc>
          <w:tcPr>
            <w:tcW w:w="815" w:type="dxa"/>
            <w:tcBorders>
              <w:top w:val="nil"/>
              <w:left w:val="nil"/>
              <w:bottom w:val="nil"/>
              <w:right w:val="single" w:sz="4" w:space="0" w:color="auto"/>
            </w:tcBorders>
            <w:shd w:val="clear" w:color="000000" w:fill="F2F2F2"/>
            <w:noWrap/>
            <w:vAlign w:val="center"/>
            <w:hideMark/>
          </w:tcPr>
          <w:p w14:paraId="5612A9A6" w14:textId="35C1FC4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c>
          <w:tcPr>
            <w:tcW w:w="794" w:type="dxa"/>
            <w:tcBorders>
              <w:top w:val="nil"/>
              <w:left w:val="nil"/>
              <w:bottom w:val="nil"/>
              <w:right w:val="nil"/>
            </w:tcBorders>
            <w:shd w:val="clear" w:color="auto" w:fill="auto"/>
            <w:noWrap/>
            <w:vAlign w:val="center"/>
            <w:hideMark/>
          </w:tcPr>
          <w:p w14:paraId="2503382C" w14:textId="713192B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120.69</w:t>
            </w:r>
          </w:p>
        </w:tc>
        <w:tc>
          <w:tcPr>
            <w:tcW w:w="797" w:type="dxa"/>
            <w:tcBorders>
              <w:top w:val="nil"/>
              <w:left w:val="nil"/>
              <w:bottom w:val="nil"/>
              <w:right w:val="single" w:sz="4" w:space="0" w:color="auto"/>
            </w:tcBorders>
            <w:shd w:val="clear" w:color="000000" w:fill="F2F2F2"/>
            <w:noWrap/>
            <w:vAlign w:val="center"/>
            <w:hideMark/>
          </w:tcPr>
          <w:p w14:paraId="078EB4EC" w14:textId="7F82F98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0.31</w:t>
            </w:r>
          </w:p>
        </w:tc>
        <w:tc>
          <w:tcPr>
            <w:tcW w:w="794" w:type="dxa"/>
            <w:tcBorders>
              <w:top w:val="nil"/>
              <w:left w:val="nil"/>
              <w:bottom w:val="nil"/>
              <w:right w:val="nil"/>
            </w:tcBorders>
            <w:shd w:val="clear" w:color="auto" w:fill="auto"/>
            <w:noWrap/>
            <w:vAlign w:val="center"/>
            <w:hideMark/>
          </w:tcPr>
          <w:p w14:paraId="08BF7969" w14:textId="6864AFB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106.64</w:t>
            </w:r>
          </w:p>
        </w:tc>
        <w:tc>
          <w:tcPr>
            <w:tcW w:w="794" w:type="dxa"/>
            <w:tcBorders>
              <w:top w:val="nil"/>
              <w:left w:val="nil"/>
              <w:bottom w:val="nil"/>
              <w:right w:val="single" w:sz="4" w:space="0" w:color="auto"/>
            </w:tcBorders>
            <w:shd w:val="clear" w:color="000000" w:fill="F2F2F2"/>
            <w:noWrap/>
            <w:vAlign w:val="center"/>
            <w:hideMark/>
          </w:tcPr>
          <w:p w14:paraId="34A1630C" w14:textId="613F4E1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nil"/>
              <w:left w:val="nil"/>
              <w:bottom w:val="nil"/>
              <w:right w:val="nil"/>
            </w:tcBorders>
            <w:shd w:val="clear" w:color="auto" w:fill="auto"/>
            <w:noWrap/>
            <w:vAlign w:val="center"/>
            <w:hideMark/>
          </w:tcPr>
          <w:p w14:paraId="2E619C27" w14:textId="1C264AD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126.73</w:t>
            </w:r>
          </w:p>
        </w:tc>
        <w:tc>
          <w:tcPr>
            <w:tcW w:w="851" w:type="dxa"/>
            <w:tcBorders>
              <w:top w:val="nil"/>
              <w:left w:val="nil"/>
              <w:bottom w:val="nil"/>
              <w:right w:val="single" w:sz="4" w:space="0" w:color="auto"/>
            </w:tcBorders>
            <w:shd w:val="clear" w:color="000000" w:fill="F2F2F2"/>
            <w:noWrap/>
            <w:vAlign w:val="center"/>
            <w:hideMark/>
          </w:tcPr>
          <w:p w14:paraId="71B04102" w14:textId="31B97E8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850" w:type="dxa"/>
            <w:tcBorders>
              <w:top w:val="nil"/>
              <w:left w:val="nil"/>
              <w:bottom w:val="nil"/>
              <w:right w:val="nil"/>
            </w:tcBorders>
            <w:shd w:val="clear" w:color="auto" w:fill="auto"/>
            <w:noWrap/>
            <w:vAlign w:val="center"/>
            <w:hideMark/>
          </w:tcPr>
          <w:p w14:paraId="11BAD673" w14:textId="3859D17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126.93</w:t>
            </w:r>
          </w:p>
        </w:tc>
        <w:tc>
          <w:tcPr>
            <w:tcW w:w="709" w:type="dxa"/>
            <w:tcBorders>
              <w:top w:val="nil"/>
              <w:left w:val="nil"/>
              <w:bottom w:val="nil"/>
              <w:right w:val="single" w:sz="4" w:space="0" w:color="auto"/>
            </w:tcBorders>
            <w:shd w:val="clear" w:color="000000" w:fill="F2F2F2"/>
            <w:noWrap/>
            <w:vAlign w:val="center"/>
            <w:hideMark/>
          </w:tcPr>
          <w:p w14:paraId="47C1C2D5" w14:textId="7D7D4D2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745" w:type="dxa"/>
            <w:tcBorders>
              <w:top w:val="nil"/>
              <w:left w:val="nil"/>
              <w:bottom w:val="nil"/>
              <w:right w:val="nil"/>
            </w:tcBorders>
            <w:shd w:val="clear" w:color="auto" w:fill="auto"/>
            <w:noWrap/>
            <w:vAlign w:val="center"/>
            <w:hideMark/>
          </w:tcPr>
          <w:p w14:paraId="6F5C4309" w14:textId="5C072A9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135.65</w:t>
            </w:r>
          </w:p>
        </w:tc>
        <w:tc>
          <w:tcPr>
            <w:tcW w:w="794" w:type="dxa"/>
            <w:tcBorders>
              <w:top w:val="nil"/>
              <w:left w:val="nil"/>
              <w:bottom w:val="nil"/>
              <w:right w:val="single" w:sz="4" w:space="0" w:color="auto"/>
            </w:tcBorders>
            <w:shd w:val="clear" w:color="000000" w:fill="F2F2F2"/>
            <w:noWrap/>
            <w:vAlign w:val="center"/>
            <w:hideMark/>
          </w:tcPr>
          <w:p w14:paraId="4184B26C" w14:textId="35F2888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r>
      <w:tr w:rsidR="00AF355D" w:rsidRPr="000B615A" w14:paraId="46DBA185"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77BD11E7"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Financial investment assets</w:t>
            </w:r>
          </w:p>
        </w:tc>
        <w:tc>
          <w:tcPr>
            <w:tcW w:w="850" w:type="dxa"/>
            <w:tcBorders>
              <w:top w:val="nil"/>
              <w:left w:val="nil"/>
              <w:bottom w:val="nil"/>
              <w:right w:val="nil"/>
            </w:tcBorders>
            <w:shd w:val="clear" w:color="auto" w:fill="auto"/>
            <w:noWrap/>
            <w:vAlign w:val="center"/>
            <w:hideMark/>
          </w:tcPr>
          <w:p w14:paraId="2B64C521" w14:textId="3139117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104.62</w:t>
            </w:r>
          </w:p>
        </w:tc>
        <w:tc>
          <w:tcPr>
            <w:tcW w:w="851" w:type="dxa"/>
            <w:tcBorders>
              <w:top w:val="nil"/>
              <w:left w:val="nil"/>
              <w:bottom w:val="nil"/>
              <w:right w:val="single" w:sz="4" w:space="0" w:color="auto"/>
            </w:tcBorders>
            <w:shd w:val="clear" w:color="000000" w:fill="F2F2F2"/>
            <w:noWrap/>
            <w:vAlign w:val="center"/>
            <w:hideMark/>
          </w:tcPr>
          <w:p w14:paraId="53EB405B" w14:textId="0A4E0F2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814" w:type="dxa"/>
            <w:tcBorders>
              <w:top w:val="nil"/>
              <w:left w:val="nil"/>
              <w:bottom w:val="nil"/>
              <w:right w:val="nil"/>
            </w:tcBorders>
            <w:shd w:val="clear" w:color="auto" w:fill="auto"/>
            <w:noWrap/>
            <w:vAlign w:val="center"/>
            <w:hideMark/>
          </w:tcPr>
          <w:p w14:paraId="0310B3D6" w14:textId="7BE3368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96.75</w:t>
            </w:r>
          </w:p>
        </w:tc>
        <w:tc>
          <w:tcPr>
            <w:tcW w:w="794" w:type="dxa"/>
            <w:tcBorders>
              <w:top w:val="nil"/>
              <w:left w:val="nil"/>
              <w:bottom w:val="nil"/>
              <w:right w:val="single" w:sz="4" w:space="0" w:color="auto"/>
            </w:tcBorders>
            <w:shd w:val="clear" w:color="000000" w:fill="F2F2F2"/>
            <w:noWrap/>
            <w:vAlign w:val="center"/>
            <w:hideMark/>
          </w:tcPr>
          <w:p w14:paraId="32CFC4E0" w14:textId="52AA2D0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94" w:type="dxa"/>
            <w:tcBorders>
              <w:top w:val="nil"/>
              <w:left w:val="nil"/>
              <w:bottom w:val="nil"/>
              <w:right w:val="nil"/>
            </w:tcBorders>
            <w:shd w:val="clear" w:color="auto" w:fill="auto"/>
            <w:noWrap/>
            <w:vAlign w:val="center"/>
            <w:hideMark/>
          </w:tcPr>
          <w:p w14:paraId="67C09EB1" w14:textId="7A67944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90.27</w:t>
            </w:r>
          </w:p>
        </w:tc>
        <w:tc>
          <w:tcPr>
            <w:tcW w:w="794" w:type="dxa"/>
            <w:tcBorders>
              <w:top w:val="nil"/>
              <w:left w:val="nil"/>
              <w:bottom w:val="nil"/>
              <w:right w:val="single" w:sz="4" w:space="0" w:color="auto"/>
            </w:tcBorders>
            <w:shd w:val="clear" w:color="000000" w:fill="F2F2F2"/>
            <w:noWrap/>
            <w:vAlign w:val="center"/>
            <w:hideMark/>
          </w:tcPr>
          <w:p w14:paraId="6394CA8F" w14:textId="703A055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73" w:type="dxa"/>
            <w:tcBorders>
              <w:top w:val="nil"/>
              <w:left w:val="nil"/>
              <w:bottom w:val="nil"/>
              <w:right w:val="nil"/>
            </w:tcBorders>
            <w:shd w:val="clear" w:color="auto" w:fill="auto"/>
            <w:noWrap/>
            <w:vAlign w:val="center"/>
            <w:hideMark/>
          </w:tcPr>
          <w:p w14:paraId="5E2BBD1E" w14:textId="13B11D0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101.12</w:t>
            </w:r>
          </w:p>
        </w:tc>
        <w:tc>
          <w:tcPr>
            <w:tcW w:w="815" w:type="dxa"/>
            <w:tcBorders>
              <w:top w:val="nil"/>
              <w:left w:val="nil"/>
              <w:bottom w:val="nil"/>
              <w:right w:val="single" w:sz="4" w:space="0" w:color="auto"/>
            </w:tcBorders>
            <w:shd w:val="clear" w:color="000000" w:fill="F2F2F2"/>
            <w:noWrap/>
            <w:vAlign w:val="center"/>
            <w:hideMark/>
          </w:tcPr>
          <w:p w14:paraId="4F031AB0" w14:textId="045BF54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0.37</w:t>
            </w:r>
          </w:p>
        </w:tc>
        <w:tc>
          <w:tcPr>
            <w:tcW w:w="794" w:type="dxa"/>
            <w:tcBorders>
              <w:top w:val="nil"/>
              <w:left w:val="nil"/>
              <w:bottom w:val="nil"/>
              <w:right w:val="nil"/>
            </w:tcBorders>
            <w:shd w:val="clear" w:color="auto" w:fill="auto"/>
            <w:noWrap/>
            <w:vAlign w:val="center"/>
            <w:hideMark/>
          </w:tcPr>
          <w:p w14:paraId="4523B644" w14:textId="62A1678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119.84</w:t>
            </w:r>
          </w:p>
        </w:tc>
        <w:tc>
          <w:tcPr>
            <w:tcW w:w="797" w:type="dxa"/>
            <w:tcBorders>
              <w:top w:val="nil"/>
              <w:left w:val="nil"/>
              <w:bottom w:val="nil"/>
              <w:right w:val="single" w:sz="4" w:space="0" w:color="auto"/>
            </w:tcBorders>
            <w:shd w:val="clear" w:color="000000" w:fill="F2F2F2"/>
            <w:noWrap/>
            <w:vAlign w:val="center"/>
            <w:hideMark/>
          </w:tcPr>
          <w:p w14:paraId="061430DD" w14:textId="037A183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794" w:type="dxa"/>
            <w:tcBorders>
              <w:top w:val="nil"/>
              <w:left w:val="nil"/>
              <w:bottom w:val="nil"/>
              <w:right w:val="nil"/>
            </w:tcBorders>
            <w:shd w:val="clear" w:color="auto" w:fill="auto"/>
            <w:noWrap/>
            <w:vAlign w:val="center"/>
            <w:hideMark/>
          </w:tcPr>
          <w:p w14:paraId="4FA33FD0" w14:textId="31D5899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106.35</w:t>
            </w:r>
          </w:p>
        </w:tc>
        <w:tc>
          <w:tcPr>
            <w:tcW w:w="794" w:type="dxa"/>
            <w:tcBorders>
              <w:top w:val="nil"/>
              <w:left w:val="nil"/>
              <w:bottom w:val="nil"/>
              <w:right w:val="single" w:sz="4" w:space="0" w:color="auto"/>
            </w:tcBorders>
            <w:shd w:val="clear" w:color="000000" w:fill="F2F2F2"/>
            <w:noWrap/>
            <w:vAlign w:val="center"/>
            <w:hideMark/>
          </w:tcPr>
          <w:p w14:paraId="44D3EAE0" w14:textId="64CA687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nil"/>
              <w:left w:val="nil"/>
              <w:bottom w:val="nil"/>
              <w:right w:val="nil"/>
            </w:tcBorders>
            <w:shd w:val="clear" w:color="auto" w:fill="auto"/>
            <w:noWrap/>
            <w:vAlign w:val="center"/>
            <w:hideMark/>
          </w:tcPr>
          <w:p w14:paraId="10E664D3" w14:textId="13AAA1A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126.65</w:t>
            </w:r>
          </w:p>
        </w:tc>
        <w:tc>
          <w:tcPr>
            <w:tcW w:w="851" w:type="dxa"/>
            <w:tcBorders>
              <w:top w:val="nil"/>
              <w:left w:val="nil"/>
              <w:bottom w:val="nil"/>
              <w:right w:val="single" w:sz="4" w:space="0" w:color="auto"/>
            </w:tcBorders>
            <w:shd w:val="clear" w:color="000000" w:fill="F2F2F2"/>
            <w:noWrap/>
            <w:vAlign w:val="center"/>
            <w:hideMark/>
          </w:tcPr>
          <w:p w14:paraId="71B6B722" w14:textId="43F1F78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850" w:type="dxa"/>
            <w:tcBorders>
              <w:top w:val="nil"/>
              <w:left w:val="nil"/>
              <w:bottom w:val="nil"/>
              <w:right w:val="nil"/>
            </w:tcBorders>
            <w:shd w:val="clear" w:color="auto" w:fill="auto"/>
            <w:noWrap/>
            <w:vAlign w:val="center"/>
            <w:hideMark/>
          </w:tcPr>
          <w:p w14:paraId="099C944F" w14:textId="34A668C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126.11</w:t>
            </w:r>
          </w:p>
        </w:tc>
        <w:tc>
          <w:tcPr>
            <w:tcW w:w="709" w:type="dxa"/>
            <w:tcBorders>
              <w:top w:val="nil"/>
              <w:left w:val="nil"/>
              <w:bottom w:val="nil"/>
              <w:right w:val="single" w:sz="4" w:space="0" w:color="auto"/>
            </w:tcBorders>
            <w:shd w:val="clear" w:color="000000" w:fill="F2F2F2"/>
            <w:noWrap/>
            <w:vAlign w:val="center"/>
            <w:hideMark/>
          </w:tcPr>
          <w:p w14:paraId="56F23F0A" w14:textId="3DFF5E9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745" w:type="dxa"/>
            <w:tcBorders>
              <w:top w:val="nil"/>
              <w:left w:val="nil"/>
              <w:bottom w:val="nil"/>
              <w:right w:val="nil"/>
            </w:tcBorders>
            <w:shd w:val="clear" w:color="auto" w:fill="auto"/>
            <w:noWrap/>
            <w:vAlign w:val="center"/>
            <w:hideMark/>
          </w:tcPr>
          <w:p w14:paraId="26694025" w14:textId="16B0F47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135.28</w:t>
            </w:r>
          </w:p>
        </w:tc>
        <w:tc>
          <w:tcPr>
            <w:tcW w:w="794" w:type="dxa"/>
            <w:tcBorders>
              <w:top w:val="nil"/>
              <w:left w:val="nil"/>
              <w:bottom w:val="nil"/>
              <w:right w:val="single" w:sz="4" w:space="0" w:color="auto"/>
            </w:tcBorders>
            <w:shd w:val="clear" w:color="000000" w:fill="F2F2F2"/>
            <w:noWrap/>
            <w:vAlign w:val="center"/>
            <w:hideMark/>
          </w:tcPr>
          <w:p w14:paraId="2ECE994B" w14:textId="5752F0C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r>
      <w:tr w:rsidR="00AF355D" w:rsidRPr="000B615A" w14:paraId="7BA6B06F"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72D04BE5"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Transaction accounts</w:t>
            </w:r>
          </w:p>
        </w:tc>
        <w:tc>
          <w:tcPr>
            <w:tcW w:w="850" w:type="dxa"/>
            <w:tcBorders>
              <w:top w:val="nil"/>
              <w:left w:val="nil"/>
              <w:bottom w:val="nil"/>
              <w:right w:val="nil"/>
            </w:tcBorders>
            <w:shd w:val="clear" w:color="auto" w:fill="auto"/>
            <w:noWrap/>
            <w:vAlign w:val="center"/>
            <w:hideMark/>
          </w:tcPr>
          <w:p w14:paraId="3BFC9590" w14:textId="24081F7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105.04</w:t>
            </w:r>
          </w:p>
        </w:tc>
        <w:tc>
          <w:tcPr>
            <w:tcW w:w="851" w:type="dxa"/>
            <w:tcBorders>
              <w:top w:val="nil"/>
              <w:left w:val="nil"/>
              <w:bottom w:val="nil"/>
              <w:right w:val="single" w:sz="4" w:space="0" w:color="auto"/>
            </w:tcBorders>
            <w:shd w:val="clear" w:color="000000" w:fill="F2F2F2"/>
            <w:noWrap/>
            <w:vAlign w:val="center"/>
            <w:hideMark/>
          </w:tcPr>
          <w:p w14:paraId="64029B70" w14:textId="0477251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814" w:type="dxa"/>
            <w:tcBorders>
              <w:top w:val="nil"/>
              <w:left w:val="nil"/>
              <w:bottom w:val="nil"/>
              <w:right w:val="nil"/>
            </w:tcBorders>
            <w:shd w:val="clear" w:color="auto" w:fill="auto"/>
            <w:noWrap/>
            <w:vAlign w:val="center"/>
            <w:hideMark/>
          </w:tcPr>
          <w:p w14:paraId="531207A1" w14:textId="7297459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97.14</w:t>
            </w:r>
          </w:p>
        </w:tc>
        <w:tc>
          <w:tcPr>
            <w:tcW w:w="794" w:type="dxa"/>
            <w:tcBorders>
              <w:top w:val="nil"/>
              <w:left w:val="nil"/>
              <w:bottom w:val="nil"/>
              <w:right w:val="single" w:sz="4" w:space="0" w:color="auto"/>
            </w:tcBorders>
            <w:shd w:val="clear" w:color="000000" w:fill="F2F2F2"/>
            <w:noWrap/>
            <w:vAlign w:val="center"/>
            <w:hideMark/>
          </w:tcPr>
          <w:p w14:paraId="75BB9390" w14:textId="0D700DF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794" w:type="dxa"/>
            <w:tcBorders>
              <w:top w:val="nil"/>
              <w:left w:val="nil"/>
              <w:bottom w:val="nil"/>
              <w:right w:val="nil"/>
            </w:tcBorders>
            <w:shd w:val="clear" w:color="auto" w:fill="auto"/>
            <w:noWrap/>
            <w:vAlign w:val="center"/>
            <w:hideMark/>
          </w:tcPr>
          <w:p w14:paraId="3818E09E" w14:textId="428BBD23"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90.74</w:t>
            </w:r>
          </w:p>
        </w:tc>
        <w:tc>
          <w:tcPr>
            <w:tcW w:w="794" w:type="dxa"/>
            <w:tcBorders>
              <w:top w:val="nil"/>
              <w:left w:val="nil"/>
              <w:bottom w:val="nil"/>
              <w:right w:val="single" w:sz="4" w:space="0" w:color="auto"/>
            </w:tcBorders>
            <w:shd w:val="clear" w:color="000000" w:fill="F2F2F2"/>
            <w:noWrap/>
            <w:vAlign w:val="center"/>
            <w:hideMark/>
          </w:tcPr>
          <w:p w14:paraId="2D6DD70E" w14:textId="0AD0756E"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0.38</w:t>
            </w:r>
          </w:p>
        </w:tc>
        <w:tc>
          <w:tcPr>
            <w:tcW w:w="773" w:type="dxa"/>
            <w:tcBorders>
              <w:top w:val="nil"/>
              <w:left w:val="nil"/>
              <w:bottom w:val="nil"/>
              <w:right w:val="nil"/>
            </w:tcBorders>
            <w:shd w:val="clear" w:color="auto" w:fill="auto"/>
            <w:noWrap/>
            <w:vAlign w:val="center"/>
            <w:hideMark/>
          </w:tcPr>
          <w:p w14:paraId="69DFFCC4" w14:textId="78097281"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102.02</w:t>
            </w:r>
          </w:p>
        </w:tc>
        <w:tc>
          <w:tcPr>
            <w:tcW w:w="815" w:type="dxa"/>
            <w:tcBorders>
              <w:top w:val="nil"/>
              <w:left w:val="nil"/>
              <w:bottom w:val="nil"/>
              <w:right w:val="single" w:sz="4" w:space="0" w:color="auto"/>
            </w:tcBorders>
            <w:shd w:val="clear" w:color="000000" w:fill="F2F2F2"/>
            <w:noWrap/>
            <w:vAlign w:val="center"/>
            <w:hideMark/>
          </w:tcPr>
          <w:p w14:paraId="50F0CC62" w14:textId="079C50F6"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0.35</w:t>
            </w:r>
          </w:p>
        </w:tc>
        <w:tc>
          <w:tcPr>
            <w:tcW w:w="794" w:type="dxa"/>
            <w:tcBorders>
              <w:top w:val="nil"/>
              <w:left w:val="nil"/>
              <w:bottom w:val="nil"/>
              <w:right w:val="nil"/>
            </w:tcBorders>
            <w:shd w:val="clear" w:color="auto" w:fill="auto"/>
            <w:noWrap/>
            <w:vAlign w:val="center"/>
            <w:hideMark/>
          </w:tcPr>
          <w:p w14:paraId="40DDBBFF" w14:textId="6B2ACFA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121.10</w:t>
            </w:r>
          </w:p>
        </w:tc>
        <w:tc>
          <w:tcPr>
            <w:tcW w:w="797" w:type="dxa"/>
            <w:tcBorders>
              <w:top w:val="nil"/>
              <w:left w:val="nil"/>
              <w:bottom w:val="nil"/>
              <w:right w:val="single" w:sz="4" w:space="0" w:color="auto"/>
            </w:tcBorders>
            <w:shd w:val="clear" w:color="000000" w:fill="F2F2F2"/>
            <w:noWrap/>
            <w:vAlign w:val="center"/>
            <w:hideMark/>
          </w:tcPr>
          <w:p w14:paraId="1581EACC" w14:textId="6FF5C2B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0.31</w:t>
            </w:r>
          </w:p>
        </w:tc>
        <w:tc>
          <w:tcPr>
            <w:tcW w:w="794" w:type="dxa"/>
            <w:tcBorders>
              <w:top w:val="nil"/>
              <w:left w:val="nil"/>
              <w:bottom w:val="nil"/>
              <w:right w:val="nil"/>
            </w:tcBorders>
            <w:shd w:val="clear" w:color="auto" w:fill="auto"/>
            <w:noWrap/>
            <w:vAlign w:val="center"/>
            <w:hideMark/>
          </w:tcPr>
          <w:p w14:paraId="341960B0" w14:textId="06F516A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107.00</w:t>
            </w:r>
          </w:p>
        </w:tc>
        <w:tc>
          <w:tcPr>
            <w:tcW w:w="794" w:type="dxa"/>
            <w:tcBorders>
              <w:top w:val="nil"/>
              <w:left w:val="nil"/>
              <w:bottom w:val="nil"/>
              <w:right w:val="single" w:sz="4" w:space="0" w:color="auto"/>
            </w:tcBorders>
            <w:shd w:val="clear" w:color="000000" w:fill="F2F2F2"/>
            <w:noWrap/>
            <w:vAlign w:val="center"/>
            <w:hideMark/>
          </w:tcPr>
          <w:p w14:paraId="4C9F0BD7" w14:textId="566D669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0.37</w:t>
            </w:r>
          </w:p>
        </w:tc>
        <w:tc>
          <w:tcPr>
            <w:tcW w:w="825" w:type="dxa"/>
            <w:tcBorders>
              <w:top w:val="nil"/>
              <w:left w:val="nil"/>
              <w:bottom w:val="nil"/>
              <w:right w:val="nil"/>
            </w:tcBorders>
            <w:shd w:val="clear" w:color="auto" w:fill="auto"/>
            <w:noWrap/>
            <w:vAlign w:val="center"/>
            <w:hideMark/>
          </w:tcPr>
          <w:p w14:paraId="0C961106" w14:textId="0B6A483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127.59</w:t>
            </w:r>
          </w:p>
        </w:tc>
        <w:tc>
          <w:tcPr>
            <w:tcW w:w="851" w:type="dxa"/>
            <w:tcBorders>
              <w:top w:val="nil"/>
              <w:left w:val="nil"/>
              <w:bottom w:val="nil"/>
              <w:right w:val="single" w:sz="4" w:space="0" w:color="auto"/>
            </w:tcBorders>
            <w:shd w:val="clear" w:color="000000" w:fill="F2F2F2"/>
            <w:noWrap/>
            <w:vAlign w:val="center"/>
            <w:hideMark/>
          </w:tcPr>
          <w:p w14:paraId="7417C574" w14:textId="328D958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850" w:type="dxa"/>
            <w:tcBorders>
              <w:top w:val="nil"/>
              <w:left w:val="nil"/>
              <w:bottom w:val="nil"/>
              <w:right w:val="nil"/>
            </w:tcBorders>
            <w:shd w:val="clear" w:color="auto" w:fill="auto"/>
            <w:noWrap/>
            <w:vAlign w:val="center"/>
            <w:hideMark/>
          </w:tcPr>
          <w:p w14:paraId="4EFEEEC6" w14:textId="2CC9C8F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127.43</w:t>
            </w:r>
          </w:p>
        </w:tc>
        <w:tc>
          <w:tcPr>
            <w:tcW w:w="709" w:type="dxa"/>
            <w:tcBorders>
              <w:top w:val="nil"/>
              <w:left w:val="nil"/>
              <w:bottom w:val="nil"/>
              <w:right w:val="single" w:sz="4" w:space="0" w:color="auto"/>
            </w:tcBorders>
            <w:shd w:val="clear" w:color="000000" w:fill="F2F2F2"/>
            <w:noWrap/>
            <w:vAlign w:val="center"/>
            <w:hideMark/>
          </w:tcPr>
          <w:p w14:paraId="251AF0AE" w14:textId="27E883C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745" w:type="dxa"/>
            <w:tcBorders>
              <w:top w:val="nil"/>
              <w:left w:val="nil"/>
              <w:bottom w:val="nil"/>
              <w:right w:val="nil"/>
            </w:tcBorders>
            <w:shd w:val="clear" w:color="auto" w:fill="auto"/>
            <w:noWrap/>
            <w:vAlign w:val="center"/>
            <w:hideMark/>
          </w:tcPr>
          <w:p w14:paraId="15901962" w14:textId="088E95F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136.49</w:t>
            </w:r>
          </w:p>
        </w:tc>
        <w:tc>
          <w:tcPr>
            <w:tcW w:w="794" w:type="dxa"/>
            <w:tcBorders>
              <w:top w:val="nil"/>
              <w:left w:val="nil"/>
              <w:bottom w:val="nil"/>
              <w:right w:val="single" w:sz="4" w:space="0" w:color="auto"/>
            </w:tcBorders>
            <w:shd w:val="clear" w:color="000000" w:fill="F2F2F2"/>
            <w:noWrap/>
            <w:vAlign w:val="center"/>
            <w:hideMark/>
          </w:tcPr>
          <w:p w14:paraId="542A73BB" w14:textId="17C05A6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r>
      <w:tr w:rsidR="00AF355D" w:rsidRPr="000B615A" w14:paraId="00E39A49" w14:textId="77777777" w:rsidTr="00AF355D">
        <w:trPr>
          <w:trHeight w:val="227"/>
        </w:trPr>
        <w:tc>
          <w:tcPr>
            <w:tcW w:w="1555" w:type="dxa"/>
            <w:tcBorders>
              <w:top w:val="nil"/>
              <w:left w:val="single" w:sz="4" w:space="0" w:color="auto"/>
              <w:right w:val="single" w:sz="4" w:space="0" w:color="auto"/>
            </w:tcBorders>
            <w:shd w:val="clear" w:color="auto" w:fill="auto"/>
            <w:noWrap/>
            <w:vAlign w:val="bottom"/>
            <w:hideMark/>
          </w:tcPr>
          <w:p w14:paraId="44CB9AEB"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Retirement and insurance assets</w:t>
            </w:r>
          </w:p>
        </w:tc>
        <w:tc>
          <w:tcPr>
            <w:tcW w:w="850" w:type="dxa"/>
            <w:tcBorders>
              <w:top w:val="nil"/>
              <w:left w:val="nil"/>
              <w:right w:val="nil"/>
            </w:tcBorders>
            <w:shd w:val="clear" w:color="auto" w:fill="auto"/>
            <w:noWrap/>
            <w:vAlign w:val="center"/>
            <w:hideMark/>
          </w:tcPr>
          <w:p w14:paraId="5203084E" w14:textId="09D0BCA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105.01</w:t>
            </w:r>
          </w:p>
        </w:tc>
        <w:tc>
          <w:tcPr>
            <w:tcW w:w="851" w:type="dxa"/>
            <w:tcBorders>
              <w:top w:val="nil"/>
              <w:left w:val="nil"/>
              <w:right w:val="single" w:sz="4" w:space="0" w:color="auto"/>
            </w:tcBorders>
            <w:shd w:val="clear" w:color="000000" w:fill="F2F2F2"/>
            <w:noWrap/>
            <w:vAlign w:val="center"/>
            <w:hideMark/>
          </w:tcPr>
          <w:p w14:paraId="5962777E" w14:textId="1565BFA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814" w:type="dxa"/>
            <w:tcBorders>
              <w:top w:val="nil"/>
              <w:left w:val="nil"/>
              <w:right w:val="nil"/>
            </w:tcBorders>
            <w:shd w:val="clear" w:color="auto" w:fill="auto"/>
            <w:noWrap/>
            <w:vAlign w:val="center"/>
            <w:hideMark/>
          </w:tcPr>
          <w:p w14:paraId="318F10D7" w14:textId="02BDE74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96.86</w:t>
            </w:r>
          </w:p>
        </w:tc>
        <w:tc>
          <w:tcPr>
            <w:tcW w:w="794" w:type="dxa"/>
            <w:tcBorders>
              <w:top w:val="nil"/>
              <w:left w:val="nil"/>
              <w:right w:val="single" w:sz="4" w:space="0" w:color="auto"/>
            </w:tcBorders>
            <w:shd w:val="clear" w:color="000000" w:fill="F2F2F2"/>
            <w:noWrap/>
            <w:vAlign w:val="center"/>
            <w:hideMark/>
          </w:tcPr>
          <w:p w14:paraId="5885C971" w14:textId="0A9FF7E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794" w:type="dxa"/>
            <w:tcBorders>
              <w:top w:val="nil"/>
              <w:left w:val="nil"/>
              <w:right w:val="nil"/>
            </w:tcBorders>
            <w:shd w:val="clear" w:color="auto" w:fill="auto"/>
            <w:noWrap/>
            <w:vAlign w:val="center"/>
            <w:hideMark/>
          </w:tcPr>
          <w:p w14:paraId="1F8DDCE1" w14:textId="10D7991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90.53</w:t>
            </w:r>
          </w:p>
        </w:tc>
        <w:tc>
          <w:tcPr>
            <w:tcW w:w="794" w:type="dxa"/>
            <w:tcBorders>
              <w:top w:val="nil"/>
              <w:left w:val="nil"/>
              <w:right w:val="single" w:sz="4" w:space="0" w:color="auto"/>
            </w:tcBorders>
            <w:shd w:val="clear" w:color="000000" w:fill="F2F2F2"/>
            <w:noWrap/>
            <w:vAlign w:val="center"/>
            <w:hideMark/>
          </w:tcPr>
          <w:p w14:paraId="205F5BA3" w14:textId="6165735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73" w:type="dxa"/>
            <w:tcBorders>
              <w:top w:val="nil"/>
              <w:left w:val="nil"/>
              <w:right w:val="nil"/>
            </w:tcBorders>
            <w:shd w:val="clear" w:color="auto" w:fill="auto"/>
            <w:noWrap/>
            <w:vAlign w:val="center"/>
            <w:hideMark/>
          </w:tcPr>
          <w:p w14:paraId="054B4307" w14:textId="5757F31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101.67</w:t>
            </w:r>
          </w:p>
        </w:tc>
        <w:tc>
          <w:tcPr>
            <w:tcW w:w="815" w:type="dxa"/>
            <w:tcBorders>
              <w:top w:val="nil"/>
              <w:left w:val="nil"/>
              <w:right w:val="single" w:sz="4" w:space="0" w:color="auto"/>
            </w:tcBorders>
            <w:shd w:val="clear" w:color="000000" w:fill="F2F2F2"/>
            <w:noWrap/>
            <w:vAlign w:val="center"/>
            <w:hideMark/>
          </w:tcPr>
          <w:p w14:paraId="3357099C" w14:textId="0C0CB84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c>
          <w:tcPr>
            <w:tcW w:w="794" w:type="dxa"/>
            <w:tcBorders>
              <w:top w:val="nil"/>
              <w:left w:val="nil"/>
              <w:right w:val="nil"/>
            </w:tcBorders>
            <w:shd w:val="clear" w:color="auto" w:fill="auto"/>
            <w:noWrap/>
            <w:vAlign w:val="center"/>
            <w:hideMark/>
          </w:tcPr>
          <w:p w14:paraId="2D1863A4" w14:textId="1A19F16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120.99</w:t>
            </w:r>
          </w:p>
        </w:tc>
        <w:tc>
          <w:tcPr>
            <w:tcW w:w="797" w:type="dxa"/>
            <w:tcBorders>
              <w:top w:val="nil"/>
              <w:left w:val="nil"/>
              <w:right w:val="single" w:sz="4" w:space="0" w:color="auto"/>
            </w:tcBorders>
            <w:shd w:val="clear" w:color="000000" w:fill="F2F2F2"/>
            <w:noWrap/>
            <w:vAlign w:val="center"/>
            <w:hideMark/>
          </w:tcPr>
          <w:p w14:paraId="1BB34660" w14:textId="2FB1AAF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0.31</w:t>
            </w:r>
          </w:p>
        </w:tc>
        <w:tc>
          <w:tcPr>
            <w:tcW w:w="794" w:type="dxa"/>
            <w:tcBorders>
              <w:top w:val="nil"/>
              <w:left w:val="nil"/>
              <w:right w:val="nil"/>
            </w:tcBorders>
            <w:shd w:val="clear" w:color="auto" w:fill="auto"/>
            <w:noWrap/>
            <w:vAlign w:val="center"/>
            <w:hideMark/>
          </w:tcPr>
          <w:p w14:paraId="479F8267" w14:textId="7CCB778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106.32</w:t>
            </w:r>
          </w:p>
        </w:tc>
        <w:tc>
          <w:tcPr>
            <w:tcW w:w="794" w:type="dxa"/>
            <w:tcBorders>
              <w:top w:val="nil"/>
              <w:left w:val="nil"/>
              <w:right w:val="single" w:sz="4" w:space="0" w:color="auto"/>
            </w:tcBorders>
            <w:shd w:val="clear" w:color="000000" w:fill="F2F2F2"/>
            <w:noWrap/>
            <w:vAlign w:val="center"/>
            <w:hideMark/>
          </w:tcPr>
          <w:p w14:paraId="4D5A85BB" w14:textId="6879451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nil"/>
              <w:left w:val="nil"/>
              <w:right w:val="nil"/>
            </w:tcBorders>
            <w:shd w:val="clear" w:color="auto" w:fill="auto"/>
            <w:noWrap/>
            <w:vAlign w:val="center"/>
            <w:hideMark/>
          </w:tcPr>
          <w:p w14:paraId="24C92862" w14:textId="495AFC4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127.34</w:t>
            </w:r>
          </w:p>
        </w:tc>
        <w:tc>
          <w:tcPr>
            <w:tcW w:w="851" w:type="dxa"/>
            <w:tcBorders>
              <w:top w:val="nil"/>
              <w:left w:val="nil"/>
              <w:right w:val="single" w:sz="4" w:space="0" w:color="auto"/>
            </w:tcBorders>
            <w:shd w:val="clear" w:color="000000" w:fill="F2F2F2"/>
            <w:noWrap/>
            <w:vAlign w:val="center"/>
            <w:hideMark/>
          </w:tcPr>
          <w:p w14:paraId="541EFC16" w14:textId="3B74927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850" w:type="dxa"/>
            <w:tcBorders>
              <w:top w:val="nil"/>
              <w:left w:val="nil"/>
              <w:right w:val="nil"/>
            </w:tcBorders>
            <w:shd w:val="clear" w:color="auto" w:fill="auto"/>
            <w:noWrap/>
            <w:vAlign w:val="center"/>
            <w:hideMark/>
          </w:tcPr>
          <w:p w14:paraId="43B9B295" w14:textId="253F4F4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126.87</w:t>
            </w:r>
          </w:p>
        </w:tc>
        <w:tc>
          <w:tcPr>
            <w:tcW w:w="709" w:type="dxa"/>
            <w:tcBorders>
              <w:top w:val="nil"/>
              <w:left w:val="nil"/>
              <w:right w:val="single" w:sz="4" w:space="0" w:color="auto"/>
            </w:tcBorders>
            <w:shd w:val="clear" w:color="000000" w:fill="F2F2F2"/>
            <w:noWrap/>
            <w:vAlign w:val="center"/>
            <w:hideMark/>
          </w:tcPr>
          <w:p w14:paraId="4604C8C2" w14:textId="6821F6D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745" w:type="dxa"/>
            <w:tcBorders>
              <w:top w:val="nil"/>
              <w:left w:val="nil"/>
              <w:right w:val="nil"/>
            </w:tcBorders>
            <w:shd w:val="clear" w:color="auto" w:fill="auto"/>
            <w:noWrap/>
            <w:vAlign w:val="center"/>
            <w:hideMark/>
          </w:tcPr>
          <w:p w14:paraId="40969105" w14:textId="7A4FE18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135.90</w:t>
            </w:r>
          </w:p>
        </w:tc>
        <w:tc>
          <w:tcPr>
            <w:tcW w:w="794" w:type="dxa"/>
            <w:tcBorders>
              <w:top w:val="nil"/>
              <w:left w:val="nil"/>
              <w:right w:val="single" w:sz="4" w:space="0" w:color="auto"/>
            </w:tcBorders>
            <w:shd w:val="clear" w:color="000000" w:fill="F2F2F2"/>
            <w:noWrap/>
            <w:vAlign w:val="center"/>
            <w:hideMark/>
          </w:tcPr>
          <w:p w14:paraId="6B463EC9" w14:textId="37F5797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r>
      <w:tr w:rsidR="000B615A" w:rsidRPr="000B615A" w14:paraId="234F2F58" w14:textId="77777777" w:rsidTr="00AF355D">
        <w:trPr>
          <w:trHeight w:val="2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6A2A056" w14:textId="77777777" w:rsidR="000B615A" w:rsidRPr="000B615A" w:rsidRDefault="000B615A" w:rsidP="000B615A">
            <w:pPr>
              <w:spacing w:after="0" w:line="240" w:lineRule="auto"/>
              <w:ind w:firstLine="0"/>
              <w:jc w:val="righ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N</w:t>
            </w:r>
          </w:p>
        </w:tc>
        <w:tc>
          <w:tcPr>
            <w:tcW w:w="1701" w:type="dxa"/>
            <w:gridSpan w:val="2"/>
            <w:tcBorders>
              <w:top w:val="nil"/>
              <w:left w:val="nil"/>
              <w:bottom w:val="single" w:sz="4" w:space="0" w:color="auto"/>
              <w:right w:val="nil"/>
            </w:tcBorders>
            <w:shd w:val="clear" w:color="auto" w:fill="auto"/>
            <w:noWrap/>
            <w:vAlign w:val="center"/>
            <w:hideMark/>
          </w:tcPr>
          <w:p w14:paraId="6185A3C6"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13,050</w:t>
            </w:r>
          </w:p>
          <w:p w14:paraId="17EDD777" w14:textId="55D5016F" w:rsidR="000B615A" w:rsidRPr="00AF355D" w:rsidRDefault="000B615A" w:rsidP="00AF355D">
            <w:pPr>
              <w:spacing w:after="0" w:line="240" w:lineRule="auto"/>
              <w:ind w:firstLine="0"/>
              <w:jc w:val="center"/>
              <w:rPr>
                <w:rFonts w:eastAsia="Calibri" w:cs="Times New Roman"/>
                <w:color w:val="000000"/>
                <w:sz w:val="19"/>
                <w:szCs w:val="19"/>
              </w:rPr>
            </w:pPr>
          </w:p>
        </w:tc>
        <w:tc>
          <w:tcPr>
            <w:tcW w:w="1608" w:type="dxa"/>
            <w:gridSpan w:val="2"/>
            <w:tcBorders>
              <w:top w:val="nil"/>
              <w:left w:val="single" w:sz="4" w:space="0" w:color="auto"/>
              <w:bottom w:val="single" w:sz="4" w:space="0" w:color="auto"/>
              <w:right w:val="nil"/>
            </w:tcBorders>
            <w:shd w:val="clear" w:color="auto" w:fill="auto"/>
            <w:noWrap/>
            <w:vAlign w:val="center"/>
            <w:hideMark/>
          </w:tcPr>
          <w:p w14:paraId="73242132"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15,732</w:t>
            </w:r>
          </w:p>
          <w:p w14:paraId="1A6FB578" w14:textId="0344D4DF" w:rsidR="000B615A" w:rsidRPr="00AF355D" w:rsidRDefault="000B615A" w:rsidP="00AF355D">
            <w:pPr>
              <w:spacing w:after="0" w:line="240" w:lineRule="auto"/>
              <w:ind w:firstLine="0"/>
              <w:jc w:val="center"/>
              <w:rPr>
                <w:rFonts w:eastAsia="Calibri" w:cs="Times New Roman"/>
                <w:color w:val="000000"/>
                <w:sz w:val="19"/>
                <w:szCs w:val="19"/>
              </w:rPr>
            </w:pPr>
          </w:p>
        </w:tc>
        <w:tc>
          <w:tcPr>
            <w:tcW w:w="15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B81461"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17,738</w:t>
            </w:r>
          </w:p>
          <w:p w14:paraId="4A9169C6" w14:textId="6996FA3D" w:rsidR="000B615A" w:rsidRPr="00AF355D" w:rsidRDefault="000B615A" w:rsidP="00AF355D">
            <w:pPr>
              <w:spacing w:after="0" w:line="240" w:lineRule="auto"/>
              <w:ind w:firstLine="0"/>
              <w:jc w:val="center"/>
              <w:rPr>
                <w:rFonts w:eastAsia="Calibri" w:cs="Times New Roman"/>
                <w:color w:val="000000"/>
                <w:sz w:val="19"/>
                <w:szCs w:val="19"/>
              </w:rPr>
            </w:pPr>
          </w:p>
        </w:tc>
        <w:tc>
          <w:tcPr>
            <w:tcW w:w="1588" w:type="dxa"/>
            <w:gridSpan w:val="2"/>
            <w:tcBorders>
              <w:top w:val="nil"/>
              <w:left w:val="nil"/>
              <w:bottom w:val="single" w:sz="4" w:space="0" w:color="auto"/>
              <w:right w:val="single" w:sz="4" w:space="0" w:color="auto"/>
            </w:tcBorders>
            <w:shd w:val="clear" w:color="auto" w:fill="auto"/>
            <w:noWrap/>
            <w:vAlign w:val="center"/>
            <w:hideMark/>
          </w:tcPr>
          <w:p w14:paraId="15C420DD"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18,082</w:t>
            </w:r>
          </w:p>
          <w:p w14:paraId="4793BF13" w14:textId="24F8F561" w:rsidR="000B615A" w:rsidRPr="00AF355D" w:rsidRDefault="000B615A" w:rsidP="00AF355D">
            <w:pPr>
              <w:spacing w:after="0" w:line="240" w:lineRule="auto"/>
              <w:ind w:firstLine="0"/>
              <w:jc w:val="center"/>
              <w:rPr>
                <w:rFonts w:eastAsia="Calibri" w:cs="Times New Roman"/>
                <w:color w:val="000000"/>
                <w:sz w:val="19"/>
                <w:szCs w:val="19"/>
              </w:rPr>
            </w:pPr>
          </w:p>
        </w:tc>
        <w:tc>
          <w:tcPr>
            <w:tcW w:w="1591" w:type="dxa"/>
            <w:gridSpan w:val="2"/>
            <w:tcBorders>
              <w:top w:val="nil"/>
              <w:left w:val="nil"/>
              <w:bottom w:val="single" w:sz="4" w:space="0" w:color="auto"/>
              <w:right w:val="single" w:sz="4" w:space="0" w:color="auto"/>
            </w:tcBorders>
            <w:shd w:val="clear" w:color="auto" w:fill="auto"/>
            <w:noWrap/>
            <w:vAlign w:val="center"/>
            <w:hideMark/>
          </w:tcPr>
          <w:p w14:paraId="1559580E"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18,394</w:t>
            </w:r>
          </w:p>
          <w:p w14:paraId="0A161632" w14:textId="0A0EF0CD" w:rsidR="000B615A" w:rsidRPr="00AF355D" w:rsidRDefault="000B615A" w:rsidP="00AF355D">
            <w:pPr>
              <w:spacing w:after="0" w:line="240" w:lineRule="auto"/>
              <w:ind w:firstLine="0"/>
              <w:jc w:val="center"/>
              <w:rPr>
                <w:rFonts w:eastAsia="Calibri" w:cs="Times New Roman"/>
                <w:color w:val="000000"/>
                <w:sz w:val="19"/>
                <w:szCs w:val="19"/>
              </w:rPr>
            </w:pPr>
          </w:p>
        </w:tc>
        <w:tc>
          <w:tcPr>
            <w:tcW w:w="1588" w:type="dxa"/>
            <w:gridSpan w:val="2"/>
            <w:tcBorders>
              <w:top w:val="nil"/>
              <w:left w:val="nil"/>
              <w:bottom w:val="single" w:sz="4" w:space="0" w:color="auto"/>
              <w:right w:val="single" w:sz="4" w:space="0" w:color="auto"/>
            </w:tcBorders>
            <w:shd w:val="clear" w:color="auto" w:fill="auto"/>
            <w:noWrap/>
            <w:vAlign w:val="center"/>
            <w:hideMark/>
          </w:tcPr>
          <w:p w14:paraId="6716E564"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18,546</w:t>
            </w:r>
          </w:p>
          <w:p w14:paraId="0C5E2AEC" w14:textId="07EE8642" w:rsidR="000B615A" w:rsidRPr="00AF355D" w:rsidRDefault="000B615A" w:rsidP="00AF355D">
            <w:pPr>
              <w:spacing w:after="0" w:line="240" w:lineRule="auto"/>
              <w:ind w:firstLine="0"/>
              <w:jc w:val="center"/>
              <w:rPr>
                <w:rFonts w:eastAsia="Calibri" w:cs="Times New Roman"/>
                <w:color w:val="000000"/>
                <w:sz w:val="19"/>
                <w:szCs w:val="19"/>
              </w:rPr>
            </w:pPr>
          </w:p>
        </w:tc>
        <w:tc>
          <w:tcPr>
            <w:tcW w:w="1676" w:type="dxa"/>
            <w:gridSpan w:val="2"/>
            <w:tcBorders>
              <w:top w:val="nil"/>
              <w:left w:val="nil"/>
              <w:bottom w:val="single" w:sz="4" w:space="0" w:color="auto"/>
              <w:right w:val="single" w:sz="4" w:space="0" w:color="auto"/>
            </w:tcBorders>
            <w:shd w:val="clear" w:color="auto" w:fill="auto"/>
            <w:noWrap/>
            <w:vAlign w:val="center"/>
            <w:hideMark/>
          </w:tcPr>
          <w:p w14:paraId="5062384A"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18,085</w:t>
            </w:r>
          </w:p>
          <w:p w14:paraId="13A16067" w14:textId="5C9DAFAA" w:rsidR="000B615A" w:rsidRPr="00AF355D" w:rsidRDefault="000B615A" w:rsidP="00AF355D">
            <w:pPr>
              <w:spacing w:after="0" w:line="240" w:lineRule="auto"/>
              <w:ind w:firstLine="0"/>
              <w:jc w:val="center"/>
              <w:rPr>
                <w:rFonts w:eastAsia="Calibri" w:cs="Times New Roman"/>
                <w:color w:val="000000"/>
                <w:sz w:val="19"/>
                <w:szCs w:val="19"/>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7FA6A57"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28,221</w:t>
            </w:r>
          </w:p>
          <w:p w14:paraId="30FBF987" w14:textId="303BFE53" w:rsidR="000B615A" w:rsidRPr="00AF355D" w:rsidRDefault="000B615A" w:rsidP="00AF355D">
            <w:pPr>
              <w:spacing w:after="0" w:line="240" w:lineRule="auto"/>
              <w:ind w:firstLine="0"/>
              <w:jc w:val="center"/>
              <w:rPr>
                <w:rFonts w:eastAsia="Calibri" w:cs="Times New Roman"/>
                <w:color w:val="000000"/>
                <w:sz w:val="19"/>
                <w:szCs w:val="19"/>
              </w:rPr>
            </w:pPr>
          </w:p>
        </w:tc>
        <w:tc>
          <w:tcPr>
            <w:tcW w:w="1539" w:type="dxa"/>
            <w:gridSpan w:val="2"/>
            <w:tcBorders>
              <w:top w:val="nil"/>
              <w:left w:val="nil"/>
              <w:bottom w:val="single" w:sz="4" w:space="0" w:color="auto"/>
              <w:right w:val="single" w:sz="4" w:space="0" w:color="auto"/>
            </w:tcBorders>
            <w:shd w:val="clear" w:color="auto" w:fill="auto"/>
            <w:noWrap/>
            <w:vAlign w:val="center"/>
            <w:hideMark/>
          </w:tcPr>
          <w:p w14:paraId="26D5B67C"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26,102</w:t>
            </w:r>
          </w:p>
          <w:p w14:paraId="4DA08D07" w14:textId="14507DA1" w:rsidR="000B615A" w:rsidRPr="00AF355D" w:rsidRDefault="000B615A" w:rsidP="00AF355D">
            <w:pPr>
              <w:spacing w:after="0" w:line="240" w:lineRule="auto"/>
              <w:ind w:firstLine="0"/>
              <w:jc w:val="center"/>
              <w:rPr>
                <w:rFonts w:eastAsia="Calibri" w:cs="Times New Roman"/>
                <w:color w:val="000000"/>
                <w:sz w:val="19"/>
                <w:szCs w:val="19"/>
              </w:rPr>
            </w:pPr>
          </w:p>
        </w:tc>
      </w:tr>
      <w:tr w:rsidR="000B615A" w:rsidRPr="000B615A" w14:paraId="0DD3A589" w14:textId="77777777" w:rsidTr="000B615A">
        <w:trPr>
          <w:trHeight w:val="227"/>
        </w:trPr>
        <w:tc>
          <w:tcPr>
            <w:tcW w:w="15993" w:type="dxa"/>
            <w:gridSpan w:val="19"/>
            <w:tcBorders>
              <w:top w:val="single" w:sz="4" w:space="0" w:color="auto"/>
              <w:left w:val="single" w:sz="4" w:space="0" w:color="auto"/>
              <w:bottom w:val="nil"/>
              <w:right w:val="single" w:sz="4" w:space="0" w:color="auto"/>
            </w:tcBorders>
            <w:shd w:val="clear" w:color="auto" w:fill="auto"/>
            <w:noWrap/>
            <w:vAlign w:val="center"/>
            <w:hideMark/>
          </w:tcPr>
          <w:p w14:paraId="2FD808BA" w14:textId="77777777" w:rsidR="000B615A" w:rsidRPr="000B615A" w:rsidRDefault="000B615A" w:rsidP="000B615A">
            <w:pPr>
              <w:spacing w:before="80" w:after="2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b/>
                <w:bCs/>
                <w:color w:val="000000"/>
                <w:sz w:val="19"/>
                <w:szCs w:val="19"/>
              </w:rPr>
              <w:t>Share of total debt</w:t>
            </w:r>
          </w:p>
        </w:tc>
      </w:tr>
      <w:tr w:rsidR="00AF355D" w:rsidRPr="000B615A" w14:paraId="70E01768" w14:textId="77777777" w:rsidTr="00AF355D">
        <w:trPr>
          <w:trHeight w:val="227"/>
        </w:trPr>
        <w:tc>
          <w:tcPr>
            <w:tcW w:w="1555" w:type="dxa"/>
            <w:tcBorders>
              <w:top w:val="single" w:sz="4" w:space="0" w:color="auto"/>
              <w:left w:val="single" w:sz="4" w:space="0" w:color="auto"/>
              <w:bottom w:val="nil"/>
              <w:right w:val="single" w:sz="4" w:space="0" w:color="auto"/>
            </w:tcBorders>
            <w:shd w:val="clear" w:color="auto" w:fill="auto"/>
            <w:noWrap/>
            <w:vAlign w:val="bottom"/>
            <w:hideMark/>
          </w:tcPr>
          <w:p w14:paraId="0B8223B5"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Debt secured by primary residence</w:t>
            </w:r>
          </w:p>
        </w:tc>
        <w:tc>
          <w:tcPr>
            <w:tcW w:w="850" w:type="dxa"/>
            <w:tcBorders>
              <w:top w:val="single" w:sz="4" w:space="0" w:color="auto"/>
              <w:left w:val="nil"/>
              <w:bottom w:val="nil"/>
              <w:right w:val="nil"/>
            </w:tcBorders>
            <w:shd w:val="clear" w:color="auto" w:fill="auto"/>
            <w:noWrap/>
            <w:vAlign w:val="center"/>
            <w:hideMark/>
          </w:tcPr>
          <w:p w14:paraId="1AA08D4E" w14:textId="38B1DC6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107.51</w:t>
            </w:r>
          </w:p>
        </w:tc>
        <w:tc>
          <w:tcPr>
            <w:tcW w:w="851" w:type="dxa"/>
            <w:tcBorders>
              <w:top w:val="single" w:sz="4" w:space="0" w:color="auto"/>
              <w:left w:val="nil"/>
              <w:bottom w:val="nil"/>
              <w:right w:val="single" w:sz="4" w:space="0" w:color="auto"/>
            </w:tcBorders>
            <w:shd w:val="clear" w:color="000000" w:fill="F2F2F2"/>
            <w:noWrap/>
            <w:vAlign w:val="center"/>
            <w:hideMark/>
          </w:tcPr>
          <w:p w14:paraId="1C59A5CE" w14:textId="7265523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814" w:type="dxa"/>
            <w:tcBorders>
              <w:top w:val="single" w:sz="4" w:space="0" w:color="auto"/>
              <w:left w:val="nil"/>
              <w:bottom w:val="nil"/>
              <w:right w:val="nil"/>
            </w:tcBorders>
            <w:shd w:val="clear" w:color="auto" w:fill="auto"/>
            <w:noWrap/>
            <w:vAlign w:val="center"/>
            <w:hideMark/>
          </w:tcPr>
          <w:p w14:paraId="363A99B7" w14:textId="3EDE28A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99.29</w:t>
            </w:r>
          </w:p>
        </w:tc>
        <w:tc>
          <w:tcPr>
            <w:tcW w:w="794" w:type="dxa"/>
            <w:tcBorders>
              <w:top w:val="single" w:sz="4" w:space="0" w:color="auto"/>
              <w:left w:val="nil"/>
              <w:bottom w:val="nil"/>
              <w:right w:val="single" w:sz="4" w:space="0" w:color="auto"/>
            </w:tcBorders>
            <w:shd w:val="clear" w:color="000000" w:fill="F2F2F2"/>
            <w:noWrap/>
            <w:vAlign w:val="center"/>
            <w:hideMark/>
          </w:tcPr>
          <w:p w14:paraId="0127DF12" w14:textId="2FE99C0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0.40</w:t>
            </w:r>
          </w:p>
        </w:tc>
        <w:tc>
          <w:tcPr>
            <w:tcW w:w="794" w:type="dxa"/>
            <w:tcBorders>
              <w:top w:val="single" w:sz="4" w:space="0" w:color="auto"/>
              <w:left w:val="nil"/>
              <w:bottom w:val="nil"/>
              <w:right w:val="nil"/>
            </w:tcBorders>
            <w:shd w:val="clear" w:color="auto" w:fill="auto"/>
            <w:noWrap/>
            <w:vAlign w:val="center"/>
            <w:hideMark/>
          </w:tcPr>
          <w:p w14:paraId="71A563FE" w14:textId="071DB2E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91.79</w:t>
            </w:r>
          </w:p>
        </w:tc>
        <w:tc>
          <w:tcPr>
            <w:tcW w:w="794" w:type="dxa"/>
            <w:tcBorders>
              <w:top w:val="single" w:sz="4" w:space="0" w:color="auto"/>
              <w:left w:val="nil"/>
              <w:bottom w:val="nil"/>
              <w:right w:val="single" w:sz="4" w:space="0" w:color="auto"/>
            </w:tcBorders>
            <w:shd w:val="clear" w:color="000000" w:fill="F2F2F2"/>
            <w:noWrap/>
            <w:vAlign w:val="center"/>
            <w:hideMark/>
          </w:tcPr>
          <w:p w14:paraId="70F9F8CA" w14:textId="7CDAB65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73" w:type="dxa"/>
            <w:tcBorders>
              <w:top w:val="single" w:sz="4" w:space="0" w:color="auto"/>
              <w:left w:val="nil"/>
              <w:bottom w:val="nil"/>
              <w:right w:val="nil"/>
            </w:tcBorders>
            <w:shd w:val="clear" w:color="auto" w:fill="auto"/>
            <w:noWrap/>
            <w:vAlign w:val="center"/>
            <w:hideMark/>
          </w:tcPr>
          <w:p w14:paraId="40CA49F4" w14:textId="4626519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104.70</w:t>
            </w:r>
          </w:p>
        </w:tc>
        <w:tc>
          <w:tcPr>
            <w:tcW w:w="815" w:type="dxa"/>
            <w:tcBorders>
              <w:top w:val="single" w:sz="4" w:space="0" w:color="auto"/>
              <w:left w:val="nil"/>
              <w:bottom w:val="nil"/>
              <w:right w:val="single" w:sz="4" w:space="0" w:color="auto"/>
            </w:tcBorders>
            <w:shd w:val="clear" w:color="000000" w:fill="F2F2F2"/>
            <w:noWrap/>
            <w:vAlign w:val="center"/>
            <w:hideMark/>
          </w:tcPr>
          <w:p w14:paraId="2B83F720" w14:textId="0D226EA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794" w:type="dxa"/>
            <w:tcBorders>
              <w:top w:val="single" w:sz="4" w:space="0" w:color="auto"/>
              <w:left w:val="nil"/>
              <w:bottom w:val="nil"/>
              <w:right w:val="nil"/>
            </w:tcBorders>
            <w:shd w:val="clear" w:color="auto" w:fill="auto"/>
            <w:noWrap/>
            <w:vAlign w:val="center"/>
            <w:hideMark/>
          </w:tcPr>
          <w:p w14:paraId="00AC462B" w14:textId="37A50E2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119.98</w:t>
            </w:r>
          </w:p>
        </w:tc>
        <w:tc>
          <w:tcPr>
            <w:tcW w:w="797" w:type="dxa"/>
            <w:tcBorders>
              <w:top w:val="single" w:sz="4" w:space="0" w:color="auto"/>
              <w:left w:val="nil"/>
              <w:bottom w:val="nil"/>
              <w:right w:val="single" w:sz="4" w:space="0" w:color="auto"/>
            </w:tcBorders>
            <w:shd w:val="clear" w:color="000000" w:fill="F2F2F2"/>
            <w:noWrap/>
            <w:vAlign w:val="center"/>
            <w:hideMark/>
          </w:tcPr>
          <w:p w14:paraId="6C0C944B" w14:textId="1839941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794" w:type="dxa"/>
            <w:tcBorders>
              <w:top w:val="single" w:sz="4" w:space="0" w:color="auto"/>
              <w:left w:val="nil"/>
              <w:bottom w:val="nil"/>
              <w:right w:val="nil"/>
            </w:tcBorders>
            <w:shd w:val="clear" w:color="auto" w:fill="auto"/>
            <w:noWrap/>
            <w:vAlign w:val="center"/>
            <w:hideMark/>
          </w:tcPr>
          <w:p w14:paraId="39A1F5B0" w14:textId="218C688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106.52</w:t>
            </w:r>
          </w:p>
        </w:tc>
        <w:tc>
          <w:tcPr>
            <w:tcW w:w="794" w:type="dxa"/>
            <w:tcBorders>
              <w:top w:val="single" w:sz="4" w:space="0" w:color="auto"/>
              <w:left w:val="nil"/>
              <w:bottom w:val="nil"/>
              <w:right w:val="single" w:sz="4" w:space="0" w:color="auto"/>
            </w:tcBorders>
            <w:shd w:val="clear" w:color="000000" w:fill="F2F2F2"/>
            <w:noWrap/>
            <w:vAlign w:val="center"/>
            <w:hideMark/>
          </w:tcPr>
          <w:p w14:paraId="155B2A4C" w14:textId="51A44C3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single" w:sz="4" w:space="0" w:color="auto"/>
              <w:left w:val="nil"/>
              <w:bottom w:val="nil"/>
              <w:right w:val="nil"/>
            </w:tcBorders>
            <w:shd w:val="clear" w:color="auto" w:fill="auto"/>
            <w:noWrap/>
            <w:vAlign w:val="center"/>
            <w:hideMark/>
          </w:tcPr>
          <w:p w14:paraId="6572526A" w14:textId="510A75F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130.29</w:t>
            </w:r>
          </w:p>
        </w:tc>
        <w:tc>
          <w:tcPr>
            <w:tcW w:w="851" w:type="dxa"/>
            <w:tcBorders>
              <w:top w:val="single" w:sz="4" w:space="0" w:color="auto"/>
              <w:left w:val="nil"/>
              <w:bottom w:val="nil"/>
              <w:right w:val="single" w:sz="4" w:space="0" w:color="auto"/>
            </w:tcBorders>
            <w:shd w:val="clear" w:color="000000" w:fill="F2F2F2"/>
            <w:noWrap/>
            <w:vAlign w:val="center"/>
            <w:hideMark/>
          </w:tcPr>
          <w:p w14:paraId="6DD09E2C" w14:textId="055A731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0.31</w:t>
            </w:r>
          </w:p>
        </w:tc>
        <w:tc>
          <w:tcPr>
            <w:tcW w:w="850" w:type="dxa"/>
            <w:tcBorders>
              <w:top w:val="single" w:sz="4" w:space="0" w:color="auto"/>
              <w:left w:val="nil"/>
              <w:bottom w:val="nil"/>
              <w:right w:val="nil"/>
            </w:tcBorders>
            <w:shd w:val="clear" w:color="auto" w:fill="auto"/>
            <w:noWrap/>
            <w:vAlign w:val="center"/>
            <w:hideMark/>
          </w:tcPr>
          <w:p w14:paraId="7750ECE0" w14:textId="28633B1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127.62</w:t>
            </w:r>
          </w:p>
        </w:tc>
        <w:tc>
          <w:tcPr>
            <w:tcW w:w="709" w:type="dxa"/>
            <w:tcBorders>
              <w:top w:val="single" w:sz="4" w:space="0" w:color="auto"/>
              <w:left w:val="nil"/>
              <w:bottom w:val="nil"/>
              <w:right w:val="single" w:sz="4" w:space="0" w:color="auto"/>
            </w:tcBorders>
            <w:shd w:val="clear" w:color="000000" w:fill="F2F2F2"/>
            <w:noWrap/>
            <w:vAlign w:val="center"/>
            <w:hideMark/>
          </w:tcPr>
          <w:p w14:paraId="769C46FB" w14:textId="5511694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745" w:type="dxa"/>
            <w:tcBorders>
              <w:top w:val="single" w:sz="4" w:space="0" w:color="auto"/>
              <w:left w:val="nil"/>
              <w:bottom w:val="nil"/>
              <w:right w:val="nil"/>
            </w:tcBorders>
            <w:shd w:val="clear" w:color="auto" w:fill="auto"/>
            <w:noWrap/>
            <w:vAlign w:val="center"/>
            <w:hideMark/>
          </w:tcPr>
          <w:p w14:paraId="645C03E4" w14:textId="4A35481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139.37</w:t>
            </w:r>
          </w:p>
        </w:tc>
        <w:tc>
          <w:tcPr>
            <w:tcW w:w="794" w:type="dxa"/>
            <w:tcBorders>
              <w:top w:val="single" w:sz="4" w:space="0" w:color="auto"/>
              <w:left w:val="nil"/>
              <w:bottom w:val="nil"/>
              <w:right w:val="single" w:sz="4" w:space="0" w:color="auto"/>
            </w:tcBorders>
            <w:shd w:val="clear" w:color="000000" w:fill="F2F2F2"/>
            <w:noWrap/>
            <w:vAlign w:val="center"/>
            <w:hideMark/>
          </w:tcPr>
          <w:p w14:paraId="390E33A5" w14:textId="136F3D6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r>
      <w:tr w:rsidR="00AF355D" w:rsidRPr="000B615A" w14:paraId="2FB96458"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5FEEE225"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Debt secured by other property</w:t>
            </w:r>
          </w:p>
        </w:tc>
        <w:tc>
          <w:tcPr>
            <w:tcW w:w="850" w:type="dxa"/>
            <w:tcBorders>
              <w:top w:val="nil"/>
              <w:left w:val="nil"/>
              <w:bottom w:val="nil"/>
              <w:right w:val="nil"/>
            </w:tcBorders>
            <w:shd w:val="clear" w:color="auto" w:fill="auto"/>
            <w:noWrap/>
            <w:vAlign w:val="center"/>
            <w:hideMark/>
          </w:tcPr>
          <w:p w14:paraId="6A669EE6" w14:textId="1EC98DE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107.44</w:t>
            </w:r>
          </w:p>
        </w:tc>
        <w:tc>
          <w:tcPr>
            <w:tcW w:w="851" w:type="dxa"/>
            <w:tcBorders>
              <w:top w:val="nil"/>
              <w:left w:val="nil"/>
              <w:bottom w:val="nil"/>
              <w:right w:val="single" w:sz="4" w:space="0" w:color="auto"/>
            </w:tcBorders>
            <w:shd w:val="clear" w:color="000000" w:fill="F2F2F2"/>
            <w:noWrap/>
            <w:vAlign w:val="center"/>
            <w:hideMark/>
          </w:tcPr>
          <w:p w14:paraId="7DEAC840" w14:textId="153C2FC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814" w:type="dxa"/>
            <w:tcBorders>
              <w:top w:val="nil"/>
              <w:left w:val="nil"/>
              <w:bottom w:val="nil"/>
              <w:right w:val="nil"/>
            </w:tcBorders>
            <w:shd w:val="clear" w:color="auto" w:fill="auto"/>
            <w:noWrap/>
            <w:vAlign w:val="center"/>
            <w:hideMark/>
          </w:tcPr>
          <w:p w14:paraId="33113244" w14:textId="798D1E5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99.87</w:t>
            </w:r>
          </w:p>
        </w:tc>
        <w:tc>
          <w:tcPr>
            <w:tcW w:w="794" w:type="dxa"/>
            <w:tcBorders>
              <w:top w:val="nil"/>
              <w:left w:val="nil"/>
              <w:bottom w:val="nil"/>
              <w:right w:val="single" w:sz="4" w:space="0" w:color="auto"/>
            </w:tcBorders>
            <w:shd w:val="clear" w:color="000000" w:fill="F2F2F2"/>
            <w:noWrap/>
            <w:vAlign w:val="center"/>
            <w:hideMark/>
          </w:tcPr>
          <w:p w14:paraId="35C22DA6" w14:textId="5F9C8C2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94" w:type="dxa"/>
            <w:tcBorders>
              <w:top w:val="nil"/>
              <w:left w:val="nil"/>
              <w:bottom w:val="nil"/>
              <w:right w:val="nil"/>
            </w:tcBorders>
            <w:shd w:val="clear" w:color="auto" w:fill="auto"/>
            <w:noWrap/>
            <w:vAlign w:val="center"/>
            <w:hideMark/>
          </w:tcPr>
          <w:p w14:paraId="755E1610" w14:textId="683243E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91.81</w:t>
            </w:r>
          </w:p>
        </w:tc>
        <w:tc>
          <w:tcPr>
            <w:tcW w:w="794" w:type="dxa"/>
            <w:tcBorders>
              <w:top w:val="nil"/>
              <w:left w:val="nil"/>
              <w:bottom w:val="nil"/>
              <w:right w:val="single" w:sz="4" w:space="0" w:color="auto"/>
            </w:tcBorders>
            <w:shd w:val="clear" w:color="000000" w:fill="F2F2F2"/>
            <w:noWrap/>
            <w:vAlign w:val="center"/>
            <w:hideMark/>
          </w:tcPr>
          <w:p w14:paraId="35815F12" w14:textId="787CACD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73" w:type="dxa"/>
            <w:tcBorders>
              <w:top w:val="nil"/>
              <w:left w:val="nil"/>
              <w:bottom w:val="nil"/>
              <w:right w:val="nil"/>
            </w:tcBorders>
            <w:shd w:val="clear" w:color="auto" w:fill="auto"/>
            <w:noWrap/>
            <w:vAlign w:val="center"/>
            <w:hideMark/>
          </w:tcPr>
          <w:p w14:paraId="3F2907BC" w14:textId="4D7570A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105.24</w:t>
            </w:r>
          </w:p>
        </w:tc>
        <w:tc>
          <w:tcPr>
            <w:tcW w:w="815" w:type="dxa"/>
            <w:tcBorders>
              <w:top w:val="nil"/>
              <w:left w:val="nil"/>
              <w:bottom w:val="nil"/>
              <w:right w:val="single" w:sz="4" w:space="0" w:color="auto"/>
            </w:tcBorders>
            <w:shd w:val="clear" w:color="000000" w:fill="F2F2F2"/>
            <w:noWrap/>
            <w:vAlign w:val="center"/>
            <w:hideMark/>
          </w:tcPr>
          <w:p w14:paraId="241A9B1A" w14:textId="499268A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794" w:type="dxa"/>
            <w:tcBorders>
              <w:top w:val="nil"/>
              <w:left w:val="nil"/>
              <w:bottom w:val="nil"/>
              <w:right w:val="nil"/>
            </w:tcBorders>
            <w:shd w:val="clear" w:color="auto" w:fill="auto"/>
            <w:noWrap/>
            <w:vAlign w:val="center"/>
            <w:hideMark/>
          </w:tcPr>
          <w:p w14:paraId="2BBD0C30" w14:textId="7AB2E39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120.38</w:t>
            </w:r>
          </w:p>
        </w:tc>
        <w:tc>
          <w:tcPr>
            <w:tcW w:w="797" w:type="dxa"/>
            <w:tcBorders>
              <w:top w:val="nil"/>
              <w:left w:val="nil"/>
              <w:bottom w:val="nil"/>
              <w:right w:val="single" w:sz="4" w:space="0" w:color="auto"/>
            </w:tcBorders>
            <w:shd w:val="clear" w:color="000000" w:fill="F2F2F2"/>
            <w:noWrap/>
            <w:vAlign w:val="center"/>
            <w:hideMark/>
          </w:tcPr>
          <w:p w14:paraId="0E895BD1" w14:textId="2919D45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794" w:type="dxa"/>
            <w:tcBorders>
              <w:top w:val="nil"/>
              <w:left w:val="nil"/>
              <w:bottom w:val="nil"/>
              <w:right w:val="nil"/>
            </w:tcBorders>
            <w:shd w:val="clear" w:color="auto" w:fill="auto"/>
            <w:noWrap/>
            <w:vAlign w:val="center"/>
            <w:hideMark/>
          </w:tcPr>
          <w:p w14:paraId="46941440" w14:textId="5F562A8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106.20</w:t>
            </w:r>
          </w:p>
        </w:tc>
        <w:tc>
          <w:tcPr>
            <w:tcW w:w="794" w:type="dxa"/>
            <w:tcBorders>
              <w:top w:val="nil"/>
              <w:left w:val="nil"/>
              <w:bottom w:val="nil"/>
              <w:right w:val="single" w:sz="4" w:space="0" w:color="auto"/>
            </w:tcBorders>
            <w:shd w:val="clear" w:color="000000" w:fill="F2F2F2"/>
            <w:noWrap/>
            <w:vAlign w:val="center"/>
            <w:hideMark/>
          </w:tcPr>
          <w:p w14:paraId="39D9C559" w14:textId="39AF39B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825" w:type="dxa"/>
            <w:tcBorders>
              <w:top w:val="nil"/>
              <w:left w:val="nil"/>
              <w:bottom w:val="nil"/>
              <w:right w:val="nil"/>
            </w:tcBorders>
            <w:shd w:val="clear" w:color="auto" w:fill="auto"/>
            <w:noWrap/>
            <w:vAlign w:val="center"/>
            <w:hideMark/>
          </w:tcPr>
          <w:p w14:paraId="7274C8F6" w14:textId="04FA363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128.70</w:t>
            </w:r>
          </w:p>
        </w:tc>
        <w:tc>
          <w:tcPr>
            <w:tcW w:w="851" w:type="dxa"/>
            <w:tcBorders>
              <w:top w:val="nil"/>
              <w:left w:val="nil"/>
              <w:bottom w:val="nil"/>
              <w:right w:val="single" w:sz="4" w:space="0" w:color="auto"/>
            </w:tcBorders>
            <w:shd w:val="clear" w:color="000000" w:fill="F2F2F2"/>
            <w:noWrap/>
            <w:vAlign w:val="center"/>
            <w:hideMark/>
          </w:tcPr>
          <w:p w14:paraId="054E7936" w14:textId="4ED99C1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850" w:type="dxa"/>
            <w:tcBorders>
              <w:top w:val="nil"/>
              <w:left w:val="nil"/>
              <w:bottom w:val="nil"/>
              <w:right w:val="nil"/>
            </w:tcBorders>
            <w:shd w:val="clear" w:color="auto" w:fill="auto"/>
            <w:noWrap/>
            <w:vAlign w:val="center"/>
            <w:hideMark/>
          </w:tcPr>
          <w:p w14:paraId="2E8CB933" w14:textId="67D578E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125.87</w:t>
            </w:r>
          </w:p>
        </w:tc>
        <w:tc>
          <w:tcPr>
            <w:tcW w:w="709" w:type="dxa"/>
            <w:tcBorders>
              <w:top w:val="nil"/>
              <w:left w:val="nil"/>
              <w:bottom w:val="nil"/>
              <w:right w:val="single" w:sz="4" w:space="0" w:color="auto"/>
            </w:tcBorders>
            <w:shd w:val="clear" w:color="000000" w:fill="F2F2F2"/>
            <w:noWrap/>
            <w:vAlign w:val="center"/>
            <w:hideMark/>
          </w:tcPr>
          <w:p w14:paraId="67A9B649" w14:textId="292C7D6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745" w:type="dxa"/>
            <w:tcBorders>
              <w:top w:val="nil"/>
              <w:left w:val="nil"/>
              <w:bottom w:val="nil"/>
              <w:right w:val="nil"/>
            </w:tcBorders>
            <w:shd w:val="clear" w:color="auto" w:fill="auto"/>
            <w:noWrap/>
            <w:vAlign w:val="center"/>
            <w:hideMark/>
          </w:tcPr>
          <w:p w14:paraId="74C309C6" w14:textId="6A40FC4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140.14</w:t>
            </w:r>
          </w:p>
        </w:tc>
        <w:tc>
          <w:tcPr>
            <w:tcW w:w="794" w:type="dxa"/>
            <w:tcBorders>
              <w:top w:val="nil"/>
              <w:left w:val="nil"/>
              <w:bottom w:val="nil"/>
              <w:right w:val="single" w:sz="4" w:space="0" w:color="auto"/>
            </w:tcBorders>
            <w:shd w:val="clear" w:color="000000" w:fill="F2F2F2"/>
            <w:noWrap/>
            <w:vAlign w:val="center"/>
            <w:hideMark/>
          </w:tcPr>
          <w:p w14:paraId="795AE969" w14:textId="688D196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r>
      <w:tr w:rsidR="00AF355D" w:rsidRPr="000B615A" w14:paraId="558B413D"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764B5FE7"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Instalment debt</w:t>
            </w:r>
          </w:p>
        </w:tc>
        <w:tc>
          <w:tcPr>
            <w:tcW w:w="850" w:type="dxa"/>
            <w:tcBorders>
              <w:top w:val="nil"/>
              <w:left w:val="nil"/>
              <w:bottom w:val="nil"/>
              <w:right w:val="nil"/>
            </w:tcBorders>
            <w:shd w:val="clear" w:color="auto" w:fill="auto"/>
            <w:noWrap/>
            <w:vAlign w:val="center"/>
            <w:hideMark/>
          </w:tcPr>
          <w:p w14:paraId="44AB1C40" w14:textId="1A0A8D1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107.25</w:t>
            </w:r>
          </w:p>
        </w:tc>
        <w:tc>
          <w:tcPr>
            <w:tcW w:w="851" w:type="dxa"/>
            <w:tcBorders>
              <w:top w:val="nil"/>
              <w:left w:val="nil"/>
              <w:bottom w:val="nil"/>
              <w:right w:val="single" w:sz="4" w:space="0" w:color="auto"/>
            </w:tcBorders>
            <w:shd w:val="clear" w:color="000000" w:fill="F2F2F2"/>
            <w:noWrap/>
            <w:vAlign w:val="center"/>
            <w:hideMark/>
          </w:tcPr>
          <w:p w14:paraId="73679C7D" w14:textId="347C804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814" w:type="dxa"/>
            <w:tcBorders>
              <w:top w:val="nil"/>
              <w:left w:val="nil"/>
              <w:bottom w:val="nil"/>
              <w:right w:val="nil"/>
            </w:tcBorders>
            <w:shd w:val="clear" w:color="auto" w:fill="auto"/>
            <w:noWrap/>
            <w:vAlign w:val="center"/>
            <w:hideMark/>
          </w:tcPr>
          <w:p w14:paraId="68EB4E0F" w14:textId="6DD5251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99.56</w:t>
            </w:r>
          </w:p>
        </w:tc>
        <w:tc>
          <w:tcPr>
            <w:tcW w:w="794" w:type="dxa"/>
            <w:tcBorders>
              <w:top w:val="nil"/>
              <w:left w:val="nil"/>
              <w:bottom w:val="nil"/>
              <w:right w:val="single" w:sz="4" w:space="0" w:color="auto"/>
            </w:tcBorders>
            <w:shd w:val="clear" w:color="000000" w:fill="F2F2F2"/>
            <w:noWrap/>
            <w:vAlign w:val="center"/>
            <w:hideMark/>
          </w:tcPr>
          <w:p w14:paraId="261E8FF5" w14:textId="310CD01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94" w:type="dxa"/>
            <w:tcBorders>
              <w:top w:val="nil"/>
              <w:left w:val="nil"/>
              <w:bottom w:val="nil"/>
              <w:right w:val="nil"/>
            </w:tcBorders>
            <w:shd w:val="clear" w:color="auto" w:fill="auto"/>
            <w:noWrap/>
            <w:vAlign w:val="center"/>
            <w:hideMark/>
          </w:tcPr>
          <w:p w14:paraId="7D85832A" w14:textId="6B75756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91.80</w:t>
            </w:r>
          </w:p>
        </w:tc>
        <w:tc>
          <w:tcPr>
            <w:tcW w:w="794" w:type="dxa"/>
            <w:tcBorders>
              <w:top w:val="nil"/>
              <w:left w:val="nil"/>
              <w:bottom w:val="nil"/>
              <w:right w:val="single" w:sz="4" w:space="0" w:color="auto"/>
            </w:tcBorders>
            <w:shd w:val="clear" w:color="000000" w:fill="F2F2F2"/>
            <w:noWrap/>
            <w:vAlign w:val="center"/>
            <w:hideMark/>
          </w:tcPr>
          <w:p w14:paraId="0605E84F" w14:textId="656B8F2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73" w:type="dxa"/>
            <w:tcBorders>
              <w:top w:val="nil"/>
              <w:left w:val="nil"/>
              <w:bottom w:val="nil"/>
              <w:right w:val="nil"/>
            </w:tcBorders>
            <w:shd w:val="clear" w:color="auto" w:fill="auto"/>
            <w:noWrap/>
            <w:vAlign w:val="center"/>
            <w:hideMark/>
          </w:tcPr>
          <w:p w14:paraId="2BADD087" w14:textId="75048FF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105.06</w:t>
            </w:r>
          </w:p>
        </w:tc>
        <w:tc>
          <w:tcPr>
            <w:tcW w:w="815" w:type="dxa"/>
            <w:tcBorders>
              <w:top w:val="nil"/>
              <w:left w:val="nil"/>
              <w:bottom w:val="nil"/>
              <w:right w:val="single" w:sz="4" w:space="0" w:color="auto"/>
            </w:tcBorders>
            <w:shd w:val="clear" w:color="000000" w:fill="F2F2F2"/>
            <w:noWrap/>
            <w:vAlign w:val="center"/>
            <w:hideMark/>
          </w:tcPr>
          <w:p w14:paraId="46259CDD" w14:textId="5D0B25E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c>
          <w:tcPr>
            <w:tcW w:w="794" w:type="dxa"/>
            <w:tcBorders>
              <w:top w:val="nil"/>
              <w:left w:val="nil"/>
              <w:bottom w:val="nil"/>
              <w:right w:val="nil"/>
            </w:tcBorders>
            <w:shd w:val="clear" w:color="auto" w:fill="auto"/>
            <w:noWrap/>
            <w:vAlign w:val="center"/>
            <w:hideMark/>
          </w:tcPr>
          <w:p w14:paraId="2BFFB19D" w14:textId="7782B21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120.43</w:t>
            </w:r>
          </w:p>
        </w:tc>
        <w:tc>
          <w:tcPr>
            <w:tcW w:w="797" w:type="dxa"/>
            <w:tcBorders>
              <w:top w:val="nil"/>
              <w:left w:val="nil"/>
              <w:bottom w:val="nil"/>
              <w:right w:val="single" w:sz="4" w:space="0" w:color="auto"/>
            </w:tcBorders>
            <w:shd w:val="clear" w:color="000000" w:fill="F2F2F2"/>
            <w:noWrap/>
            <w:vAlign w:val="center"/>
            <w:hideMark/>
          </w:tcPr>
          <w:p w14:paraId="0B4D9A06" w14:textId="2A9578E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794" w:type="dxa"/>
            <w:tcBorders>
              <w:top w:val="nil"/>
              <w:left w:val="nil"/>
              <w:bottom w:val="nil"/>
              <w:right w:val="nil"/>
            </w:tcBorders>
            <w:shd w:val="clear" w:color="auto" w:fill="auto"/>
            <w:noWrap/>
            <w:vAlign w:val="center"/>
            <w:hideMark/>
          </w:tcPr>
          <w:p w14:paraId="3B1A7E52" w14:textId="3D070E0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106.40</w:t>
            </w:r>
          </w:p>
        </w:tc>
        <w:tc>
          <w:tcPr>
            <w:tcW w:w="794" w:type="dxa"/>
            <w:tcBorders>
              <w:top w:val="nil"/>
              <w:left w:val="nil"/>
              <w:bottom w:val="nil"/>
              <w:right w:val="single" w:sz="4" w:space="0" w:color="auto"/>
            </w:tcBorders>
            <w:shd w:val="clear" w:color="000000" w:fill="F2F2F2"/>
            <w:noWrap/>
            <w:vAlign w:val="center"/>
            <w:hideMark/>
          </w:tcPr>
          <w:p w14:paraId="026CD4BA" w14:textId="2F3DF2F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nil"/>
              <w:left w:val="nil"/>
              <w:bottom w:val="nil"/>
              <w:right w:val="nil"/>
            </w:tcBorders>
            <w:shd w:val="clear" w:color="auto" w:fill="auto"/>
            <w:noWrap/>
            <w:vAlign w:val="center"/>
            <w:hideMark/>
          </w:tcPr>
          <w:p w14:paraId="24299B3E" w14:textId="1DE8B88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130.10</w:t>
            </w:r>
          </w:p>
        </w:tc>
        <w:tc>
          <w:tcPr>
            <w:tcW w:w="851" w:type="dxa"/>
            <w:tcBorders>
              <w:top w:val="nil"/>
              <w:left w:val="nil"/>
              <w:bottom w:val="nil"/>
              <w:right w:val="single" w:sz="4" w:space="0" w:color="auto"/>
            </w:tcBorders>
            <w:shd w:val="clear" w:color="000000" w:fill="F2F2F2"/>
            <w:noWrap/>
            <w:vAlign w:val="center"/>
            <w:hideMark/>
          </w:tcPr>
          <w:p w14:paraId="6B3571CA" w14:textId="6BDC3AE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850" w:type="dxa"/>
            <w:tcBorders>
              <w:top w:val="nil"/>
              <w:left w:val="nil"/>
              <w:bottom w:val="nil"/>
              <w:right w:val="nil"/>
            </w:tcBorders>
            <w:shd w:val="clear" w:color="auto" w:fill="auto"/>
            <w:noWrap/>
            <w:vAlign w:val="center"/>
            <w:hideMark/>
          </w:tcPr>
          <w:p w14:paraId="7C5B422C" w14:textId="2EFFAFF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127.15</w:t>
            </w:r>
          </w:p>
        </w:tc>
        <w:tc>
          <w:tcPr>
            <w:tcW w:w="709" w:type="dxa"/>
            <w:tcBorders>
              <w:top w:val="nil"/>
              <w:left w:val="nil"/>
              <w:bottom w:val="nil"/>
              <w:right w:val="single" w:sz="4" w:space="0" w:color="auto"/>
            </w:tcBorders>
            <w:shd w:val="clear" w:color="000000" w:fill="F2F2F2"/>
            <w:noWrap/>
            <w:vAlign w:val="center"/>
            <w:hideMark/>
          </w:tcPr>
          <w:p w14:paraId="5406927C" w14:textId="4CF9914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745" w:type="dxa"/>
            <w:tcBorders>
              <w:top w:val="nil"/>
              <w:left w:val="nil"/>
              <w:bottom w:val="nil"/>
              <w:right w:val="nil"/>
            </w:tcBorders>
            <w:shd w:val="clear" w:color="auto" w:fill="auto"/>
            <w:noWrap/>
            <w:vAlign w:val="center"/>
            <w:hideMark/>
          </w:tcPr>
          <w:p w14:paraId="1B2E8CAB" w14:textId="27281C9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139.59</w:t>
            </w:r>
          </w:p>
        </w:tc>
        <w:tc>
          <w:tcPr>
            <w:tcW w:w="794" w:type="dxa"/>
            <w:tcBorders>
              <w:top w:val="nil"/>
              <w:left w:val="nil"/>
              <w:bottom w:val="nil"/>
              <w:right w:val="single" w:sz="4" w:space="0" w:color="auto"/>
            </w:tcBorders>
            <w:shd w:val="clear" w:color="000000" w:fill="F2F2F2"/>
            <w:noWrap/>
            <w:vAlign w:val="center"/>
            <w:hideMark/>
          </w:tcPr>
          <w:p w14:paraId="63D74BFE" w14:textId="68035F2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r>
      <w:tr w:rsidR="00AF355D" w:rsidRPr="000B615A" w14:paraId="32659788"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5A52A590"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Credit card balances</w:t>
            </w:r>
          </w:p>
        </w:tc>
        <w:tc>
          <w:tcPr>
            <w:tcW w:w="850" w:type="dxa"/>
            <w:tcBorders>
              <w:top w:val="nil"/>
              <w:left w:val="nil"/>
              <w:bottom w:val="nil"/>
              <w:right w:val="nil"/>
            </w:tcBorders>
            <w:shd w:val="clear" w:color="auto" w:fill="auto"/>
            <w:noWrap/>
            <w:vAlign w:val="center"/>
            <w:hideMark/>
          </w:tcPr>
          <w:p w14:paraId="2FA66E70" w14:textId="298BE29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108.25</w:t>
            </w:r>
          </w:p>
        </w:tc>
        <w:tc>
          <w:tcPr>
            <w:tcW w:w="851" w:type="dxa"/>
            <w:tcBorders>
              <w:top w:val="nil"/>
              <w:left w:val="nil"/>
              <w:bottom w:val="nil"/>
              <w:right w:val="single" w:sz="4" w:space="0" w:color="auto"/>
            </w:tcBorders>
            <w:shd w:val="clear" w:color="000000" w:fill="F2F2F2"/>
            <w:noWrap/>
            <w:vAlign w:val="center"/>
            <w:hideMark/>
          </w:tcPr>
          <w:p w14:paraId="1EE79276" w14:textId="1CD7FE4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814" w:type="dxa"/>
            <w:tcBorders>
              <w:top w:val="nil"/>
              <w:left w:val="nil"/>
              <w:bottom w:val="nil"/>
              <w:right w:val="nil"/>
            </w:tcBorders>
            <w:shd w:val="clear" w:color="auto" w:fill="auto"/>
            <w:noWrap/>
            <w:vAlign w:val="center"/>
            <w:hideMark/>
          </w:tcPr>
          <w:p w14:paraId="34EA6F31" w14:textId="27C0BF5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100.16</w:t>
            </w:r>
          </w:p>
        </w:tc>
        <w:tc>
          <w:tcPr>
            <w:tcW w:w="794" w:type="dxa"/>
            <w:tcBorders>
              <w:top w:val="nil"/>
              <w:left w:val="nil"/>
              <w:bottom w:val="nil"/>
              <w:right w:val="single" w:sz="4" w:space="0" w:color="auto"/>
            </w:tcBorders>
            <w:shd w:val="clear" w:color="000000" w:fill="F2F2F2"/>
            <w:noWrap/>
            <w:vAlign w:val="center"/>
            <w:hideMark/>
          </w:tcPr>
          <w:p w14:paraId="20B878BA" w14:textId="5CF87AA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94" w:type="dxa"/>
            <w:tcBorders>
              <w:top w:val="nil"/>
              <w:left w:val="nil"/>
              <w:bottom w:val="nil"/>
              <w:right w:val="nil"/>
            </w:tcBorders>
            <w:shd w:val="clear" w:color="auto" w:fill="auto"/>
            <w:noWrap/>
            <w:vAlign w:val="center"/>
            <w:hideMark/>
          </w:tcPr>
          <w:p w14:paraId="5FFC4DD0" w14:textId="2978BDEE"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92.28</w:t>
            </w:r>
          </w:p>
        </w:tc>
        <w:tc>
          <w:tcPr>
            <w:tcW w:w="794" w:type="dxa"/>
            <w:tcBorders>
              <w:top w:val="nil"/>
              <w:left w:val="nil"/>
              <w:bottom w:val="nil"/>
              <w:right w:val="single" w:sz="4" w:space="0" w:color="auto"/>
            </w:tcBorders>
            <w:shd w:val="clear" w:color="000000" w:fill="F2F2F2"/>
            <w:noWrap/>
            <w:vAlign w:val="center"/>
            <w:hideMark/>
          </w:tcPr>
          <w:p w14:paraId="6D420106" w14:textId="65CDF2D5"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0.38</w:t>
            </w:r>
          </w:p>
        </w:tc>
        <w:tc>
          <w:tcPr>
            <w:tcW w:w="773" w:type="dxa"/>
            <w:tcBorders>
              <w:top w:val="nil"/>
              <w:left w:val="nil"/>
              <w:bottom w:val="nil"/>
              <w:right w:val="nil"/>
            </w:tcBorders>
            <w:shd w:val="clear" w:color="auto" w:fill="auto"/>
            <w:noWrap/>
            <w:vAlign w:val="center"/>
            <w:hideMark/>
          </w:tcPr>
          <w:p w14:paraId="182E2291" w14:textId="2ABCA8F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105.30</w:t>
            </w:r>
          </w:p>
        </w:tc>
        <w:tc>
          <w:tcPr>
            <w:tcW w:w="815" w:type="dxa"/>
            <w:tcBorders>
              <w:top w:val="nil"/>
              <w:left w:val="nil"/>
              <w:bottom w:val="nil"/>
              <w:right w:val="single" w:sz="4" w:space="0" w:color="auto"/>
            </w:tcBorders>
            <w:shd w:val="clear" w:color="000000" w:fill="F2F2F2"/>
            <w:noWrap/>
            <w:vAlign w:val="center"/>
            <w:hideMark/>
          </w:tcPr>
          <w:p w14:paraId="3CF0D0FE" w14:textId="70B719F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794" w:type="dxa"/>
            <w:tcBorders>
              <w:top w:val="nil"/>
              <w:left w:val="nil"/>
              <w:bottom w:val="nil"/>
              <w:right w:val="nil"/>
            </w:tcBorders>
            <w:shd w:val="clear" w:color="auto" w:fill="auto"/>
            <w:noWrap/>
            <w:vAlign w:val="center"/>
            <w:hideMark/>
          </w:tcPr>
          <w:p w14:paraId="7D8E8293" w14:textId="4D811CB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120.57</w:t>
            </w:r>
          </w:p>
        </w:tc>
        <w:tc>
          <w:tcPr>
            <w:tcW w:w="797" w:type="dxa"/>
            <w:tcBorders>
              <w:top w:val="nil"/>
              <w:left w:val="nil"/>
              <w:bottom w:val="nil"/>
              <w:right w:val="single" w:sz="4" w:space="0" w:color="auto"/>
            </w:tcBorders>
            <w:shd w:val="clear" w:color="000000" w:fill="F2F2F2"/>
            <w:noWrap/>
            <w:vAlign w:val="center"/>
            <w:hideMark/>
          </w:tcPr>
          <w:p w14:paraId="5F344D97" w14:textId="0BA3C3D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794" w:type="dxa"/>
            <w:tcBorders>
              <w:top w:val="nil"/>
              <w:left w:val="nil"/>
              <w:bottom w:val="nil"/>
              <w:right w:val="nil"/>
            </w:tcBorders>
            <w:shd w:val="clear" w:color="auto" w:fill="auto"/>
            <w:noWrap/>
            <w:vAlign w:val="center"/>
            <w:hideMark/>
          </w:tcPr>
          <w:p w14:paraId="7491945C" w14:textId="153BF02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106.88</w:t>
            </w:r>
          </w:p>
        </w:tc>
        <w:tc>
          <w:tcPr>
            <w:tcW w:w="794" w:type="dxa"/>
            <w:tcBorders>
              <w:top w:val="nil"/>
              <w:left w:val="nil"/>
              <w:bottom w:val="nil"/>
              <w:right w:val="single" w:sz="4" w:space="0" w:color="auto"/>
            </w:tcBorders>
            <w:shd w:val="clear" w:color="000000" w:fill="F2F2F2"/>
            <w:noWrap/>
            <w:vAlign w:val="center"/>
            <w:hideMark/>
          </w:tcPr>
          <w:p w14:paraId="0FF58CF4" w14:textId="4044A57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nil"/>
              <w:left w:val="nil"/>
              <w:bottom w:val="nil"/>
              <w:right w:val="nil"/>
            </w:tcBorders>
            <w:shd w:val="clear" w:color="auto" w:fill="auto"/>
            <w:noWrap/>
            <w:vAlign w:val="center"/>
            <w:hideMark/>
          </w:tcPr>
          <w:p w14:paraId="5A2D261C" w14:textId="5E651BF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130.48</w:t>
            </w:r>
          </w:p>
        </w:tc>
        <w:tc>
          <w:tcPr>
            <w:tcW w:w="851" w:type="dxa"/>
            <w:tcBorders>
              <w:top w:val="nil"/>
              <w:left w:val="nil"/>
              <w:bottom w:val="nil"/>
              <w:right w:val="single" w:sz="4" w:space="0" w:color="auto"/>
            </w:tcBorders>
            <w:shd w:val="clear" w:color="000000" w:fill="F2F2F2"/>
            <w:noWrap/>
            <w:vAlign w:val="center"/>
            <w:hideMark/>
          </w:tcPr>
          <w:p w14:paraId="111BE63A" w14:textId="63638E9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0.31</w:t>
            </w:r>
          </w:p>
        </w:tc>
        <w:tc>
          <w:tcPr>
            <w:tcW w:w="850" w:type="dxa"/>
            <w:tcBorders>
              <w:top w:val="nil"/>
              <w:left w:val="nil"/>
              <w:bottom w:val="nil"/>
              <w:right w:val="nil"/>
            </w:tcBorders>
            <w:shd w:val="clear" w:color="auto" w:fill="auto"/>
            <w:noWrap/>
            <w:vAlign w:val="center"/>
            <w:hideMark/>
          </w:tcPr>
          <w:p w14:paraId="765C01AE" w14:textId="1D28AE3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127.96</w:t>
            </w:r>
          </w:p>
        </w:tc>
        <w:tc>
          <w:tcPr>
            <w:tcW w:w="709" w:type="dxa"/>
            <w:tcBorders>
              <w:top w:val="nil"/>
              <w:left w:val="nil"/>
              <w:bottom w:val="nil"/>
              <w:right w:val="single" w:sz="4" w:space="0" w:color="auto"/>
            </w:tcBorders>
            <w:shd w:val="clear" w:color="000000" w:fill="F2F2F2"/>
            <w:noWrap/>
            <w:vAlign w:val="center"/>
            <w:hideMark/>
          </w:tcPr>
          <w:p w14:paraId="42B95C68" w14:textId="53473BB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745" w:type="dxa"/>
            <w:tcBorders>
              <w:top w:val="nil"/>
              <w:left w:val="nil"/>
              <w:bottom w:val="nil"/>
              <w:right w:val="nil"/>
            </w:tcBorders>
            <w:shd w:val="clear" w:color="auto" w:fill="auto"/>
            <w:noWrap/>
            <w:vAlign w:val="center"/>
            <w:hideMark/>
          </w:tcPr>
          <w:p w14:paraId="5C1AE6B5" w14:textId="77325C0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140.14</w:t>
            </w:r>
          </w:p>
        </w:tc>
        <w:tc>
          <w:tcPr>
            <w:tcW w:w="794" w:type="dxa"/>
            <w:tcBorders>
              <w:top w:val="nil"/>
              <w:left w:val="nil"/>
              <w:bottom w:val="nil"/>
              <w:right w:val="single" w:sz="4" w:space="0" w:color="auto"/>
            </w:tcBorders>
            <w:shd w:val="clear" w:color="000000" w:fill="F2F2F2"/>
            <w:noWrap/>
            <w:vAlign w:val="center"/>
            <w:hideMark/>
          </w:tcPr>
          <w:p w14:paraId="0F11A14C" w14:textId="12D4DB4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r>
      <w:tr w:rsidR="00AF355D" w:rsidRPr="000B615A" w14:paraId="04953A84" w14:textId="77777777" w:rsidTr="00AF355D">
        <w:trPr>
          <w:trHeight w:val="227"/>
        </w:trPr>
        <w:tc>
          <w:tcPr>
            <w:tcW w:w="1555" w:type="dxa"/>
            <w:tcBorders>
              <w:top w:val="nil"/>
              <w:left w:val="single" w:sz="4" w:space="0" w:color="auto"/>
              <w:right w:val="single" w:sz="4" w:space="0" w:color="auto"/>
            </w:tcBorders>
            <w:shd w:val="clear" w:color="auto" w:fill="auto"/>
            <w:noWrap/>
            <w:vAlign w:val="bottom"/>
            <w:hideMark/>
          </w:tcPr>
          <w:p w14:paraId="7E731BB6"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Other types of debt</w:t>
            </w:r>
          </w:p>
        </w:tc>
        <w:tc>
          <w:tcPr>
            <w:tcW w:w="850" w:type="dxa"/>
            <w:tcBorders>
              <w:top w:val="nil"/>
              <w:left w:val="nil"/>
              <w:right w:val="nil"/>
            </w:tcBorders>
            <w:shd w:val="clear" w:color="auto" w:fill="auto"/>
            <w:noWrap/>
            <w:vAlign w:val="center"/>
            <w:hideMark/>
          </w:tcPr>
          <w:p w14:paraId="20FB171F" w14:textId="211E9B3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108.56</w:t>
            </w:r>
          </w:p>
        </w:tc>
        <w:tc>
          <w:tcPr>
            <w:tcW w:w="851" w:type="dxa"/>
            <w:tcBorders>
              <w:top w:val="nil"/>
              <w:left w:val="nil"/>
              <w:right w:val="single" w:sz="4" w:space="0" w:color="auto"/>
            </w:tcBorders>
            <w:shd w:val="clear" w:color="000000" w:fill="F2F2F2"/>
            <w:noWrap/>
            <w:vAlign w:val="center"/>
            <w:hideMark/>
          </w:tcPr>
          <w:p w14:paraId="5BB2B96E" w14:textId="54A4963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814" w:type="dxa"/>
            <w:tcBorders>
              <w:top w:val="nil"/>
              <w:left w:val="nil"/>
              <w:right w:val="nil"/>
            </w:tcBorders>
            <w:shd w:val="clear" w:color="auto" w:fill="auto"/>
            <w:noWrap/>
            <w:vAlign w:val="center"/>
            <w:hideMark/>
          </w:tcPr>
          <w:p w14:paraId="7280A180" w14:textId="6970129F"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100.63</w:t>
            </w:r>
          </w:p>
        </w:tc>
        <w:tc>
          <w:tcPr>
            <w:tcW w:w="794" w:type="dxa"/>
            <w:tcBorders>
              <w:top w:val="nil"/>
              <w:left w:val="nil"/>
              <w:right w:val="single" w:sz="4" w:space="0" w:color="auto"/>
            </w:tcBorders>
            <w:shd w:val="clear" w:color="000000" w:fill="F2F2F2"/>
            <w:noWrap/>
            <w:vAlign w:val="center"/>
            <w:hideMark/>
          </w:tcPr>
          <w:p w14:paraId="4BC0A4F5" w14:textId="614C93FF"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0.38</w:t>
            </w:r>
          </w:p>
        </w:tc>
        <w:tc>
          <w:tcPr>
            <w:tcW w:w="794" w:type="dxa"/>
            <w:tcBorders>
              <w:top w:val="nil"/>
              <w:left w:val="nil"/>
              <w:right w:val="nil"/>
            </w:tcBorders>
            <w:shd w:val="clear" w:color="auto" w:fill="auto"/>
            <w:noWrap/>
            <w:vAlign w:val="center"/>
            <w:hideMark/>
          </w:tcPr>
          <w:p w14:paraId="388535C7" w14:textId="3107B790"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92.48</w:t>
            </w:r>
          </w:p>
        </w:tc>
        <w:tc>
          <w:tcPr>
            <w:tcW w:w="794" w:type="dxa"/>
            <w:tcBorders>
              <w:top w:val="nil"/>
              <w:left w:val="nil"/>
              <w:right w:val="single" w:sz="4" w:space="0" w:color="auto"/>
            </w:tcBorders>
            <w:shd w:val="clear" w:color="000000" w:fill="F2F2F2"/>
            <w:noWrap/>
            <w:vAlign w:val="center"/>
            <w:hideMark/>
          </w:tcPr>
          <w:p w14:paraId="696CE6E9" w14:textId="4CDBB14C"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0.38</w:t>
            </w:r>
          </w:p>
        </w:tc>
        <w:tc>
          <w:tcPr>
            <w:tcW w:w="773" w:type="dxa"/>
            <w:tcBorders>
              <w:top w:val="nil"/>
              <w:left w:val="nil"/>
              <w:right w:val="nil"/>
            </w:tcBorders>
            <w:shd w:val="clear" w:color="auto" w:fill="auto"/>
            <w:noWrap/>
            <w:vAlign w:val="center"/>
            <w:hideMark/>
          </w:tcPr>
          <w:p w14:paraId="11E36DC3" w14:textId="25504D8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105.81</w:t>
            </w:r>
          </w:p>
        </w:tc>
        <w:tc>
          <w:tcPr>
            <w:tcW w:w="815" w:type="dxa"/>
            <w:tcBorders>
              <w:top w:val="nil"/>
              <w:left w:val="nil"/>
              <w:right w:val="single" w:sz="4" w:space="0" w:color="auto"/>
            </w:tcBorders>
            <w:shd w:val="clear" w:color="000000" w:fill="F2F2F2"/>
            <w:noWrap/>
            <w:vAlign w:val="center"/>
            <w:hideMark/>
          </w:tcPr>
          <w:p w14:paraId="5CF681A5" w14:textId="4C7C7AE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794" w:type="dxa"/>
            <w:tcBorders>
              <w:top w:val="nil"/>
              <w:left w:val="nil"/>
              <w:right w:val="nil"/>
            </w:tcBorders>
            <w:shd w:val="clear" w:color="auto" w:fill="auto"/>
            <w:noWrap/>
            <w:vAlign w:val="center"/>
            <w:hideMark/>
          </w:tcPr>
          <w:p w14:paraId="77D86C6E" w14:textId="6B598110"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121.24</w:t>
            </w:r>
          </w:p>
        </w:tc>
        <w:tc>
          <w:tcPr>
            <w:tcW w:w="797" w:type="dxa"/>
            <w:tcBorders>
              <w:top w:val="nil"/>
              <w:left w:val="nil"/>
              <w:right w:val="single" w:sz="4" w:space="0" w:color="auto"/>
            </w:tcBorders>
            <w:shd w:val="clear" w:color="000000" w:fill="F2F2F2"/>
            <w:noWrap/>
            <w:vAlign w:val="center"/>
            <w:hideMark/>
          </w:tcPr>
          <w:p w14:paraId="44C4C1D4" w14:textId="54D127AF"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0.31</w:t>
            </w:r>
          </w:p>
        </w:tc>
        <w:tc>
          <w:tcPr>
            <w:tcW w:w="794" w:type="dxa"/>
            <w:tcBorders>
              <w:top w:val="nil"/>
              <w:left w:val="nil"/>
              <w:right w:val="nil"/>
            </w:tcBorders>
            <w:shd w:val="clear" w:color="auto" w:fill="auto"/>
            <w:noWrap/>
            <w:vAlign w:val="center"/>
            <w:hideMark/>
          </w:tcPr>
          <w:p w14:paraId="4B4CC43F" w14:textId="63A131F5"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107.13</w:t>
            </w:r>
          </w:p>
        </w:tc>
        <w:tc>
          <w:tcPr>
            <w:tcW w:w="794" w:type="dxa"/>
            <w:tcBorders>
              <w:top w:val="nil"/>
              <w:left w:val="nil"/>
              <w:right w:val="single" w:sz="4" w:space="0" w:color="auto"/>
            </w:tcBorders>
            <w:shd w:val="clear" w:color="000000" w:fill="F2F2F2"/>
            <w:noWrap/>
            <w:vAlign w:val="center"/>
            <w:hideMark/>
          </w:tcPr>
          <w:p w14:paraId="5B1183BF" w14:textId="24A3929A"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0.37</w:t>
            </w:r>
          </w:p>
        </w:tc>
        <w:tc>
          <w:tcPr>
            <w:tcW w:w="825" w:type="dxa"/>
            <w:tcBorders>
              <w:top w:val="nil"/>
              <w:left w:val="nil"/>
              <w:right w:val="nil"/>
            </w:tcBorders>
            <w:shd w:val="clear" w:color="auto" w:fill="auto"/>
            <w:noWrap/>
            <w:vAlign w:val="center"/>
            <w:hideMark/>
          </w:tcPr>
          <w:p w14:paraId="49F80E94" w14:textId="417B2D3E"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130.95</w:t>
            </w:r>
          </w:p>
        </w:tc>
        <w:tc>
          <w:tcPr>
            <w:tcW w:w="851" w:type="dxa"/>
            <w:tcBorders>
              <w:top w:val="nil"/>
              <w:left w:val="nil"/>
              <w:right w:val="single" w:sz="4" w:space="0" w:color="auto"/>
            </w:tcBorders>
            <w:shd w:val="clear" w:color="000000" w:fill="F2F2F2"/>
            <w:noWrap/>
            <w:vAlign w:val="center"/>
            <w:hideMark/>
          </w:tcPr>
          <w:p w14:paraId="4C541596" w14:textId="2A055818"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0.31</w:t>
            </w:r>
          </w:p>
        </w:tc>
        <w:tc>
          <w:tcPr>
            <w:tcW w:w="850" w:type="dxa"/>
            <w:tcBorders>
              <w:top w:val="nil"/>
              <w:left w:val="nil"/>
              <w:right w:val="nil"/>
            </w:tcBorders>
            <w:shd w:val="clear" w:color="auto" w:fill="auto"/>
            <w:noWrap/>
            <w:vAlign w:val="center"/>
            <w:hideMark/>
          </w:tcPr>
          <w:p w14:paraId="50CD02D1" w14:textId="77AAD335"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128.20</w:t>
            </w:r>
          </w:p>
        </w:tc>
        <w:tc>
          <w:tcPr>
            <w:tcW w:w="709" w:type="dxa"/>
            <w:tcBorders>
              <w:top w:val="nil"/>
              <w:left w:val="nil"/>
              <w:right w:val="single" w:sz="4" w:space="0" w:color="auto"/>
            </w:tcBorders>
            <w:shd w:val="clear" w:color="000000" w:fill="F2F2F2"/>
            <w:noWrap/>
            <w:vAlign w:val="center"/>
            <w:hideMark/>
          </w:tcPr>
          <w:p w14:paraId="63F1F845" w14:textId="0B166CE5"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0.33</w:t>
            </w:r>
          </w:p>
        </w:tc>
        <w:tc>
          <w:tcPr>
            <w:tcW w:w="745" w:type="dxa"/>
            <w:tcBorders>
              <w:top w:val="nil"/>
              <w:left w:val="nil"/>
              <w:right w:val="nil"/>
            </w:tcBorders>
            <w:shd w:val="clear" w:color="auto" w:fill="auto"/>
            <w:noWrap/>
            <w:vAlign w:val="center"/>
            <w:hideMark/>
          </w:tcPr>
          <w:p w14:paraId="54CE61EE" w14:textId="4DE45DE0"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140.54</w:t>
            </w:r>
          </w:p>
        </w:tc>
        <w:tc>
          <w:tcPr>
            <w:tcW w:w="794" w:type="dxa"/>
            <w:tcBorders>
              <w:top w:val="nil"/>
              <w:left w:val="nil"/>
              <w:right w:val="single" w:sz="4" w:space="0" w:color="auto"/>
            </w:tcBorders>
            <w:shd w:val="clear" w:color="000000" w:fill="F2F2F2"/>
            <w:noWrap/>
            <w:vAlign w:val="center"/>
            <w:hideMark/>
          </w:tcPr>
          <w:p w14:paraId="0C8FD2C3" w14:textId="0559562B"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0.33</w:t>
            </w:r>
          </w:p>
        </w:tc>
      </w:tr>
      <w:tr w:rsidR="000B615A" w:rsidRPr="000B615A" w14:paraId="6916FE5C" w14:textId="77777777" w:rsidTr="000B615A">
        <w:trPr>
          <w:trHeight w:val="2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BF28BDA" w14:textId="77777777" w:rsidR="000B615A" w:rsidRPr="000B615A" w:rsidRDefault="000B615A" w:rsidP="000B615A">
            <w:pPr>
              <w:spacing w:after="0" w:line="240" w:lineRule="auto"/>
              <w:ind w:firstLine="0"/>
              <w:jc w:val="righ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N</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21BAA60"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9,863</w:t>
            </w:r>
          </w:p>
          <w:p w14:paraId="52EC2959" w14:textId="25C197ED" w:rsidR="000B615A" w:rsidRPr="00AF355D" w:rsidRDefault="000B615A" w:rsidP="000B615A">
            <w:pPr>
              <w:spacing w:after="0" w:line="240" w:lineRule="auto"/>
              <w:ind w:firstLine="0"/>
              <w:jc w:val="center"/>
              <w:rPr>
                <w:color w:val="000000"/>
                <w:sz w:val="19"/>
                <w:szCs w:val="19"/>
              </w:rPr>
            </w:pPr>
          </w:p>
        </w:tc>
        <w:tc>
          <w:tcPr>
            <w:tcW w:w="1608" w:type="dxa"/>
            <w:gridSpan w:val="2"/>
            <w:tcBorders>
              <w:top w:val="nil"/>
              <w:left w:val="nil"/>
              <w:bottom w:val="single" w:sz="4" w:space="0" w:color="auto"/>
              <w:right w:val="single" w:sz="4" w:space="0" w:color="auto"/>
            </w:tcBorders>
            <w:shd w:val="clear" w:color="auto" w:fill="auto"/>
            <w:noWrap/>
            <w:vAlign w:val="center"/>
            <w:hideMark/>
          </w:tcPr>
          <w:p w14:paraId="7668BF22"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12,069</w:t>
            </w:r>
          </w:p>
          <w:p w14:paraId="48FB1E9D" w14:textId="03181FA4" w:rsidR="000B615A" w:rsidRPr="00AF355D" w:rsidRDefault="000B615A" w:rsidP="000B615A">
            <w:pPr>
              <w:spacing w:after="0" w:line="240" w:lineRule="auto"/>
              <w:ind w:firstLine="0"/>
              <w:jc w:val="center"/>
              <w:rPr>
                <w:color w:val="000000"/>
                <w:sz w:val="19"/>
                <w:szCs w:val="19"/>
              </w:rPr>
            </w:pPr>
          </w:p>
        </w:tc>
        <w:tc>
          <w:tcPr>
            <w:tcW w:w="1588" w:type="dxa"/>
            <w:gridSpan w:val="2"/>
            <w:tcBorders>
              <w:top w:val="nil"/>
              <w:left w:val="nil"/>
              <w:bottom w:val="single" w:sz="4" w:space="0" w:color="auto"/>
              <w:right w:val="single" w:sz="4" w:space="0" w:color="auto"/>
            </w:tcBorders>
            <w:shd w:val="clear" w:color="auto" w:fill="auto"/>
            <w:noWrap/>
            <w:vAlign w:val="center"/>
            <w:hideMark/>
          </w:tcPr>
          <w:p w14:paraId="5165F3EF"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13,778</w:t>
            </w:r>
          </w:p>
          <w:p w14:paraId="64D23A5C" w14:textId="31CA35FD" w:rsidR="000B615A" w:rsidRPr="00AF355D" w:rsidRDefault="000B615A" w:rsidP="000B615A">
            <w:pPr>
              <w:spacing w:after="0" w:line="240" w:lineRule="auto"/>
              <w:ind w:firstLine="0"/>
              <w:jc w:val="center"/>
              <w:rPr>
                <w:color w:val="000000"/>
                <w:sz w:val="19"/>
                <w:szCs w:val="19"/>
              </w:rPr>
            </w:pPr>
          </w:p>
        </w:tc>
        <w:tc>
          <w:tcPr>
            <w:tcW w:w="1588" w:type="dxa"/>
            <w:gridSpan w:val="2"/>
            <w:tcBorders>
              <w:top w:val="nil"/>
              <w:left w:val="nil"/>
              <w:bottom w:val="single" w:sz="4" w:space="0" w:color="auto"/>
              <w:right w:val="single" w:sz="4" w:space="0" w:color="auto"/>
            </w:tcBorders>
            <w:shd w:val="clear" w:color="auto" w:fill="auto"/>
            <w:noWrap/>
            <w:vAlign w:val="center"/>
            <w:hideMark/>
          </w:tcPr>
          <w:p w14:paraId="016DFE49"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13,914</w:t>
            </w:r>
          </w:p>
          <w:p w14:paraId="7015C6A4" w14:textId="17A387A9" w:rsidR="000B615A" w:rsidRPr="00AF355D" w:rsidRDefault="000B615A" w:rsidP="000B615A">
            <w:pPr>
              <w:spacing w:after="0" w:line="240" w:lineRule="auto"/>
              <w:ind w:firstLine="0"/>
              <w:jc w:val="center"/>
              <w:rPr>
                <w:color w:val="000000"/>
                <w:sz w:val="19"/>
                <w:szCs w:val="19"/>
              </w:rPr>
            </w:pPr>
          </w:p>
        </w:tc>
        <w:tc>
          <w:tcPr>
            <w:tcW w:w="1591" w:type="dxa"/>
            <w:gridSpan w:val="2"/>
            <w:tcBorders>
              <w:top w:val="nil"/>
              <w:left w:val="nil"/>
              <w:bottom w:val="single" w:sz="4" w:space="0" w:color="auto"/>
              <w:right w:val="single" w:sz="4" w:space="0" w:color="auto"/>
            </w:tcBorders>
            <w:shd w:val="clear" w:color="auto" w:fill="auto"/>
            <w:noWrap/>
            <w:vAlign w:val="center"/>
            <w:hideMark/>
          </w:tcPr>
          <w:p w14:paraId="75DB706C"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14,239</w:t>
            </w:r>
          </w:p>
          <w:p w14:paraId="0E727F03" w14:textId="712B380F" w:rsidR="000B615A" w:rsidRPr="00AF355D" w:rsidRDefault="000B615A" w:rsidP="000B615A">
            <w:pPr>
              <w:spacing w:after="0" w:line="240" w:lineRule="auto"/>
              <w:ind w:firstLine="0"/>
              <w:jc w:val="center"/>
              <w:rPr>
                <w:color w:val="000000"/>
                <w:sz w:val="19"/>
                <w:szCs w:val="19"/>
              </w:rPr>
            </w:pPr>
          </w:p>
        </w:tc>
        <w:tc>
          <w:tcPr>
            <w:tcW w:w="1588" w:type="dxa"/>
            <w:gridSpan w:val="2"/>
            <w:tcBorders>
              <w:top w:val="nil"/>
              <w:left w:val="nil"/>
              <w:bottom w:val="single" w:sz="4" w:space="0" w:color="auto"/>
              <w:right w:val="single" w:sz="4" w:space="0" w:color="auto"/>
            </w:tcBorders>
            <w:shd w:val="clear" w:color="auto" w:fill="auto"/>
            <w:noWrap/>
            <w:vAlign w:val="center"/>
            <w:hideMark/>
          </w:tcPr>
          <w:p w14:paraId="673C6CBF"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14,564</w:t>
            </w:r>
          </w:p>
          <w:p w14:paraId="597F4C43" w14:textId="0682D7F1" w:rsidR="000B615A" w:rsidRPr="00AF355D" w:rsidRDefault="000B615A" w:rsidP="000B615A">
            <w:pPr>
              <w:spacing w:after="0" w:line="240" w:lineRule="auto"/>
              <w:ind w:firstLine="0"/>
              <w:jc w:val="center"/>
              <w:rPr>
                <w:color w:val="000000"/>
                <w:sz w:val="19"/>
                <w:szCs w:val="19"/>
              </w:rPr>
            </w:pPr>
          </w:p>
        </w:tc>
        <w:tc>
          <w:tcPr>
            <w:tcW w:w="1676" w:type="dxa"/>
            <w:gridSpan w:val="2"/>
            <w:tcBorders>
              <w:top w:val="nil"/>
              <w:left w:val="nil"/>
              <w:bottom w:val="single" w:sz="4" w:space="0" w:color="auto"/>
              <w:right w:val="single" w:sz="4" w:space="0" w:color="auto"/>
            </w:tcBorders>
            <w:shd w:val="clear" w:color="auto" w:fill="auto"/>
            <w:noWrap/>
            <w:vAlign w:val="center"/>
            <w:hideMark/>
          </w:tcPr>
          <w:p w14:paraId="2F2BED43"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14,416</w:t>
            </w:r>
          </w:p>
          <w:p w14:paraId="039D8CB2" w14:textId="66D19E62" w:rsidR="000B615A" w:rsidRPr="00AF355D" w:rsidRDefault="000B615A" w:rsidP="000B615A">
            <w:pPr>
              <w:spacing w:after="0" w:line="240" w:lineRule="auto"/>
              <w:ind w:firstLine="0"/>
              <w:jc w:val="center"/>
              <w:rPr>
                <w:color w:val="000000"/>
                <w:sz w:val="19"/>
                <w:szCs w:val="19"/>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52CE44D"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21,710</w:t>
            </w:r>
          </w:p>
          <w:p w14:paraId="4E2B40C9" w14:textId="0FE18429" w:rsidR="000B615A" w:rsidRPr="00AF355D" w:rsidRDefault="000B615A" w:rsidP="000B615A">
            <w:pPr>
              <w:spacing w:after="0" w:line="240" w:lineRule="auto"/>
              <w:ind w:firstLine="0"/>
              <w:jc w:val="center"/>
              <w:rPr>
                <w:color w:val="000000"/>
                <w:sz w:val="19"/>
                <w:szCs w:val="19"/>
              </w:rPr>
            </w:pPr>
          </w:p>
        </w:tc>
        <w:tc>
          <w:tcPr>
            <w:tcW w:w="1539" w:type="dxa"/>
            <w:gridSpan w:val="2"/>
            <w:tcBorders>
              <w:top w:val="nil"/>
              <w:left w:val="nil"/>
              <w:bottom w:val="single" w:sz="4" w:space="0" w:color="auto"/>
              <w:right w:val="single" w:sz="4" w:space="0" w:color="auto"/>
            </w:tcBorders>
            <w:shd w:val="clear" w:color="auto" w:fill="auto"/>
            <w:noWrap/>
            <w:vAlign w:val="center"/>
            <w:hideMark/>
          </w:tcPr>
          <w:p w14:paraId="7D0FA2E7" w14:textId="77777777" w:rsidR="00AF355D" w:rsidRPr="00AF355D" w:rsidRDefault="00AF355D" w:rsidP="00AF355D">
            <w:pPr>
              <w:spacing w:after="0" w:line="240" w:lineRule="auto"/>
              <w:ind w:firstLine="0"/>
              <w:jc w:val="center"/>
              <w:rPr>
                <w:color w:val="000000"/>
                <w:sz w:val="19"/>
                <w:szCs w:val="19"/>
              </w:rPr>
            </w:pPr>
            <w:r w:rsidRPr="00AF355D">
              <w:rPr>
                <w:color w:val="000000"/>
                <w:sz w:val="19"/>
                <w:szCs w:val="19"/>
              </w:rPr>
              <w:t>19,802</w:t>
            </w:r>
          </w:p>
          <w:p w14:paraId="6C613ABB" w14:textId="208A59EE" w:rsidR="000B615A" w:rsidRPr="00AF355D" w:rsidRDefault="000B615A" w:rsidP="000B615A">
            <w:pPr>
              <w:spacing w:after="0" w:line="240" w:lineRule="auto"/>
              <w:ind w:firstLine="0"/>
              <w:jc w:val="center"/>
              <w:rPr>
                <w:color w:val="000000"/>
                <w:sz w:val="19"/>
                <w:szCs w:val="19"/>
              </w:rPr>
            </w:pPr>
          </w:p>
        </w:tc>
      </w:tr>
      <w:tr w:rsidR="000B615A" w:rsidRPr="000B615A" w14:paraId="6849ECD6" w14:textId="77777777" w:rsidTr="000B615A">
        <w:trPr>
          <w:trHeight w:val="227"/>
        </w:trPr>
        <w:tc>
          <w:tcPr>
            <w:tcW w:w="1599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8F4F3" w14:textId="77777777" w:rsidR="000B615A" w:rsidRPr="000B615A" w:rsidRDefault="000B615A" w:rsidP="000B615A">
            <w:pPr>
              <w:spacing w:before="80" w:after="2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b/>
                <w:bCs/>
                <w:color w:val="000000"/>
                <w:sz w:val="19"/>
                <w:szCs w:val="19"/>
              </w:rPr>
              <w:t>Leverage measures</w:t>
            </w:r>
          </w:p>
        </w:tc>
      </w:tr>
      <w:tr w:rsidR="00AF355D" w:rsidRPr="000B615A" w14:paraId="1E72A88C" w14:textId="77777777" w:rsidTr="00AF355D">
        <w:trPr>
          <w:trHeight w:val="227"/>
        </w:trPr>
        <w:tc>
          <w:tcPr>
            <w:tcW w:w="1555" w:type="dxa"/>
            <w:tcBorders>
              <w:top w:val="single" w:sz="4" w:space="0" w:color="auto"/>
              <w:left w:val="single" w:sz="4" w:space="0" w:color="auto"/>
              <w:bottom w:val="nil"/>
              <w:right w:val="single" w:sz="4" w:space="0" w:color="auto"/>
            </w:tcBorders>
            <w:shd w:val="clear" w:color="auto" w:fill="auto"/>
            <w:noWrap/>
            <w:vAlign w:val="bottom"/>
            <w:hideMark/>
          </w:tcPr>
          <w:p w14:paraId="770FB06B"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 xml:space="preserve">Debt-service-to-income ratio </w:t>
            </w:r>
          </w:p>
        </w:tc>
        <w:tc>
          <w:tcPr>
            <w:tcW w:w="850" w:type="dxa"/>
            <w:tcBorders>
              <w:top w:val="single" w:sz="4" w:space="0" w:color="auto"/>
              <w:left w:val="nil"/>
              <w:bottom w:val="nil"/>
              <w:right w:val="nil"/>
            </w:tcBorders>
            <w:shd w:val="clear" w:color="auto" w:fill="auto"/>
            <w:noWrap/>
            <w:vAlign w:val="center"/>
            <w:hideMark/>
          </w:tcPr>
          <w:p w14:paraId="2FF0018B" w14:textId="42FA46A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102.76</w:t>
            </w:r>
          </w:p>
        </w:tc>
        <w:tc>
          <w:tcPr>
            <w:tcW w:w="851" w:type="dxa"/>
            <w:tcBorders>
              <w:top w:val="single" w:sz="4" w:space="0" w:color="auto"/>
              <w:left w:val="nil"/>
              <w:bottom w:val="nil"/>
              <w:right w:val="single" w:sz="4" w:space="0" w:color="auto"/>
            </w:tcBorders>
            <w:shd w:val="clear" w:color="000000" w:fill="F2F2F2"/>
            <w:noWrap/>
            <w:vAlign w:val="center"/>
            <w:hideMark/>
          </w:tcPr>
          <w:p w14:paraId="2577F0F6" w14:textId="1C51AB6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0.37</w:t>
            </w:r>
          </w:p>
        </w:tc>
        <w:tc>
          <w:tcPr>
            <w:tcW w:w="814" w:type="dxa"/>
            <w:tcBorders>
              <w:top w:val="single" w:sz="4" w:space="0" w:color="auto"/>
              <w:left w:val="nil"/>
              <w:bottom w:val="nil"/>
              <w:right w:val="nil"/>
            </w:tcBorders>
            <w:shd w:val="clear" w:color="auto" w:fill="auto"/>
            <w:noWrap/>
            <w:vAlign w:val="center"/>
            <w:hideMark/>
          </w:tcPr>
          <w:p w14:paraId="0563E171" w14:textId="170C1E6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95.30</w:t>
            </w:r>
          </w:p>
        </w:tc>
        <w:tc>
          <w:tcPr>
            <w:tcW w:w="794" w:type="dxa"/>
            <w:tcBorders>
              <w:top w:val="single" w:sz="4" w:space="0" w:color="auto"/>
              <w:left w:val="nil"/>
              <w:bottom w:val="nil"/>
              <w:right w:val="single" w:sz="4" w:space="0" w:color="auto"/>
            </w:tcBorders>
            <w:shd w:val="clear" w:color="000000" w:fill="F2F2F2"/>
            <w:noWrap/>
            <w:vAlign w:val="center"/>
            <w:hideMark/>
          </w:tcPr>
          <w:p w14:paraId="63CC57E2" w14:textId="35DFA0EC"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0.40</w:t>
            </w:r>
          </w:p>
        </w:tc>
        <w:tc>
          <w:tcPr>
            <w:tcW w:w="794" w:type="dxa"/>
            <w:tcBorders>
              <w:top w:val="single" w:sz="4" w:space="0" w:color="auto"/>
              <w:left w:val="nil"/>
              <w:bottom w:val="nil"/>
              <w:right w:val="nil"/>
            </w:tcBorders>
            <w:shd w:val="clear" w:color="auto" w:fill="auto"/>
            <w:noWrap/>
            <w:vAlign w:val="center"/>
            <w:hideMark/>
          </w:tcPr>
          <w:p w14:paraId="31545CE8" w14:textId="6743AE1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89.35</w:t>
            </w:r>
          </w:p>
        </w:tc>
        <w:tc>
          <w:tcPr>
            <w:tcW w:w="794" w:type="dxa"/>
            <w:tcBorders>
              <w:top w:val="single" w:sz="4" w:space="0" w:color="auto"/>
              <w:left w:val="nil"/>
              <w:bottom w:val="nil"/>
              <w:right w:val="single" w:sz="4" w:space="0" w:color="auto"/>
            </w:tcBorders>
            <w:shd w:val="clear" w:color="000000" w:fill="F2F2F2"/>
            <w:noWrap/>
            <w:vAlign w:val="center"/>
            <w:hideMark/>
          </w:tcPr>
          <w:p w14:paraId="0C7D0807" w14:textId="19B8D0B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0.40</w:t>
            </w:r>
          </w:p>
        </w:tc>
        <w:tc>
          <w:tcPr>
            <w:tcW w:w="773" w:type="dxa"/>
            <w:tcBorders>
              <w:top w:val="single" w:sz="4" w:space="0" w:color="auto"/>
              <w:left w:val="nil"/>
              <w:bottom w:val="nil"/>
              <w:right w:val="nil"/>
            </w:tcBorders>
            <w:shd w:val="clear" w:color="auto" w:fill="auto"/>
            <w:noWrap/>
            <w:vAlign w:val="center"/>
            <w:hideMark/>
          </w:tcPr>
          <w:p w14:paraId="33A99C8E" w14:textId="474573E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100.56</w:t>
            </w:r>
          </w:p>
        </w:tc>
        <w:tc>
          <w:tcPr>
            <w:tcW w:w="815" w:type="dxa"/>
            <w:tcBorders>
              <w:top w:val="single" w:sz="4" w:space="0" w:color="auto"/>
              <w:left w:val="nil"/>
              <w:bottom w:val="nil"/>
              <w:right w:val="single" w:sz="4" w:space="0" w:color="auto"/>
            </w:tcBorders>
            <w:shd w:val="clear" w:color="000000" w:fill="F2F2F2"/>
            <w:noWrap/>
            <w:vAlign w:val="center"/>
            <w:hideMark/>
          </w:tcPr>
          <w:p w14:paraId="0CE7CD47" w14:textId="0BDFF3E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0.37</w:t>
            </w:r>
          </w:p>
        </w:tc>
        <w:tc>
          <w:tcPr>
            <w:tcW w:w="794" w:type="dxa"/>
            <w:tcBorders>
              <w:top w:val="single" w:sz="4" w:space="0" w:color="auto"/>
              <w:left w:val="nil"/>
              <w:bottom w:val="nil"/>
              <w:right w:val="nil"/>
            </w:tcBorders>
            <w:shd w:val="clear" w:color="auto" w:fill="auto"/>
            <w:noWrap/>
            <w:vAlign w:val="center"/>
            <w:hideMark/>
          </w:tcPr>
          <w:p w14:paraId="33BAE087" w14:textId="183ED3E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118.68</w:t>
            </w:r>
          </w:p>
        </w:tc>
        <w:tc>
          <w:tcPr>
            <w:tcW w:w="797" w:type="dxa"/>
            <w:tcBorders>
              <w:top w:val="single" w:sz="4" w:space="0" w:color="auto"/>
              <w:left w:val="nil"/>
              <w:bottom w:val="nil"/>
              <w:right w:val="single" w:sz="4" w:space="0" w:color="auto"/>
            </w:tcBorders>
            <w:shd w:val="clear" w:color="000000" w:fill="F2F2F2"/>
            <w:noWrap/>
            <w:vAlign w:val="center"/>
            <w:hideMark/>
          </w:tcPr>
          <w:p w14:paraId="23447CAD" w14:textId="554E1BD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794" w:type="dxa"/>
            <w:tcBorders>
              <w:top w:val="single" w:sz="4" w:space="0" w:color="auto"/>
              <w:left w:val="nil"/>
              <w:bottom w:val="nil"/>
              <w:right w:val="nil"/>
            </w:tcBorders>
            <w:shd w:val="clear" w:color="auto" w:fill="auto"/>
            <w:noWrap/>
            <w:vAlign w:val="center"/>
            <w:hideMark/>
          </w:tcPr>
          <w:p w14:paraId="156FC654" w14:textId="5FB8032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105.72</w:t>
            </w:r>
          </w:p>
        </w:tc>
        <w:tc>
          <w:tcPr>
            <w:tcW w:w="794" w:type="dxa"/>
            <w:tcBorders>
              <w:top w:val="single" w:sz="4" w:space="0" w:color="auto"/>
              <w:left w:val="nil"/>
              <w:bottom w:val="nil"/>
              <w:right w:val="single" w:sz="4" w:space="0" w:color="auto"/>
            </w:tcBorders>
            <w:shd w:val="clear" w:color="000000" w:fill="F2F2F2"/>
            <w:noWrap/>
            <w:vAlign w:val="center"/>
            <w:hideMark/>
          </w:tcPr>
          <w:p w14:paraId="7C1830F2" w14:textId="7D8F2BD7"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single" w:sz="4" w:space="0" w:color="auto"/>
              <w:left w:val="nil"/>
              <w:bottom w:val="nil"/>
              <w:right w:val="nil"/>
            </w:tcBorders>
            <w:shd w:val="clear" w:color="auto" w:fill="auto"/>
            <w:noWrap/>
            <w:vAlign w:val="center"/>
            <w:hideMark/>
          </w:tcPr>
          <w:p w14:paraId="471AA91A" w14:textId="0F81D21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125.11</w:t>
            </w:r>
          </w:p>
        </w:tc>
        <w:tc>
          <w:tcPr>
            <w:tcW w:w="851" w:type="dxa"/>
            <w:tcBorders>
              <w:top w:val="single" w:sz="4" w:space="0" w:color="auto"/>
              <w:left w:val="nil"/>
              <w:bottom w:val="nil"/>
              <w:right w:val="single" w:sz="4" w:space="0" w:color="auto"/>
            </w:tcBorders>
            <w:shd w:val="clear" w:color="000000" w:fill="F2F2F2"/>
            <w:noWrap/>
            <w:vAlign w:val="center"/>
            <w:hideMark/>
          </w:tcPr>
          <w:p w14:paraId="64D62794" w14:textId="6527272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850" w:type="dxa"/>
            <w:tcBorders>
              <w:top w:val="single" w:sz="4" w:space="0" w:color="auto"/>
              <w:left w:val="nil"/>
              <w:bottom w:val="nil"/>
              <w:right w:val="nil"/>
            </w:tcBorders>
            <w:shd w:val="clear" w:color="auto" w:fill="auto"/>
            <w:noWrap/>
            <w:vAlign w:val="center"/>
            <w:hideMark/>
          </w:tcPr>
          <w:p w14:paraId="06B95081" w14:textId="3BABAB7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125.33</w:t>
            </w:r>
          </w:p>
        </w:tc>
        <w:tc>
          <w:tcPr>
            <w:tcW w:w="709" w:type="dxa"/>
            <w:tcBorders>
              <w:top w:val="single" w:sz="4" w:space="0" w:color="auto"/>
              <w:left w:val="nil"/>
              <w:bottom w:val="nil"/>
              <w:right w:val="single" w:sz="4" w:space="0" w:color="auto"/>
            </w:tcBorders>
            <w:shd w:val="clear" w:color="000000" w:fill="F2F2F2"/>
            <w:noWrap/>
            <w:vAlign w:val="center"/>
            <w:hideMark/>
          </w:tcPr>
          <w:p w14:paraId="0E522262" w14:textId="201D282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745" w:type="dxa"/>
            <w:tcBorders>
              <w:top w:val="single" w:sz="4" w:space="0" w:color="auto"/>
              <w:left w:val="nil"/>
              <w:bottom w:val="nil"/>
              <w:right w:val="nil"/>
            </w:tcBorders>
            <w:shd w:val="clear" w:color="auto" w:fill="auto"/>
            <w:noWrap/>
            <w:vAlign w:val="center"/>
            <w:hideMark/>
          </w:tcPr>
          <w:p w14:paraId="7FFDC1F2" w14:textId="4F64F13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134.36</w:t>
            </w:r>
          </w:p>
        </w:tc>
        <w:tc>
          <w:tcPr>
            <w:tcW w:w="794" w:type="dxa"/>
            <w:tcBorders>
              <w:top w:val="single" w:sz="4" w:space="0" w:color="auto"/>
              <w:left w:val="nil"/>
              <w:bottom w:val="nil"/>
              <w:right w:val="single" w:sz="4" w:space="0" w:color="auto"/>
            </w:tcBorders>
            <w:shd w:val="clear" w:color="000000" w:fill="F2F2F2"/>
            <w:noWrap/>
            <w:vAlign w:val="center"/>
            <w:hideMark/>
          </w:tcPr>
          <w:p w14:paraId="45065188" w14:textId="55FF6E81"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r>
      <w:tr w:rsidR="00AF355D" w:rsidRPr="000B615A" w14:paraId="200EECE5"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2FB8CA0B"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Debt-to-asset ratio</w:t>
            </w:r>
          </w:p>
        </w:tc>
        <w:tc>
          <w:tcPr>
            <w:tcW w:w="850" w:type="dxa"/>
            <w:tcBorders>
              <w:top w:val="nil"/>
              <w:left w:val="nil"/>
              <w:bottom w:val="nil"/>
              <w:right w:val="nil"/>
            </w:tcBorders>
            <w:shd w:val="clear" w:color="auto" w:fill="auto"/>
            <w:noWrap/>
            <w:vAlign w:val="center"/>
            <w:hideMark/>
          </w:tcPr>
          <w:p w14:paraId="5F2BD0E6" w14:textId="6B60FD2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103.08</w:t>
            </w:r>
          </w:p>
        </w:tc>
        <w:tc>
          <w:tcPr>
            <w:tcW w:w="851" w:type="dxa"/>
            <w:tcBorders>
              <w:top w:val="nil"/>
              <w:left w:val="nil"/>
              <w:bottom w:val="nil"/>
              <w:right w:val="single" w:sz="4" w:space="0" w:color="auto"/>
            </w:tcBorders>
            <w:shd w:val="clear" w:color="000000" w:fill="F2F2F2"/>
            <w:noWrap/>
            <w:vAlign w:val="center"/>
            <w:hideMark/>
          </w:tcPr>
          <w:p w14:paraId="2EF9FDA5" w14:textId="0B8BA85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c>
          <w:tcPr>
            <w:tcW w:w="814" w:type="dxa"/>
            <w:tcBorders>
              <w:top w:val="nil"/>
              <w:left w:val="nil"/>
              <w:bottom w:val="nil"/>
              <w:right w:val="nil"/>
            </w:tcBorders>
            <w:shd w:val="clear" w:color="auto" w:fill="auto"/>
            <w:noWrap/>
            <w:vAlign w:val="center"/>
            <w:hideMark/>
          </w:tcPr>
          <w:p w14:paraId="4784609B" w14:textId="2B0C1A05"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95.88</w:t>
            </w:r>
          </w:p>
        </w:tc>
        <w:tc>
          <w:tcPr>
            <w:tcW w:w="794" w:type="dxa"/>
            <w:tcBorders>
              <w:top w:val="nil"/>
              <w:left w:val="nil"/>
              <w:bottom w:val="nil"/>
              <w:right w:val="single" w:sz="4" w:space="0" w:color="auto"/>
            </w:tcBorders>
            <w:shd w:val="clear" w:color="000000" w:fill="F2F2F2"/>
            <w:noWrap/>
            <w:vAlign w:val="center"/>
            <w:hideMark/>
          </w:tcPr>
          <w:p w14:paraId="3C7B06F5" w14:textId="11C5BC9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94" w:type="dxa"/>
            <w:tcBorders>
              <w:top w:val="nil"/>
              <w:left w:val="nil"/>
              <w:bottom w:val="nil"/>
              <w:right w:val="nil"/>
            </w:tcBorders>
            <w:shd w:val="clear" w:color="auto" w:fill="auto"/>
            <w:noWrap/>
            <w:vAlign w:val="center"/>
            <w:hideMark/>
          </w:tcPr>
          <w:p w14:paraId="56C6A704" w14:textId="7E591DD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89.50</w:t>
            </w:r>
          </w:p>
        </w:tc>
        <w:tc>
          <w:tcPr>
            <w:tcW w:w="794" w:type="dxa"/>
            <w:tcBorders>
              <w:top w:val="nil"/>
              <w:left w:val="nil"/>
              <w:bottom w:val="nil"/>
              <w:right w:val="single" w:sz="4" w:space="0" w:color="auto"/>
            </w:tcBorders>
            <w:shd w:val="clear" w:color="000000" w:fill="F2F2F2"/>
            <w:noWrap/>
            <w:vAlign w:val="center"/>
            <w:hideMark/>
          </w:tcPr>
          <w:p w14:paraId="1E021F45" w14:textId="00A4CEC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0.40</w:t>
            </w:r>
          </w:p>
        </w:tc>
        <w:tc>
          <w:tcPr>
            <w:tcW w:w="773" w:type="dxa"/>
            <w:tcBorders>
              <w:top w:val="nil"/>
              <w:left w:val="nil"/>
              <w:bottom w:val="nil"/>
              <w:right w:val="nil"/>
            </w:tcBorders>
            <w:shd w:val="clear" w:color="auto" w:fill="auto"/>
            <w:noWrap/>
            <w:vAlign w:val="center"/>
            <w:hideMark/>
          </w:tcPr>
          <w:p w14:paraId="5276533C" w14:textId="12C6045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100.83</w:t>
            </w:r>
          </w:p>
        </w:tc>
        <w:tc>
          <w:tcPr>
            <w:tcW w:w="815" w:type="dxa"/>
            <w:tcBorders>
              <w:top w:val="nil"/>
              <w:left w:val="nil"/>
              <w:bottom w:val="nil"/>
              <w:right w:val="single" w:sz="4" w:space="0" w:color="auto"/>
            </w:tcBorders>
            <w:shd w:val="clear" w:color="000000" w:fill="F2F2F2"/>
            <w:noWrap/>
            <w:vAlign w:val="center"/>
            <w:hideMark/>
          </w:tcPr>
          <w:p w14:paraId="20641557" w14:textId="5A451C39"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c>
          <w:tcPr>
            <w:tcW w:w="794" w:type="dxa"/>
            <w:tcBorders>
              <w:top w:val="nil"/>
              <w:left w:val="nil"/>
              <w:bottom w:val="nil"/>
              <w:right w:val="nil"/>
            </w:tcBorders>
            <w:shd w:val="clear" w:color="auto" w:fill="auto"/>
            <w:noWrap/>
            <w:vAlign w:val="center"/>
            <w:hideMark/>
          </w:tcPr>
          <w:p w14:paraId="3A937DB4" w14:textId="6C00F640"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i/>
                <w:iCs/>
                <w:color w:val="000000"/>
                <w:sz w:val="19"/>
                <w:szCs w:val="19"/>
              </w:rPr>
              <w:t>119.72</w:t>
            </w:r>
          </w:p>
        </w:tc>
        <w:tc>
          <w:tcPr>
            <w:tcW w:w="797" w:type="dxa"/>
            <w:tcBorders>
              <w:top w:val="nil"/>
              <w:left w:val="nil"/>
              <w:bottom w:val="nil"/>
              <w:right w:val="single" w:sz="4" w:space="0" w:color="auto"/>
            </w:tcBorders>
            <w:shd w:val="clear" w:color="000000" w:fill="F2F2F2"/>
            <w:noWrap/>
            <w:vAlign w:val="center"/>
            <w:hideMark/>
          </w:tcPr>
          <w:p w14:paraId="474A26BA" w14:textId="54762A6D"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i/>
                <w:iCs/>
                <w:color w:val="000000"/>
                <w:sz w:val="19"/>
                <w:szCs w:val="19"/>
              </w:rPr>
              <w:t>0.32</w:t>
            </w:r>
          </w:p>
        </w:tc>
        <w:tc>
          <w:tcPr>
            <w:tcW w:w="794" w:type="dxa"/>
            <w:tcBorders>
              <w:top w:val="nil"/>
              <w:left w:val="nil"/>
              <w:bottom w:val="nil"/>
              <w:right w:val="nil"/>
            </w:tcBorders>
            <w:shd w:val="clear" w:color="auto" w:fill="auto"/>
            <w:noWrap/>
            <w:vAlign w:val="center"/>
            <w:hideMark/>
          </w:tcPr>
          <w:p w14:paraId="02BC7A3A" w14:textId="312F3CAF"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106.33</w:t>
            </w:r>
          </w:p>
        </w:tc>
        <w:tc>
          <w:tcPr>
            <w:tcW w:w="794" w:type="dxa"/>
            <w:tcBorders>
              <w:top w:val="nil"/>
              <w:left w:val="nil"/>
              <w:bottom w:val="nil"/>
              <w:right w:val="single" w:sz="4" w:space="0" w:color="auto"/>
            </w:tcBorders>
            <w:shd w:val="clear" w:color="000000" w:fill="F2F2F2"/>
            <w:noWrap/>
            <w:vAlign w:val="center"/>
            <w:hideMark/>
          </w:tcPr>
          <w:p w14:paraId="13A9AF95" w14:textId="03DC55B4"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0.38</w:t>
            </w:r>
          </w:p>
        </w:tc>
        <w:tc>
          <w:tcPr>
            <w:tcW w:w="825" w:type="dxa"/>
            <w:tcBorders>
              <w:top w:val="nil"/>
              <w:left w:val="nil"/>
              <w:bottom w:val="nil"/>
              <w:right w:val="nil"/>
            </w:tcBorders>
            <w:shd w:val="clear" w:color="auto" w:fill="auto"/>
            <w:noWrap/>
            <w:vAlign w:val="center"/>
            <w:hideMark/>
          </w:tcPr>
          <w:p w14:paraId="6FC1968F" w14:textId="7BD9388E"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126.44</w:t>
            </w:r>
          </w:p>
        </w:tc>
        <w:tc>
          <w:tcPr>
            <w:tcW w:w="851" w:type="dxa"/>
            <w:tcBorders>
              <w:top w:val="nil"/>
              <w:left w:val="nil"/>
              <w:bottom w:val="nil"/>
              <w:right w:val="single" w:sz="4" w:space="0" w:color="auto"/>
            </w:tcBorders>
            <w:shd w:val="clear" w:color="000000" w:fill="F2F2F2"/>
            <w:noWrap/>
            <w:vAlign w:val="center"/>
            <w:hideMark/>
          </w:tcPr>
          <w:p w14:paraId="70B9DBF7" w14:textId="718694B2" w:rsidR="00AF355D" w:rsidRPr="00AF355D" w:rsidRDefault="00AF355D" w:rsidP="00AF355D">
            <w:pPr>
              <w:spacing w:after="0" w:line="240" w:lineRule="auto"/>
              <w:ind w:firstLine="0"/>
              <w:jc w:val="center"/>
              <w:rPr>
                <w:rFonts w:eastAsia="Calibri" w:cs="Times New Roman"/>
                <w:color w:val="000000"/>
                <w:sz w:val="19"/>
                <w:szCs w:val="19"/>
              </w:rPr>
            </w:pPr>
            <w:r w:rsidRPr="00AF355D">
              <w:rPr>
                <w:i/>
                <w:iCs/>
                <w:color w:val="000000"/>
                <w:sz w:val="19"/>
                <w:szCs w:val="19"/>
              </w:rPr>
              <w:t>0.32</w:t>
            </w:r>
          </w:p>
        </w:tc>
        <w:tc>
          <w:tcPr>
            <w:tcW w:w="850" w:type="dxa"/>
            <w:tcBorders>
              <w:top w:val="nil"/>
              <w:left w:val="nil"/>
              <w:bottom w:val="nil"/>
              <w:right w:val="nil"/>
            </w:tcBorders>
            <w:shd w:val="clear" w:color="auto" w:fill="auto"/>
            <w:noWrap/>
            <w:vAlign w:val="center"/>
            <w:hideMark/>
          </w:tcPr>
          <w:p w14:paraId="253881DA" w14:textId="4416BCF4"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126.25</w:t>
            </w:r>
          </w:p>
        </w:tc>
        <w:tc>
          <w:tcPr>
            <w:tcW w:w="709" w:type="dxa"/>
            <w:tcBorders>
              <w:top w:val="nil"/>
              <w:left w:val="nil"/>
              <w:bottom w:val="nil"/>
              <w:right w:val="single" w:sz="4" w:space="0" w:color="auto"/>
            </w:tcBorders>
            <w:shd w:val="clear" w:color="000000" w:fill="F2F2F2"/>
            <w:noWrap/>
            <w:vAlign w:val="center"/>
            <w:hideMark/>
          </w:tcPr>
          <w:p w14:paraId="03DA4A10" w14:textId="533B0C73" w:rsidR="00AF355D" w:rsidRPr="00AF355D" w:rsidRDefault="00AF355D" w:rsidP="00AF355D">
            <w:pPr>
              <w:spacing w:after="0" w:line="240" w:lineRule="auto"/>
              <w:ind w:firstLine="0"/>
              <w:jc w:val="center"/>
              <w:rPr>
                <w:rFonts w:eastAsia="Calibri" w:cs="Times New Roman"/>
                <w:i/>
                <w:iCs/>
                <w:color w:val="000000"/>
                <w:sz w:val="19"/>
                <w:szCs w:val="19"/>
              </w:rPr>
            </w:pPr>
            <w:r w:rsidRPr="00AF355D">
              <w:rPr>
                <w:color w:val="000000"/>
                <w:sz w:val="19"/>
                <w:szCs w:val="19"/>
              </w:rPr>
              <w:t>0.33</w:t>
            </w:r>
          </w:p>
        </w:tc>
        <w:tc>
          <w:tcPr>
            <w:tcW w:w="745" w:type="dxa"/>
            <w:tcBorders>
              <w:top w:val="nil"/>
              <w:left w:val="nil"/>
              <w:bottom w:val="nil"/>
              <w:right w:val="nil"/>
            </w:tcBorders>
            <w:shd w:val="clear" w:color="auto" w:fill="auto"/>
            <w:noWrap/>
            <w:vAlign w:val="center"/>
            <w:hideMark/>
          </w:tcPr>
          <w:p w14:paraId="6857EE53" w14:textId="556ABDE6"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135.52</w:t>
            </w:r>
          </w:p>
        </w:tc>
        <w:tc>
          <w:tcPr>
            <w:tcW w:w="794" w:type="dxa"/>
            <w:tcBorders>
              <w:top w:val="nil"/>
              <w:left w:val="nil"/>
              <w:bottom w:val="nil"/>
              <w:right w:val="single" w:sz="4" w:space="0" w:color="auto"/>
            </w:tcBorders>
            <w:shd w:val="clear" w:color="000000" w:fill="F2F2F2"/>
            <w:noWrap/>
            <w:vAlign w:val="center"/>
            <w:hideMark/>
          </w:tcPr>
          <w:p w14:paraId="105ECDEE" w14:textId="6655BC1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r>
      <w:tr w:rsidR="00AF355D" w:rsidRPr="000B615A" w14:paraId="492219DD" w14:textId="77777777" w:rsidTr="00AF355D">
        <w:trPr>
          <w:trHeight w:val="227"/>
        </w:trPr>
        <w:tc>
          <w:tcPr>
            <w:tcW w:w="1555" w:type="dxa"/>
            <w:tcBorders>
              <w:top w:val="nil"/>
              <w:left w:val="single" w:sz="4" w:space="0" w:color="auto"/>
              <w:bottom w:val="nil"/>
              <w:right w:val="single" w:sz="4" w:space="0" w:color="auto"/>
            </w:tcBorders>
            <w:shd w:val="clear" w:color="auto" w:fill="auto"/>
            <w:noWrap/>
            <w:vAlign w:val="bottom"/>
            <w:hideMark/>
          </w:tcPr>
          <w:p w14:paraId="77A2C0F7" w14:textId="77777777" w:rsidR="00AF355D" w:rsidRPr="000B615A" w:rsidRDefault="00AF355D" w:rsidP="00AF355D">
            <w:pPr>
              <w:spacing w:after="0" w:line="240" w:lineRule="auto"/>
              <w:ind w:firstLine="0"/>
              <w:jc w:val="lef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Debt-to-income ratio</w:t>
            </w:r>
          </w:p>
        </w:tc>
        <w:tc>
          <w:tcPr>
            <w:tcW w:w="850" w:type="dxa"/>
            <w:tcBorders>
              <w:top w:val="nil"/>
              <w:left w:val="nil"/>
              <w:bottom w:val="nil"/>
              <w:right w:val="nil"/>
            </w:tcBorders>
            <w:shd w:val="clear" w:color="auto" w:fill="auto"/>
            <w:noWrap/>
            <w:vAlign w:val="center"/>
            <w:hideMark/>
          </w:tcPr>
          <w:p w14:paraId="39D1B147" w14:textId="2C9C59C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102.92</w:t>
            </w:r>
          </w:p>
        </w:tc>
        <w:tc>
          <w:tcPr>
            <w:tcW w:w="851" w:type="dxa"/>
            <w:tcBorders>
              <w:top w:val="nil"/>
              <w:left w:val="nil"/>
              <w:bottom w:val="nil"/>
              <w:right w:val="single" w:sz="4" w:space="0" w:color="auto"/>
            </w:tcBorders>
            <w:shd w:val="clear" w:color="000000" w:fill="F2F2F2"/>
            <w:noWrap/>
            <w:vAlign w:val="center"/>
            <w:hideMark/>
          </w:tcPr>
          <w:p w14:paraId="3C8AB9D9" w14:textId="7F7ECE1E"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0.36</w:t>
            </w:r>
          </w:p>
        </w:tc>
        <w:tc>
          <w:tcPr>
            <w:tcW w:w="814" w:type="dxa"/>
            <w:tcBorders>
              <w:top w:val="nil"/>
              <w:left w:val="nil"/>
              <w:bottom w:val="nil"/>
              <w:right w:val="nil"/>
            </w:tcBorders>
            <w:shd w:val="clear" w:color="auto" w:fill="auto"/>
            <w:noWrap/>
            <w:vAlign w:val="center"/>
            <w:hideMark/>
          </w:tcPr>
          <w:p w14:paraId="3108977E" w14:textId="72E603E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95.69</w:t>
            </w:r>
          </w:p>
        </w:tc>
        <w:tc>
          <w:tcPr>
            <w:tcW w:w="794" w:type="dxa"/>
            <w:tcBorders>
              <w:top w:val="nil"/>
              <w:left w:val="nil"/>
              <w:bottom w:val="nil"/>
              <w:right w:val="single" w:sz="4" w:space="0" w:color="auto"/>
            </w:tcBorders>
            <w:shd w:val="clear" w:color="000000" w:fill="F2F2F2"/>
            <w:noWrap/>
            <w:vAlign w:val="center"/>
            <w:hideMark/>
          </w:tcPr>
          <w:p w14:paraId="31A89890" w14:textId="3286B2C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0.39</w:t>
            </w:r>
          </w:p>
        </w:tc>
        <w:tc>
          <w:tcPr>
            <w:tcW w:w="794" w:type="dxa"/>
            <w:tcBorders>
              <w:top w:val="nil"/>
              <w:left w:val="nil"/>
              <w:bottom w:val="nil"/>
              <w:right w:val="nil"/>
            </w:tcBorders>
            <w:shd w:val="clear" w:color="auto" w:fill="auto"/>
            <w:noWrap/>
            <w:vAlign w:val="center"/>
            <w:hideMark/>
          </w:tcPr>
          <w:p w14:paraId="2BF19359" w14:textId="6489C13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89.33</w:t>
            </w:r>
          </w:p>
        </w:tc>
        <w:tc>
          <w:tcPr>
            <w:tcW w:w="794" w:type="dxa"/>
            <w:tcBorders>
              <w:top w:val="nil"/>
              <w:left w:val="nil"/>
              <w:bottom w:val="nil"/>
              <w:right w:val="single" w:sz="4" w:space="0" w:color="auto"/>
            </w:tcBorders>
            <w:shd w:val="clear" w:color="000000" w:fill="F2F2F2"/>
            <w:noWrap/>
            <w:vAlign w:val="center"/>
            <w:hideMark/>
          </w:tcPr>
          <w:p w14:paraId="6DAE784C" w14:textId="5C29753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0.40</w:t>
            </w:r>
          </w:p>
        </w:tc>
        <w:tc>
          <w:tcPr>
            <w:tcW w:w="773" w:type="dxa"/>
            <w:tcBorders>
              <w:top w:val="nil"/>
              <w:left w:val="nil"/>
              <w:bottom w:val="nil"/>
              <w:right w:val="nil"/>
            </w:tcBorders>
            <w:shd w:val="clear" w:color="auto" w:fill="auto"/>
            <w:noWrap/>
            <w:vAlign w:val="center"/>
            <w:hideMark/>
          </w:tcPr>
          <w:p w14:paraId="5949F9F0" w14:textId="5B5206B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100.74</w:t>
            </w:r>
          </w:p>
        </w:tc>
        <w:tc>
          <w:tcPr>
            <w:tcW w:w="815" w:type="dxa"/>
            <w:tcBorders>
              <w:top w:val="nil"/>
              <w:left w:val="nil"/>
              <w:bottom w:val="nil"/>
              <w:right w:val="single" w:sz="4" w:space="0" w:color="auto"/>
            </w:tcBorders>
            <w:shd w:val="clear" w:color="000000" w:fill="F2F2F2"/>
            <w:noWrap/>
            <w:vAlign w:val="center"/>
            <w:hideMark/>
          </w:tcPr>
          <w:p w14:paraId="06064F9F" w14:textId="44BBC492"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0.37</w:t>
            </w:r>
          </w:p>
        </w:tc>
        <w:tc>
          <w:tcPr>
            <w:tcW w:w="794" w:type="dxa"/>
            <w:tcBorders>
              <w:top w:val="nil"/>
              <w:left w:val="nil"/>
              <w:bottom w:val="nil"/>
              <w:right w:val="nil"/>
            </w:tcBorders>
            <w:shd w:val="clear" w:color="auto" w:fill="auto"/>
            <w:noWrap/>
            <w:vAlign w:val="center"/>
            <w:hideMark/>
          </w:tcPr>
          <w:p w14:paraId="3B293BA9" w14:textId="6F331A4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119.25</w:t>
            </w:r>
          </w:p>
        </w:tc>
        <w:tc>
          <w:tcPr>
            <w:tcW w:w="797" w:type="dxa"/>
            <w:tcBorders>
              <w:top w:val="nil"/>
              <w:left w:val="nil"/>
              <w:bottom w:val="nil"/>
              <w:right w:val="single" w:sz="4" w:space="0" w:color="auto"/>
            </w:tcBorders>
            <w:shd w:val="clear" w:color="000000" w:fill="F2F2F2"/>
            <w:noWrap/>
            <w:vAlign w:val="center"/>
            <w:hideMark/>
          </w:tcPr>
          <w:p w14:paraId="37E2A560" w14:textId="0E7943A4"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0.32</w:t>
            </w:r>
          </w:p>
        </w:tc>
        <w:tc>
          <w:tcPr>
            <w:tcW w:w="794" w:type="dxa"/>
            <w:tcBorders>
              <w:top w:val="nil"/>
              <w:left w:val="nil"/>
              <w:bottom w:val="nil"/>
              <w:right w:val="nil"/>
            </w:tcBorders>
            <w:shd w:val="clear" w:color="auto" w:fill="auto"/>
            <w:noWrap/>
            <w:vAlign w:val="center"/>
            <w:hideMark/>
          </w:tcPr>
          <w:p w14:paraId="0CEF2BB2" w14:textId="5F0D050F"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106.16</w:t>
            </w:r>
          </w:p>
        </w:tc>
        <w:tc>
          <w:tcPr>
            <w:tcW w:w="794" w:type="dxa"/>
            <w:tcBorders>
              <w:top w:val="nil"/>
              <w:left w:val="nil"/>
              <w:bottom w:val="nil"/>
              <w:right w:val="single" w:sz="4" w:space="0" w:color="auto"/>
            </w:tcBorders>
            <w:shd w:val="clear" w:color="000000" w:fill="F2F2F2"/>
            <w:noWrap/>
            <w:vAlign w:val="center"/>
            <w:hideMark/>
          </w:tcPr>
          <w:p w14:paraId="4E6BFAA5" w14:textId="2B1C120A"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0.38</w:t>
            </w:r>
          </w:p>
        </w:tc>
        <w:tc>
          <w:tcPr>
            <w:tcW w:w="825" w:type="dxa"/>
            <w:tcBorders>
              <w:top w:val="nil"/>
              <w:left w:val="nil"/>
              <w:bottom w:val="nil"/>
              <w:right w:val="nil"/>
            </w:tcBorders>
            <w:shd w:val="clear" w:color="auto" w:fill="auto"/>
            <w:noWrap/>
            <w:vAlign w:val="center"/>
            <w:hideMark/>
          </w:tcPr>
          <w:p w14:paraId="1F7B6183" w14:textId="112187A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125.80</w:t>
            </w:r>
          </w:p>
        </w:tc>
        <w:tc>
          <w:tcPr>
            <w:tcW w:w="851" w:type="dxa"/>
            <w:tcBorders>
              <w:top w:val="nil"/>
              <w:left w:val="nil"/>
              <w:bottom w:val="nil"/>
              <w:right w:val="single" w:sz="4" w:space="0" w:color="auto"/>
            </w:tcBorders>
            <w:shd w:val="clear" w:color="000000" w:fill="F2F2F2"/>
            <w:noWrap/>
            <w:vAlign w:val="center"/>
            <w:hideMark/>
          </w:tcPr>
          <w:p w14:paraId="5B58A2B3" w14:textId="071D4980"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0.33</w:t>
            </w:r>
          </w:p>
        </w:tc>
        <w:tc>
          <w:tcPr>
            <w:tcW w:w="850" w:type="dxa"/>
            <w:tcBorders>
              <w:top w:val="nil"/>
              <w:left w:val="nil"/>
              <w:bottom w:val="nil"/>
              <w:right w:val="nil"/>
            </w:tcBorders>
            <w:shd w:val="clear" w:color="auto" w:fill="auto"/>
            <w:noWrap/>
            <w:vAlign w:val="center"/>
            <w:hideMark/>
          </w:tcPr>
          <w:p w14:paraId="72668B22" w14:textId="5F71BB13"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125.70</w:t>
            </w:r>
          </w:p>
        </w:tc>
        <w:tc>
          <w:tcPr>
            <w:tcW w:w="709" w:type="dxa"/>
            <w:tcBorders>
              <w:top w:val="nil"/>
              <w:left w:val="nil"/>
              <w:bottom w:val="nil"/>
              <w:right w:val="single" w:sz="4" w:space="0" w:color="auto"/>
            </w:tcBorders>
            <w:shd w:val="clear" w:color="000000" w:fill="F2F2F2"/>
            <w:noWrap/>
            <w:vAlign w:val="center"/>
            <w:hideMark/>
          </w:tcPr>
          <w:p w14:paraId="62F49CF2" w14:textId="31DFF978"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0.34</w:t>
            </w:r>
          </w:p>
        </w:tc>
        <w:tc>
          <w:tcPr>
            <w:tcW w:w="745" w:type="dxa"/>
            <w:tcBorders>
              <w:top w:val="nil"/>
              <w:left w:val="nil"/>
              <w:bottom w:val="nil"/>
              <w:right w:val="nil"/>
            </w:tcBorders>
            <w:shd w:val="clear" w:color="auto" w:fill="auto"/>
            <w:noWrap/>
            <w:vAlign w:val="center"/>
            <w:hideMark/>
          </w:tcPr>
          <w:p w14:paraId="5D35EB05" w14:textId="549B4A9D"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134.63</w:t>
            </w:r>
          </w:p>
        </w:tc>
        <w:tc>
          <w:tcPr>
            <w:tcW w:w="794" w:type="dxa"/>
            <w:tcBorders>
              <w:top w:val="nil"/>
              <w:left w:val="nil"/>
              <w:bottom w:val="nil"/>
              <w:right w:val="single" w:sz="4" w:space="0" w:color="auto"/>
            </w:tcBorders>
            <w:shd w:val="clear" w:color="000000" w:fill="F2F2F2"/>
            <w:noWrap/>
            <w:vAlign w:val="center"/>
            <w:hideMark/>
          </w:tcPr>
          <w:p w14:paraId="7886095C" w14:textId="2A4DB95B" w:rsidR="00AF355D" w:rsidRPr="00AF355D" w:rsidRDefault="00AF355D" w:rsidP="00AF355D">
            <w:pPr>
              <w:spacing w:after="0" w:line="240" w:lineRule="auto"/>
              <w:ind w:firstLine="0"/>
              <w:jc w:val="center"/>
              <w:rPr>
                <w:rFonts w:eastAsia="Calibri" w:cs="Times New Roman"/>
                <w:color w:val="000000"/>
                <w:sz w:val="19"/>
                <w:szCs w:val="19"/>
              </w:rPr>
            </w:pPr>
            <w:r w:rsidRPr="00AF355D">
              <w:rPr>
                <w:color w:val="000000"/>
                <w:sz w:val="19"/>
                <w:szCs w:val="19"/>
              </w:rPr>
              <w:t>0.35</w:t>
            </w:r>
          </w:p>
        </w:tc>
      </w:tr>
      <w:tr w:rsidR="00AF355D" w:rsidRPr="000B615A" w14:paraId="77259F59" w14:textId="77777777" w:rsidTr="000B615A">
        <w:trPr>
          <w:trHeight w:val="2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C470E79" w14:textId="77777777" w:rsidR="00AF355D" w:rsidRPr="000B615A" w:rsidRDefault="00AF355D" w:rsidP="00AF355D">
            <w:pPr>
              <w:spacing w:after="0" w:line="240" w:lineRule="auto"/>
              <w:ind w:firstLine="0"/>
              <w:jc w:val="right"/>
              <w:rPr>
                <w:rFonts w:ascii="Times New Roman" w:eastAsia="Times New Roman" w:hAnsi="Times New Roman" w:cs="Times New Roman"/>
                <w:color w:val="000000"/>
                <w:sz w:val="19"/>
                <w:szCs w:val="19"/>
              </w:rPr>
            </w:pPr>
            <w:r w:rsidRPr="000B615A">
              <w:rPr>
                <w:rFonts w:ascii="Times New Roman" w:eastAsia="Times New Roman" w:hAnsi="Times New Roman" w:cs="Times New Roman"/>
                <w:color w:val="000000"/>
                <w:sz w:val="19"/>
                <w:szCs w:val="19"/>
              </w:rPr>
              <w:t>N</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D0313F9" w14:textId="53922B4B"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13,520</w:t>
            </w:r>
          </w:p>
        </w:tc>
        <w:tc>
          <w:tcPr>
            <w:tcW w:w="1608" w:type="dxa"/>
            <w:gridSpan w:val="2"/>
            <w:tcBorders>
              <w:top w:val="nil"/>
              <w:left w:val="nil"/>
              <w:bottom w:val="single" w:sz="4" w:space="0" w:color="auto"/>
              <w:right w:val="single" w:sz="4" w:space="0" w:color="auto"/>
            </w:tcBorders>
            <w:shd w:val="clear" w:color="auto" w:fill="auto"/>
            <w:noWrap/>
            <w:vAlign w:val="center"/>
            <w:hideMark/>
          </w:tcPr>
          <w:p w14:paraId="4A21ED08" w14:textId="05E0F6DD"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16,289</w:t>
            </w:r>
          </w:p>
        </w:tc>
        <w:tc>
          <w:tcPr>
            <w:tcW w:w="1588" w:type="dxa"/>
            <w:gridSpan w:val="2"/>
            <w:tcBorders>
              <w:top w:val="nil"/>
              <w:left w:val="nil"/>
              <w:bottom w:val="single" w:sz="4" w:space="0" w:color="auto"/>
              <w:right w:val="single" w:sz="4" w:space="0" w:color="auto"/>
            </w:tcBorders>
            <w:shd w:val="clear" w:color="auto" w:fill="auto"/>
            <w:noWrap/>
            <w:vAlign w:val="center"/>
            <w:hideMark/>
          </w:tcPr>
          <w:p w14:paraId="128F20E1" w14:textId="226B335C"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18,253</w:t>
            </w:r>
          </w:p>
        </w:tc>
        <w:tc>
          <w:tcPr>
            <w:tcW w:w="1588" w:type="dxa"/>
            <w:gridSpan w:val="2"/>
            <w:tcBorders>
              <w:top w:val="nil"/>
              <w:left w:val="nil"/>
              <w:bottom w:val="single" w:sz="4" w:space="0" w:color="auto"/>
              <w:right w:val="single" w:sz="4" w:space="0" w:color="auto"/>
            </w:tcBorders>
            <w:shd w:val="clear" w:color="auto" w:fill="auto"/>
            <w:noWrap/>
            <w:vAlign w:val="center"/>
            <w:hideMark/>
          </w:tcPr>
          <w:p w14:paraId="17ED0A78" w14:textId="059E174F"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18,667</w:t>
            </w:r>
          </w:p>
        </w:tc>
        <w:tc>
          <w:tcPr>
            <w:tcW w:w="1591" w:type="dxa"/>
            <w:gridSpan w:val="2"/>
            <w:tcBorders>
              <w:top w:val="nil"/>
              <w:left w:val="nil"/>
              <w:bottom w:val="single" w:sz="4" w:space="0" w:color="auto"/>
              <w:right w:val="single" w:sz="4" w:space="0" w:color="auto"/>
            </w:tcBorders>
            <w:shd w:val="clear" w:color="auto" w:fill="auto"/>
            <w:noWrap/>
            <w:vAlign w:val="center"/>
            <w:hideMark/>
          </w:tcPr>
          <w:p w14:paraId="7BB74FF1" w14:textId="1CF0DEBC"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18,932</w:t>
            </w:r>
          </w:p>
        </w:tc>
        <w:tc>
          <w:tcPr>
            <w:tcW w:w="1588" w:type="dxa"/>
            <w:gridSpan w:val="2"/>
            <w:tcBorders>
              <w:top w:val="nil"/>
              <w:left w:val="nil"/>
              <w:bottom w:val="single" w:sz="4" w:space="0" w:color="auto"/>
              <w:right w:val="single" w:sz="4" w:space="0" w:color="auto"/>
            </w:tcBorders>
            <w:shd w:val="clear" w:color="auto" w:fill="auto"/>
            <w:noWrap/>
            <w:vAlign w:val="center"/>
            <w:hideMark/>
          </w:tcPr>
          <w:p w14:paraId="4282D327" w14:textId="5F9D8C24"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18,913</w:t>
            </w:r>
          </w:p>
        </w:tc>
        <w:tc>
          <w:tcPr>
            <w:tcW w:w="1676" w:type="dxa"/>
            <w:gridSpan w:val="2"/>
            <w:tcBorders>
              <w:top w:val="nil"/>
              <w:left w:val="nil"/>
              <w:bottom w:val="single" w:sz="4" w:space="0" w:color="auto"/>
              <w:right w:val="single" w:sz="4" w:space="0" w:color="auto"/>
            </w:tcBorders>
            <w:shd w:val="clear" w:color="auto" w:fill="auto"/>
            <w:noWrap/>
            <w:vAlign w:val="center"/>
            <w:hideMark/>
          </w:tcPr>
          <w:p w14:paraId="2FEB49B9" w14:textId="3A16239C"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18,446</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0780DC7" w14:textId="7E60EC0A"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28,995</w:t>
            </w:r>
          </w:p>
        </w:tc>
        <w:tc>
          <w:tcPr>
            <w:tcW w:w="1539" w:type="dxa"/>
            <w:gridSpan w:val="2"/>
            <w:tcBorders>
              <w:top w:val="nil"/>
              <w:left w:val="nil"/>
              <w:bottom w:val="single" w:sz="4" w:space="0" w:color="auto"/>
              <w:right w:val="single" w:sz="4" w:space="0" w:color="auto"/>
            </w:tcBorders>
            <w:shd w:val="clear" w:color="auto" w:fill="auto"/>
            <w:noWrap/>
            <w:vAlign w:val="center"/>
            <w:hideMark/>
          </w:tcPr>
          <w:p w14:paraId="48B587C0" w14:textId="674C29B3" w:rsidR="00AF355D" w:rsidRPr="00AF355D" w:rsidRDefault="00AF355D" w:rsidP="00AF355D">
            <w:pPr>
              <w:spacing w:after="0" w:line="240" w:lineRule="auto"/>
              <w:ind w:firstLine="0"/>
              <w:jc w:val="center"/>
              <w:rPr>
                <w:rFonts w:ascii="Times New Roman" w:eastAsia="Calibri" w:hAnsi="Times New Roman" w:cs="Times New Roman"/>
                <w:color w:val="000000"/>
                <w:sz w:val="19"/>
                <w:szCs w:val="19"/>
              </w:rPr>
            </w:pPr>
            <w:r w:rsidRPr="00AF355D">
              <w:rPr>
                <w:color w:val="000000"/>
                <w:sz w:val="19"/>
                <w:szCs w:val="19"/>
              </w:rPr>
              <w:t>26,649</w:t>
            </w:r>
          </w:p>
        </w:tc>
      </w:tr>
    </w:tbl>
    <w:p w14:paraId="370D761D" w14:textId="77777777" w:rsidR="006E6EF1" w:rsidRDefault="006E6EF1" w:rsidP="00A13BA8">
      <w:pPr>
        <w:rPr>
          <w:rFonts w:ascii="Times New Roman" w:hAnsi="Times New Roman" w:cs="Times New Roman"/>
        </w:rPr>
        <w:sectPr w:rsidR="006E6EF1" w:rsidSect="000B615A">
          <w:pgSz w:w="16840" w:h="11900" w:orient="landscape"/>
          <w:pgMar w:top="510" w:right="510" w:bottom="510" w:left="510" w:header="709" w:footer="709" w:gutter="0"/>
          <w:cols w:space="708"/>
          <w:docGrid w:linePitch="360"/>
        </w:sectPr>
      </w:pPr>
    </w:p>
    <w:p w14:paraId="5B4DEAEC" w14:textId="35FD6811" w:rsidR="00401C40" w:rsidRDefault="00401C40" w:rsidP="00401C40">
      <w:pPr>
        <w:pStyle w:val="MyHeading1C"/>
        <w:numPr>
          <w:ilvl w:val="0"/>
          <w:numId w:val="2"/>
        </w:numPr>
        <w:spacing w:before="200"/>
        <w:ind w:left="426"/>
      </w:pPr>
      <w:r>
        <w:lastRenderedPageBreak/>
        <w:t>Discussion</w:t>
      </w:r>
    </w:p>
    <w:p w14:paraId="3F01C591" w14:textId="1268E850" w:rsidR="00157DF0" w:rsidRDefault="00BB234A" w:rsidP="00157DF0">
      <w:pPr>
        <w:ind w:firstLine="0"/>
      </w:pPr>
      <w:r>
        <w:t>R</w:t>
      </w:r>
      <w:r w:rsidR="00157DF0">
        <w:t>esults</w:t>
      </w:r>
      <w:r>
        <w:t xml:space="preserve"> of the above analysis</w:t>
      </w:r>
      <w:r w:rsidR="00157DF0">
        <w:t xml:space="preserve"> reveal a source of income inequality associated with the structure of household wealth, as balance sheet composition is found to </w:t>
      </w:r>
      <w:r w:rsidR="0091234C">
        <w:t>be associated with</w:t>
      </w:r>
      <w:r w:rsidR="00157DF0">
        <w:t xml:space="preserve"> differential gains in relative income depending on the type of assets and debt owned. These differences are pronounced across the analysed distributional </w:t>
      </w:r>
      <w:r>
        <w:t xml:space="preserve">and age </w:t>
      </w:r>
      <w:r w:rsidR="00157DF0">
        <w:t xml:space="preserve">groups, and </w:t>
      </w:r>
      <w:r>
        <w:t xml:space="preserve">some </w:t>
      </w:r>
      <w:r w:rsidR="00157DF0">
        <w:t xml:space="preserve">tend to be weaker for households headed by </w:t>
      </w:r>
      <w:r>
        <w:t xml:space="preserve">single </w:t>
      </w:r>
      <w:r w:rsidR="00157DF0">
        <w:t>women</w:t>
      </w:r>
      <w:r>
        <w:t xml:space="preserve"> and</w:t>
      </w:r>
      <w:r w:rsidR="00157DF0">
        <w:t xml:space="preserve"> Blacks/Latinos. Households in the poorest quintile of the income distribution are found to have experienced smaller gains, or even losses,</w:t>
      </w:r>
      <w:r w:rsidR="003846B1">
        <w:t xml:space="preserve"> </w:t>
      </w:r>
      <w:r w:rsidR="00DE2F4D">
        <w:t>in</w:t>
      </w:r>
      <w:r w:rsidR="003846B1">
        <w:t xml:space="preserve"> relative income</w:t>
      </w:r>
      <w:r w:rsidR="00157DF0">
        <w:t xml:space="preserve"> from asset and debt ownership than households in the top decile and </w:t>
      </w:r>
      <w:r w:rsidR="00FE09BB">
        <w:t xml:space="preserve">they </w:t>
      </w:r>
      <w:r w:rsidR="00157DF0">
        <w:t>were more reliant on comparatively more expensive unsecured debt holdings in improving their relative position in the income distribution.</w:t>
      </w:r>
    </w:p>
    <w:p w14:paraId="7372803D" w14:textId="4BB23FA7" w:rsidR="00805102" w:rsidRPr="00192F91" w:rsidRDefault="000C6AFB" w:rsidP="00192F91">
      <w:r>
        <w:t>Furthermore</w:t>
      </w:r>
      <w:r w:rsidR="00157DF0">
        <w:t>, there are marked intertemporal patterns in the strength of these gains in the context of subprime lending expansion, rising household indebtedness and leverage, and proliferation of new profitable financial instruments based on loans to vulnerable households</w:t>
      </w:r>
      <w:r w:rsidR="009D446D">
        <w:t xml:space="preserve"> since the 1980s</w:t>
      </w:r>
      <w:r w:rsidR="00157DF0">
        <w:t>. Greater share of p</w:t>
      </w:r>
      <w:r w:rsidR="00157DF0" w:rsidRPr="00163391">
        <w:t xml:space="preserve">rimary residence </w:t>
      </w:r>
      <w:r w:rsidR="00157DF0">
        <w:t xml:space="preserve">in total assets </w:t>
      </w:r>
      <w:r w:rsidR="00157DF0" w:rsidRPr="00163391">
        <w:t xml:space="preserve">diminished its positive </w:t>
      </w:r>
      <w:r w:rsidR="0091234C">
        <w:t>association</w:t>
      </w:r>
      <w:r w:rsidR="00157DF0" w:rsidRPr="00163391">
        <w:t xml:space="preserve"> over relative income i</w:t>
      </w:r>
      <w:r w:rsidR="00157DF0">
        <w:t xml:space="preserve">n the subprime period, which was only partially restored after the Great Recession. This was paralleled by a </w:t>
      </w:r>
      <w:r w:rsidR="00BE20D0">
        <w:t>decreasing</w:t>
      </w:r>
      <w:r w:rsidR="00157DF0">
        <w:t xml:space="preserve"> impact of</w:t>
      </w:r>
      <w:r w:rsidR="00192F91">
        <w:t xml:space="preserve"> </w:t>
      </w:r>
      <w:r w:rsidR="00157DF0">
        <w:t xml:space="preserve">relative holdings of transaction accounts, </w:t>
      </w:r>
      <w:r w:rsidR="00BE20D0">
        <w:t>and increasingly negative estimate of vehicles and other non-financial assets over time</w:t>
      </w:r>
      <w:r w:rsidR="00157DF0">
        <w:t>.</w:t>
      </w:r>
      <w:r w:rsidR="00BE20D0">
        <w:t xml:space="preserve"> These types of assets are held more widely across the income distribution but contribute</w:t>
      </w:r>
      <w:r w:rsidR="00192F91">
        <w:t>d less and less to</w:t>
      </w:r>
      <w:r w:rsidR="00BE20D0">
        <w:t xml:space="preserve"> improvements in relative incomes in the period studied.</w:t>
      </w:r>
      <w:r w:rsidR="00157DF0">
        <w:t xml:space="preserve"> </w:t>
      </w:r>
      <w:r w:rsidR="00805102">
        <w:rPr>
          <w:rFonts w:ascii="Times New Roman" w:hAnsi="Times New Roman" w:cs="Times New Roman"/>
        </w:rPr>
        <w:t>Moreover, the subprime period was associated with higher estimates of relative holdings of business equity</w:t>
      </w:r>
      <w:r w:rsidR="00A82BF5">
        <w:rPr>
          <w:rFonts w:ascii="Times New Roman" w:hAnsi="Times New Roman" w:cs="Times New Roman"/>
        </w:rPr>
        <w:t xml:space="preserve"> and</w:t>
      </w:r>
      <w:r w:rsidR="00805102">
        <w:rPr>
          <w:rFonts w:ascii="Times New Roman" w:hAnsi="Times New Roman" w:cs="Times New Roman"/>
        </w:rPr>
        <w:t xml:space="preserve"> debt secured by other property for Whites/other ethnicities, and with rising effects of leverage and declining contributions of relative holdings of </w:t>
      </w:r>
      <w:r w:rsidR="00BE20D0">
        <w:rPr>
          <w:rFonts w:ascii="Times New Roman" w:hAnsi="Times New Roman" w:cs="Times New Roman"/>
        </w:rPr>
        <w:t>transaction accounts</w:t>
      </w:r>
      <w:r w:rsidR="00805102">
        <w:rPr>
          <w:rFonts w:ascii="Times New Roman" w:hAnsi="Times New Roman" w:cs="Times New Roman"/>
        </w:rPr>
        <w:t xml:space="preserve"> to relative income of millennials. </w:t>
      </w:r>
      <w:r w:rsidR="00A82BF5">
        <w:rPr>
          <w:rFonts w:ascii="Times New Roman" w:hAnsi="Times New Roman" w:cs="Times New Roman"/>
        </w:rPr>
        <w:t>In addition, a</w:t>
      </w:r>
      <w:r w:rsidR="00805102">
        <w:rPr>
          <w:rFonts w:ascii="Times New Roman" w:hAnsi="Times New Roman" w:cs="Times New Roman"/>
        </w:rPr>
        <w:t xml:space="preserve">fter the Great Recession, some gains in relative </w:t>
      </w:r>
      <w:r w:rsidR="00DD55AA">
        <w:rPr>
          <w:rFonts w:ascii="Times New Roman" w:hAnsi="Times New Roman" w:cs="Times New Roman"/>
        </w:rPr>
        <w:t xml:space="preserve">income </w:t>
      </w:r>
      <w:r w:rsidR="00805102">
        <w:rPr>
          <w:rFonts w:ascii="Times New Roman" w:hAnsi="Times New Roman" w:cs="Times New Roman"/>
        </w:rPr>
        <w:t xml:space="preserve">thanks to increases in </w:t>
      </w:r>
      <w:r w:rsidR="00DD55AA">
        <w:rPr>
          <w:rFonts w:ascii="Times New Roman" w:hAnsi="Times New Roman" w:cs="Times New Roman"/>
        </w:rPr>
        <w:t xml:space="preserve">relative holdings of </w:t>
      </w:r>
      <w:r w:rsidR="00805102">
        <w:rPr>
          <w:rFonts w:ascii="Times New Roman" w:hAnsi="Times New Roman" w:cs="Times New Roman"/>
        </w:rPr>
        <w:t>financial investment assets</w:t>
      </w:r>
      <w:r w:rsidR="00BE20D0">
        <w:rPr>
          <w:rFonts w:ascii="Times New Roman" w:hAnsi="Times New Roman" w:cs="Times New Roman"/>
        </w:rPr>
        <w:t>,</w:t>
      </w:r>
      <w:r w:rsidR="00805102">
        <w:rPr>
          <w:rFonts w:ascii="Times New Roman" w:hAnsi="Times New Roman" w:cs="Times New Roman"/>
        </w:rPr>
        <w:t xml:space="preserve"> </w:t>
      </w:r>
      <w:r w:rsidR="00BE20D0">
        <w:rPr>
          <w:rFonts w:ascii="Times New Roman" w:hAnsi="Times New Roman" w:cs="Times New Roman"/>
        </w:rPr>
        <w:t>business equity, and secured debt</w:t>
      </w:r>
      <w:r w:rsidR="00805102">
        <w:rPr>
          <w:rFonts w:ascii="Times New Roman" w:hAnsi="Times New Roman" w:cs="Times New Roman"/>
        </w:rPr>
        <w:t xml:space="preserve"> were reduced</w:t>
      </w:r>
      <w:r w:rsidR="00DD55AA">
        <w:rPr>
          <w:rFonts w:ascii="Times New Roman" w:hAnsi="Times New Roman" w:cs="Times New Roman"/>
        </w:rPr>
        <w:t xml:space="preserve"> for Black/Latino households</w:t>
      </w:r>
      <w:r w:rsidR="00805102">
        <w:rPr>
          <w:rFonts w:ascii="Times New Roman" w:hAnsi="Times New Roman" w:cs="Times New Roman"/>
        </w:rPr>
        <w:t>.</w:t>
      </w:r>
    </w:p>
    <w:p w14:paraId="58C53E69" w14:textId="4E3C7150" w:rsidR="00157DF0" w:rsidRPr="00966237" w:rsidRDefault="00157DF0" w:rsidP="00966237">
      <w:pPr>
        <w:rPr>
          <w:rFonts w:ascii="Times New Roman" w:hAnsi="Times New Roman" w:cs="Times New Roman"/>
        </w:rPr>
      </w:pPr>
      <w:r>
        <w:t>The biggest gains in relative income are observed for relative holdings of assets which are owned by a smaller portion of households, namely business equity, other property, retirement and insurance assets, and financial investment assets. The increase in their magnitudes after the Great Recession signifies that household</w:t>
      </w:r>
      <w:r w:rsidR="00A614DF">
        <w:t>s</w:t>
      </w:r>
      <w:r>
        <w:t xml:space="preserve"> holding a larger part of their wealth in these assets had the opportunity to recover faster from financial losses incurred due to the crisis than households whose asset holdings rely on primary residence and low-yielding assets such as vehicles and transaction accounts.</w:t>
      </w:r>
      <w:r w:rsidR="00966237">
        <w:t xml:space="preserve"> </w:t>
      </w:r>
      <w:r w:rsidR="006D61C9">
        <w:t>Moreover, these effects tend to be lower for households in the bottom quintile of income distribution, millennials, Black</w:t>
      </w:r>
      <w:r w:rsidR="006C5E1D">
        <w:t>s</w:t>
      </w:r>
      <w:r w:rsidR="006D61C9">
        <w:t>/Latino</w:t>
      </w:r>
      <w:r w:rsidR="006C5E1D">
        <w:t xml:space="preserve">s </w:t>
      </w:r>
      <w:r w:rsidR="006D61C9">
        <w:t xml:space="preserve">(except for financial investment assets </w:t>
      </w:r>
      <w:r w:rsidR="002F3200">
        <w:t>prior to 2013</w:t>
      </w:r>
      <w:r w:rsidR="006D61C9">
        <w:t>), and single female households (except for business equity before the Great Recession).</w:t>
      </w:r>
    </w:p>
    <w:p w14:paraId="48C62828" w14:textId="2C228771" w:rsidR="00157DF0" w:rsidRDefault="00157DF0" w:rsidP="00340D4E">
      <w:r>
        <w:lastRenderedPageBreak/>
        <w:t xml:space="preserve">Differences in the estimates across secured and unsecured debt confirm what has been previously discussed in the literature, namely that the type of debt held matters for financial wellbeing. As unsecured debt is held more widely among </w:t>
      </w:r>
      <w:r w:rsidR="00AD4F01">
        <w:t>low-income</w:t>
      </w:r>
      <w:r>
        <w:t xml:space="preserve"> households, it does not provide benefits for asset purchases and refinancing presented by relatively higher secured debt holdings. The fall in the absolute magnitudes of the estimates of relative holdings of unsecured debt before the Great Recession</w:t>
      </w:r>
      <w:r w:rsidR="00290A98">
        <w:t xml:space="preserve"> for the whole sample</w:t>
      </w:r>
      <w:r w:rsidR="000A5434">
        <w:t xml:space="preserve">, </w:t>
      </w:r>
      <w:r w:rsidR="000A5434">
        <w:t>single females</w:t>
      </w:r>
      <w:r w:rsidR="000A5434">
        <w:t>,</w:t>
      </w:r>
      <w:r w:rsidR="000A5434" w:rsidRPr="000A5434">
        <w:t xml:space="preserve"> </w:t>
      </w:r>
      <w:r w:rsidR="000A5434">
        <w:t xml:space="preserve">and </w:t>
      </w:r>
      <w:r w:rsidR="000A5434">
        <w:t>Blacks/Latinos</w:t>
      </w:r>
      <w:r w:rsidR="000A5434">
        <w:t xml:space="preserve">, </w:t>
      </w:r>
      <w:r w:rsidR="00290A98">
        <w:t xml:space="preserve">and after the crisis for </w:t>
      </w:r>
      <w:r w:rsidR="003B24D0">
        <w:t>households in the bottom quintile</w:t>
      </w:r>
      <w:r w:rsidR="000A5434">
        <w:t xml:space="preserve"> </w:t>
      </w:r>
      <w:r>
        <w:t>suggests that this type of debt became less detrimental to households’ relative income in the subprime period.</w:t>
      </w:r>
      <w:r w:rsidR="00340D4E" w:rsidRPr="00340D4E">
        <w:t xml:space="preserve"> </w:t>
      </w:r>
      <w:r w:rsidR="00340D4E">
        <w:t xml:space="preserve">Simultaneously, households in the bottom quintile of income distribution, as well as those headed by </w:t>
      </w:r>
      <w:r w:rsidR="000A5434">
        <w:t xml:space="preserve">single women, Blacks/Latinos, and </w:t>
      </w:r>
      <w:r w:rsidR="00340D4E">
        <w:t>millennials experienced consistently lower gains in relative income from increasing their relative holdings of mortgage debt compared to their counterparts.</w:t>
      </w:r>
    </w:p>
    <w:p w14:paraId="0246A387" w14:textId="7AED907D" w:rsidR="00157DF0" w:rsidRDefault="00157DF0" w:rsidP="00157DF0">
      <w:r>
        <w:t>Furthermore, the fairly consistent value of the estimates of relative holdings of debt secured by main residence</w:t>
      </w:r>
      <w:r w:rsidR="00014F57">
        <w:t xml:space="preserve"> in the whole sample</w:t>
      </w:r>
      <w:r>
        <w:t xml:space="preserve"> indicate that households </w:t>
      </w:r>
      <w:r w:rsidR="00014F57">
        <w:t xml:space="preserve">with higher proportion of liabilities held in this type of debt </w:t>
      </w:r>
      <w:r>
        <w:t xml:space="preserve">enjoyed more resilient source of additional financing benefitting their relative income than household relying on unsecured debt. The spike in the value of the Theil-Sen slope of relative holdings of debt secured by other property in the subprime period suggest that developments in the housing market at that time were particularly favourable to </w:t>
      </w:r>
      <w:r w:rsidR="00850D7D">
        <w:t xml:space="preserve">borrowers owning </w:t>
      </w:r>
      <w:r>
        <w:t>multiple propert</w:t>
      </w:r>
      <w:r w:rsidR="00850D7D">
        <w:t>ies</w:t>
      </w:r>
      <w:r>
        <w:t xml:space="preserve">. Simultaneously, higher magnitudes of this estimate indicate that households owning more of this type of debt benefitted from greater additional sources of financing than households whose debt holdings are dominated by debt secured by main residence. </w:t>
      </w:r>
    </w:p>
    <w:p w14:paraId="054C5172" w14:textId="1040B92C" w:rsidR="00157DF0" w:rsidRDefault="00157DF0" w:rsidP="00823A6F">
      <w:r>
        <w:t xml:space="preserve">Similarly, differential gains in relative income </w:t>
      </w:r>
      <w:r w:rsidR="005F4AC2">
        <w:t>following</w:t>
      </w:r>
      <w:r>
        <w:t xml:space="preserve"> incremental increases in leverage</w:t>
      </w:r>
      <w:r w:rsidR="00694DA8">
        <w:t xml:space="preserve"> sign</w:t>
      </w:r>
      <w:r w:rsidR="006C10BD">
        <w:t xml:space="preserve">al </w:t>
      </w:r>
      <w:r w:rsidR="00192F91">
        <w:t>that for some household rising indebtedness is a vehicle of improving their position in the income distribution.</w:t>
      </w:r>
      <w:r>
        <w:t xml:space="preserve"> </w:t>
      </w:r>
      <w:r w:rsidR="00D179CC">
        <w:t xml:space="preserve">Relative incomes of </w:t>
      </w:r>
      <w:r w:rsidR="00192F91">
        <w:t>households in the bottom 20% of income distribution</w:t>
      </w:r>
      <w:r w:rsidR="00192F91">
        <w:t xml:space="preserve">, </w:t>
      </w:r>
      <w:r w:rsidR="00D179CC">
        <w:t>millennial</w:t>
      </w:r>
      <w:r w:rsidR="00192F91">
        <w:t>s,</w:t>
      </w:r>
      <w:r w:rsidR="00D179CC">
        <w:t xml:space="preserve"> and Black/Latino households are found to rely more on increases in leverage compared to </w:t>
      </w:r>
      <w:r w:rsidR="00192F91">
        <w:t xml:space="preserve">households in the top 10%, </w:t>
      </w:r>
      <w:r w:rsidR="00D179CC">
        <w:t>baby boomers</w:t>
      </w:r>
      <w:r w:rsidR="00192F91">
        <w:t>,</w:t>
      </w:r>
      <w:r w:rsidR="00D179CC">
        <w:t xml:space="preserve"> and Whites/other ethnicities.</w:t>
      </w:r>
      <w:r w:rsidR="00192F91">
        <w:t xml:space="preserve"> These households may be particularly vulnerable to potential increases in interest rates after the Great Recession as debt repayments become costlier, while their ability to draw on leverage to improve their position in the income distribution may be limited if household lending becomes more regulated.</w:t>
      </w:r>
    </w:p>
    <w:p w14:paraId="1E0C75BF" w14:textId="5F3CFB07" w:rsidR="00A82BF5" w:rsidRDefault="00CE3DEC" w:rsidP="00823A6F">
      <w:r>
        <w:t>Higher estimates of relative holdings of primary residence for Black/Latinos and millennial households</w:t>
      </w:r>
      <w:r w:rsidR="008B26CA">
        <w:t xml:space="preserve">, </w:t>
      </w:r>
      <w:r w:rsidR="00485E19">
        <w:t>together with</w:t>
      </w:r>
      <w:r w:rsidR="008B26CA">
        <w:t xml:space="preserve"> increasing magnitude of these estimates for single female households, suggest that widening access to homeownership is an important avenue for reducing racial, intergenerational, and gender income inequality. While estimates of business equity and financial investment assets tend to be significantly higher for female and Black/Latino households respectively</w:t>
      </w:r>
      <w:r w:rsidR="00485E19">
        <w:t xml:space="preserve"> relative to their counterparts</w:t>
      </w:r>
      <w:r w:rsidR="008B26CA">
        <w:t xml:space="preserve">, the ownership rates for these types of assets </w:t>
      </w:r>
      <w:r w:rsidR="00485E19">
        <w:t xml:space="preserve">within these </w:t>
      </w:r>
      <w:r w:rsidR="00485E19">
        <w:lastRenderedPageBreak/>
        <w:t xml:space="preserve">groups </w:t>
      </w:r>
      <w:r w:rsidR="00485E19">
        <w:t>are</w:t>
      </w:r>
      <w:r w:rsidR="00BF716E">
        <w:t xml:space="preserve"> very narrow compared to homeownership (see U.S. Survey of Consumer Finances). Simultaneously, lower estimates of relative holdings of mortgages secured by main residence for female and Black/Latino households, and for millennial households until 2007, suggest that widening of homeownership should not be delegated solely to the private financial sector.</w:t>
      </w:r>
    </w:p>
    <w:p w14:paraId="647652A5" w14:textId="44D89579" w:rsidR="00B27C7E" w:rsidRDefault="00B27C7E" w:rsidP="00823A6F">
      <w:pPr>
        <w:rPr>
          <w:rFonts w:ascii="Times New Roman" w:hAnsi="Times New Roman" w:cs="Times New Roman"/>
        </w:rPr>
      </w:pPr>
      <w:r>
        <w:t xml:space="preserve">In sum, the analysis reveals significant differences in the established empirical regularities between wealth composition and income across households </w:t>
      </w:r>
      <w:r w:rsidR="0065739D">
        <w:t xml:space="preserve">and over time, </w:t>
      </w:r>
      <w:r>
        <w:t xml:space="preserve">in the context of institutional changes before and after the Great Recession. Heterogeneity of the estimated effects provides a more detailed insight into the social implication of households’ engagement with modern financial markets. </w:t>
      </w:r>
      <w:r w:rsidR="004724CE">
        <w:t>The analysis suggests that p</w:t>
      </w:r>
      <w:r>
        <w:t xml:space="preserve">olicies aiming to further </w:t>
      </w:r>
      <w:r w:rsidR="004724CE">
        <w:t>households’</w:t>
      </w:r>
      <w:r>
        <w:t xml:space="preserve"> integration</w:t>
      </w:r>
      <w:r w:rsidR="004724CE">
        <w:t xml:space="preserve"> into financial markets</w:t>
      </w:r>
      <w:r>
        <w:t xml:space="preserve"> have to reckon with existing institutional structures to avoid perpetuating inequality by </w:t>
      </w:r>
      <w:r w:rsidR="004724CE">
        <w:t xml:space="preserve">relying on universal remedies delivered </w:t>
      </w:r>
      <w:r w:rsidR="005F4AC2">
        <w:t>by</w:t>
      </w:r>
      <w:r w:rsidR="004724CE">
        <w:t xml:space="preserve"> profit-</w:t>
      </w:r>
      <w:r w:rsidR="005F4AC2">
        <w:t>driven</w:t>
      </w:r>
      <w:r w:rsidR="004724CE" w:rsidRPr="00B27C7E">
        <w:t xml:space="preserve"> </w:t>
      </w:r>
      <w:r w:rsidR="004724CE">
        <w:t>private markets.</w:t>
      </w:r>
    </w:p>
    <w:p w14:paraId="0DA3F4A8" w14:textId="041F4DB4" w:rsidR="00CA0E44" w:rsidRPr="002C2551" w:rsidRDefault="00CE7F14" w:rsidP="00401C40">
      <w:pPr>
        <w:pStyle w:val="MyHeading1C"/>
        <w:numPr>
          <w:ilvl w:val="0"/>
          <w:numId w:val="2"/>
        </w:numPr>
        <w:spacing w:before="200"/>
        <w:ind w:left="425" w:hanging="357"/>
      </w:pPr>
      <w:r>
        <w:t>Conclusion</w:t>
      </w:r>
    </w:p>
    <w:p w14:paraId="49800E52" w14:textId="5E9A906B" w:rsidR="004D1B67" w:rsidRDefault="00AB19B8" w:rsidP="00CA0E44">
      <w:pPr>
        <w:ind w:firstLine="0"/>
        <w:rPr>
          <w:rFonts w:ascii="Times New Roman" w:hAnsi="Times New Roman" w:cs="Times New Roman"/>
        </w:rPr>
      </w:pPr>
      <w:r>
        <w:rPr>
          <w:rFonts w:ascii="Times New Roman" w:hAnsi="Times New Roman" w:cs="Times New Roman"/>
        </w:rPr>
        <w:t>T</w:t>
      </w:r>
      <w:r w:rsidR="000D1809">
        <w:rPr>
          <w:rFonts w:ascii="Times New Roman" w:hAnsi="Times New Roman" w:cs="Times New Roman"/>
        </w:rPr>
        <w:t>his paper investigate</w:t>
      </w:r>
      <w:r>
        <w:rPr>
          <w:rFonts w:ascii="Times New Roman" w:hAnsi="Times New Roman" w:cs="Times New Roman"/>
        </w:rPr>
        <w:t>d</w:t>
      </w:r>
      <w:r w:rsidR="000D1809">
        <w:rPr>
          <w:rFonts w:ascii="Times New Roman" w:hAnsi="Times New Roman" w:cs="Times New Roman"/>
        </w:rPr>
        <w:t xml:space="preserve"> </w:t>
      </w:r>
      <w:r w:rsidR="006600D6">
        <w:rPr>
          <w:rFonts w:ascii="Times New Roman" w:hAnsi="Times New Roman" w:cs="Times New Roman"/>
        </w:rPr>
        <w:t xml:space="preserve">the patterns of </w:t>
      </w:r>
      <w:r w:rsidR="000D1809">
        <w:rPr>
          <w:rFonts w:ascii="Times New Roman" w:hAnsi="Times New Roman" w:cs="Times New Roman"/>
        </w:rPr>
        <w:t>empirical regularities between wealth composition and income inequality</w:t>
      </w:r>
      <w:r w:rsidR="006600D6">
        <w:rPr>
          <w:rFonts w:ascii="Times New Roman" w:hAnsi="Times New Roman" w:cs="Times New Roman"/>
        </w:rPr>
        <w:t xml:space="preserve"> across households</w:t>
      </w:r>
      <w:r w:rsidR="000D1809">
        <w:rPr>
          <w:rFonts w:ascii="Times New Roman" w:hAnsi="Times New Roman" w:cs="Times New Roman"/>
        </w:rPr>
        <w:t xml:space="preserve">, proxied by households’ relative position in the income distribution. </w:t>
      </w:r>
      <w:r>
        <w:rPr>
          <w:rFonts w:ascii="Times New Roman" w:hAnsi="Times New Roman" w:cs="Times New Roman"/>
        </w:rPr>
        <w:t>Us</w:t>
      </w:r>
      <w:r w:rsidRPr="00E92972">
        <w:rPr>
          <w:rFonts w:ascii="Times New Roman" w:hAnsi="Times New Roman" w:cs="Times New Roman"/>
        </w:rPr>
        <w:t>ing nine waves of the U.S. Survey of Consumer Finances between 1989 and 2013</w:t>
      </w:r>
      <w:r>
        <w:rPr>
          <w:rFonts w:ascii="Times New Roman" w:hAnsi="Times New Roman" w:cs="Times New Roman"/>
        </w:rPr>
        <w:t>, t</w:t>
      </w:r>
      <w:r w:rsidR="000D1809">
        <w:rPr>
          <w:rFonts w:ascii="Times New Roman" w:hAnsi="Times New Roman" w:cs="Times New Roman"/>
        </w:rPr>
        <w:t>he paper analyse</w:t>
      </w:r>
      <w:r>
        <w:rPr>
          <w:rFonts w:ascii="Times New Roman" w:hAnsi="Times New Roman" w:cs="Times New Roman"/>
        </w:rPr>
        <w:t>d</w:t>
      </w:r>
      <w:r w:rsidR="000D1809">
        <w:rPr>
          <w:rFonts w:ascii="Times New Roman" w:hAnsi="Times New Roman" w:cs="Times New Roman"/>
        </w:rPr>
        <w:t xml:space="preserve"> the non-parametric Theil-Sen median slope of asset and debt composition and leverage measures versus relative income of US households, paying </w:t>
      </w:r>
      <w:r>
        <w:rPr>
          <w:rFonts w:ascii="Times New Roman" w:hAnsi="Times New Roman" w:cs="Times New Roman"/>
        </w:rPr>
        <w:t>attention</w:t>
      </w:r>
      <w:r w:rsidR="000D1809">
        <w:rPr>
          <w:rFonts w:ascii="Times New Roman" w:hAnsi="Times New Roman" w:cs="Times New Roman"/>
        </w:rPr>
        <w:t xml:space="preserve"> to changes in these effects for different household groups and over time in light of institutional changes in the US financial sector since the 1980s. The findings show that households experience differential gains in relative income depending on</w:t>
      </w:r>
      <w:r w:rsidR="004C508B">
        <w:rPr>
          <w:rFonts w:ascii="Times New Roman" w:hAnsi="Times New Roman" w:cs="Times New Roman"/>
        </w:rPr>
        <w:t xml:space="preserve"> how their wealth is allocated between different</w:t>
      </w:r>
      <w:r w:rsidR="000D1809">
        <w:rPr>
          <w:rFonts w:ascii="Times New Roman" w:hAnsi="Times New Roman" w:cs="Times New Roman"/>
        </w:rPr>
        <w:t xml:space="preserve"> types of assets and debt. Pronounced differences in the estimated empirical regularities </w:t>
      </w:r>
      <w:r>
        <w:rPr>
          <w:rFonts w:ascii="Times New Roman" w:hAnsi="Times New Roman" w:cs="Times New Roman"/>
        </w:rPr>
        <w:t>were</w:t>
      </w:r>
      <w:r w:rsidR="000D1809">
        <w:rPr>
          <w:rFonts w:ascii="Times New Roman" w:hAnsi="Times New Roman" w:cs="Times New Roman"/>
        </w:rPr>
        <w:t xml:space="preserve"> observed between households in the bottom 20% and the top 10% of income distribution and between millennials and baby boomers, particularly in terms of relative holdings of</w:t>
      </w:r>
      <w:r w:rsidR="004D1B67">
        <w:rPr>
          <w:rFonts w:ascii="Times New Roman" w:hAnsi="Times New Roman" w:cs="Times New Roman"/>
        </w:rPr>
        <w:t xml:space="preserve"> high-yielding assets including</w:t>
      </w:r>
      <w:r w:rsidR="000D1809">
        <w:rPr>
          <w:rFonts w:ascii="Times New Roman" w:hAnsi="Times New Roman" w:cs="Times New Roman"/>
        </w:rPr>
        <w:t xml:space="preserve"> property other than main residence, business equity, financial investment assets, and retirement and insurance assets</w:t>
      </w:r>
      <w:r w:rsidR="00361467">
        <w:rPr>
          <w:rFonts w:ascii="Times New Roman" w:hAnsi="Times New Roman" w:cs="Times New Roman"/>
        </w:rPr>
        <w:t>, and of mortgages</w:t>
      </w:r>
      <w:r w:rsidR="000D1809">
        <w:rPr>
          <w:rFonts w:ascii="Times New Roman" w:hAnsi="Times New Roman" w:cs="Times New Roman"/>
        </w:rPr>
        <w:t xml:space="preserve">. Significant differences </w:t>
      </w:r>
      <w:r>
        <w:rPr>
          <w:rFonts w:ascii="Times New Roman" w:hAnsi="Times New Roman" w:cs="Times New Roman"/>
        </w:rPr>
        <w:t>were</w:t>
      </w:r>
      <w:r w:rsidR="000D1809">
        <w:rPr>
          <w:rFonts w:ascii="Times New Roman" w:hAnsi="Times New Roman" w:cs="Times New Roman"/>
        </w:rPr>
        <w:t xml:space="preserve"> also found for certain asset and debt holdings across single female and male households and between households headed by Blacks/Latinos and by Whites/other ethnicities. </w:t>
      </w:r>
    </w:p>
    <w:p w14:paraId="33533231" w14:textId="253AE6BA" w:rsidR="00AB19B8" w:rsidRDefault="004D1B67" w:rsidP="00044A86">
      <w:pPr>
        <w:ind w:firstLine="720"/>
        <w:rPr>
          <w:rFonts w:ascii="Times New Roman" w:hAnsi="Times New Roman" w:cs="Times New Roman"/>
        </w:rPr>
      </w:pPr>
      <w:r>
        <w:rPr>
          <w:rFonts w:ascii="Times New Roman" w:hAnsi="Times New Roman" w:cs="Times New Roman"/>
        </w:rPr>
        <w:t>The</w:t>
      </w:r>
      <w:r w:rsidR="000D1809">
        <w:rPr>
          <w:rFonts w:ascii="Times New Roman" w:hAnsi="Times New Roman" w:cs="Times New Roman"/>
        </w:rPr>
        <w:t xml:space="preserve"> estimated empirical regularities have seen substantial changes over time</w:t>
      </w:r>
      <w:r>
        <w:rPr>
          <w:rFonts w:ascii="Times New Roman" w:hAnsi="Times New Roman" w:cs="Times New Roman"/>
        </w:rPr>
        <w:t xml:space="preserve"> against the backdrop of institutional </w:t>
      </w:r>
      <w:r w:rsidR="004B14A0">
        <w:rPr>
          <w:rFonts w:ascii="Times New Roman" w:hAnsi="Times New Roman" w:cs="Times New Roman"/>
        </w:rPr>
        <w:t xml:space="preserve">transformation of </w:t>
      </w:r>
      <w:r>
        <w:rPr>
          <w:rFonts w:ascii="Times New Roman" w:hAnsi="Times New Roman" w:cs="Times New Roman"/>
        </w:rPr>
        <w:t>the US financial sector since the 1980s. The decreasing impact of relative housing wealth</w:t>
      </w:r>
      <w:r w:rsidR="000D1809">
        <w:rPr>
          <w:rFonts w:ascii="Times New Roman" w:hAnsi="Times New Roman" w:cs="Times New Roman"/>
        </w:rPr>
        <w:t xml:space="preserve"> </w:t>
      </w:r>
      <w:r>
        <w:rPr>
          <w:rFonts w:ascii="Times New Roman" w:hAnsi="Times New Roman" w:cs="Times New Roman"/>
        </w:rPr>
        <w:t xml:space="preserve">on relative income </w:t>
      </w:r>
      <w:r w:rsidR="004F13FC">
        <w:rPr>
          <w:rFonts w:ascii="Times New Roman" w:hAnsi="Times New Roman" w:cs="Times New Roman"/>
        </w:rPr>
        <w:t>around</w:t>
      </w:r>
      <w:r>
        <w:rPr>
          <w:rFonts w:ascii="Times New Roman" w:hAnsi="Times New Roman" w:cs="Times New Roman"/>
        </w:rPr>
        <w:t xml:space="preserve"> the subprime period was paralleled by extension of subprime lending to vulnerable households in the early 2000s.</w:t>
      </w:r>
      <w:r w:rsidR="00044A86">
        <w:rPr>
          <w:rFonts w:ascii="Times New Roman" w:hAnsi="Times New Roman" w:cs="Times New Roman"/>
        </w:rPr>
        <w:t xml:space="preserve"> Simultaneously, gains in relative income associated with relative holdings of primary residence and transaction accounts have not rebounded to their pre-recession levels.</w:t>
      </w:r>
      <w:r>
        <w:rPr>
          <w:rFonts w:ascii="Times New Roman" w:hAnsi="Times New Roman" w:cs="Times New Roman"/>
        </w:rPr>
        <w:t xml:space="preserve"> Conversely, relative incomes of households with greater amount of wealth held in high-yielding assets and secured debt have experienced faster </w:t>
      </w:r>
      <w:r>
        <w:rPr>
          <w:rFonts w:ascii="Times New Roman" w:hAnsi="Times New Roman" w:cs="Times New Roman"/>
        </w:rPr>
        <w:lastRenderedPageBreak/>
        <w:t xml:space="preserve">recovery </w:t>
      </w:r>
      <w:r w:rsidR="00044A86">
        <w:rPr>
          <w:rFonts w:ascii="Times New Roman" w:hAnsi="Times New Roman" w:cs="Times New Roman"/>
        </w:rPr>
        <w:t>in terms of</w:t>
      </w:r>
      <w:r>
        <w:rPr>
          <w:rFonts w:ascii="Times New Roman" w:hAnsi="Times New Roman" w:cs="Times New Roman"/>
        </w:rPr>
        <w:t xml:space="preserve"> gains in relative income following the Great Recession.</w:t>
      </w:r>
      <w:r w:rsidR="00044A86">
        <w:rPr>
          <w:rFonts w:ascii="Times New Roman" w:hAnsi="Times New Roman" w:cs="Times New Roman"/>
        </w:rPr>
        <w:t xml:space="preserve"> This suggests that the empirical regularities between wealth composition and households’ position in the income distribution are not indifferent to institutional and structural factors in the US economy, although no precise causal channels can be established empirically with the available data. </w:t>
      </w:r>
    </w:p>
    <w:p w14:paraId="559E5C23" w14:textId="368D07F7" w:rsidR="00AB19B8" w:rsidRDefault="000D1809" w:rsidP="00DC52AC">
      <w:pPr>
        <w:ind w:firstLine="720"/>
        <w:rPr>
          <w:rFonts w:ascii="Times New Roman" w:hAnsi="Times New Roman" w:cs="Times New Roman"/>
        </w:rPr>
      </w:pPr>
      <w:r>
        <w:rPr>
          <w:rFonts w:ascii="Times New Roman" w:hAnsi="Times New Roman" w:cs="Times New Roman"/>
        </w:rPr>
        <w:t>The analysis also reveal</w:t>
      </w:r>
      <w:r w:rsidR="00AB19B8">
        <w:rPr>
          <w:rFonts w:ascii="Times New Roman" w:hAnsi="Times New Roman" w:cs="Times New Roman"/>
        </w:rPr>
        <w:t>ed</w:t>
      </w:r>
      <w:r>
        <w:rPr>
          <w:rFonts w:ascii="Times New Roman" w:hAnsi="Times New Roman" w:cs="Times New Roman"/>
        </w:rPr>
        <w:t xml:space="preserve"> balance sheet composition as a significant independent determinant of households’ relative position in the income distribution when controlling for household characteristics.</w:t>
      </w:r>
      <w:r w:rsidR="00D87382">
        <w:rPr>
          <w:rFonts w:ascii="Times New Roman" w:hAnsi="Times New Roman" w:cs="Times New Roman"/>
        </w:rPr>
        <w:t xml:space="preserve"> Recent literature</w:t>
      </w:r>
      <w:r w:rsidR="004D1B67">
        <w:rPr>
          <w:rFonts w:ascii="Times New Roman" w:hAnsi="Times New Roman" w:cs="Times New Roman"/>
        </w:rPr>
        <w:t xml:space="preserve"> has highlighted the interactions between income and wealth as an important driver of inequality.</w:t>
      </w:r>
      <w:r w:rsidR="00AB19B8">
        <w:rPr>
          <w:rFonts w:ascii="Times New Roman" w:hAnsi="Times New Roman" w:cs="Times New Roman"/>
        </w:rPr>
        <w:t xml:space="preserve"> </w:t>
      </w:r>
      <w:r w:rsidR="004D1B67">
        <w:rPr>
          <w:rFonts w:ascii="Times New Roman" w:hAnsi="Times New Roman" w:cs="Times New Roman"/>
        </w:rPr>
        <w:t xml:space="preserve">The main contribution of this paper is to use existing estimation methods in a new way to illuminate the empirical interactions between relative income and different types of wealth, which have been so far analysed at the aggregate level. </w:t>
      </w:r>
      <w:r w:rsidR="00DC52AC">
        <w:rPr>
          <w:rFonts w:ascii="Times New Roman" w:hAnsi="Times New Roman" w:cs="Times New Roman"/>
        </w:rPr>
        <w:t xml:space="preserve">However, data limitations giving rise to </w:t>
      </w:r>
      <w:r w:rsidR="00AB19B8">
        <w:rPr>
          <w:rFonts w:ascii="Times New Roman" w:hAnsi="Times New Roman" w:cs="Times New Roman"/>
        </w:rPr>
        <w:t>endogeneity, omitted variable bias, and non-spherical residuals pose</w:t>
      </w:r>
      <w:r w:rsidR="00DC52AC">
        <w:rPr>
          <w:rFonts w:ascii="Times New Roman" w:hAnsi="Times New Roman" w:cs="Times New Roman"/>
        </w:rPr>
        <w:t>s</w:t>
      </w:r>
      <w:r w:rsidR="00AB19B8">
        <w:rPr>
          <w:rFonts w:ascii="Times New Roman" w:hAnsi="Times New Roman" w:cs="Times New Roman"/>
        </w:rPr>
        <w:t xml:space="preserve"> problems to the consistency and unbiasedness of regression estimates, rendering non-parametric estimation more suitable to analyse the empirical regularities between wealth composition and relative income. As such, this paper does not aim to resolve the causal debates between income and wealth highlighted by Piketty (2014) and Naidu (2017).</w:t>
      </w:r>
      <w:r w:rsidR="00DC52AC">
        <w:rPr>
          <w:rFonts w:ascii="Times New Roman" w:hAnsi="Times New Roman" w:cs="Times New Roman"/>
        </w:rPr>
        <w:t xml:space="preserve"> Overall, the paper</w:t>
      </w:r>
      <w:r w:rsidR="002F1CDE">
        <w:rPr>
          <w:rFonts w:ascii="Times New Roman" w:hAnsi="Times New Roman" w:cs="Times New Roman"/>
        </w:rPr>
        <w:t xml:space="preserve"> carries policy implications</w:t>
      </w:r>
      <w:r w:rsidR="00DC52AC">
        <w:rPr>
          <w:rFonts w:ascii="Times New Roman" w:hAnsi="Times New Roman" w:cs="Times New Roman"/>
        </w:rPr>
        <w:t xml:space="preserve"> </w:t>
      </w:r>
      <w:r w:rsidR="002F1CDE">
        <w:rPr>
          <w:rFonts w:ascii="Times New Roman" w:hAnsi="Times New Roman" w:cs="Times New Roman"/>
        </w:rPr>
        <w:t xml:space="preserve">for policymakers in </w:t>
      </w:r>
      <w:r w:rsidR="003E1879">
        <w:rPr>
          <w:rFonts w:ascii="Times New Roman" w:hAnsi="Times New Roman" w:cs="Times New Roman"/>
        </w:rPr>
        <w:t xml:space="preserve">the </w:t>
      </w:r>
      <w:r w:rsidR="002F1CDE">
        <w:rPr>
          <w:rFonts w:ascii="Times New Roman" w:hAnsi="Times New Roman" w:cs="Times New Roman"/>
        </w:rPr>
        <w:t xml:space="preserve">USA and globally, </w:t>
      </w:r>
      <w:r w:rsidR="00DC52AC">
        <w:rPr>
          <w:rFonts w:ascii="Times New Roman" w:hAnsi="Times New Roman" w:cs="Times New Roman"/>
        </w:rPr>
        <w:t>caution</w:t>
      </w:r>
      <w:r w:rsidR="002F1CDE">
        <w:rPr>
          <w:rFonts w:ascii="Times New Roman" w:hAnsi="Times New Roman" w:cs="Times New Roman"/>
        </w:rPr>
        <w:t>ing</w:t>
      </w:r>
      <w:r w:rsidR="00DC52AC">
        <w:rPr>
          <w:rFonts w:ascii="Times New Roman" w:hAnsi="Times New Roman" w:cs="Times New Roman"/>
        </w:rPr>
        <w:t xml:space="preserve"> against </w:t>
      </w:r>
      <w:r w:rsidR="002F1CDE">
        <w:rPr>
          <w:rFonts w:ascii="Times New Roman" w:hAnsi="Times New Roman" w:cs="Times New Roman"/>
        </w:rPr>
        <w:t xml:space="preserve">inequality-reducing </w:t>
      </w:r>
      <w:r w:rsidR="00DC52AC">
        <w:rPr>
          <w:rFonts w:ascii="Times New Roman" w:hAnsi="Times New Roman" w:cs="Times New Roman"/>
        </w:rPr>
        <w:t xml:space="preserve">policies </w:t>
      </w:r>
      <w:r w:rsidR="002F1CDE">
        <w:rPr>
          <w:rFonts w:ascii="Times New Roman" w:hAnsi="Times New Roman" w:cs="Times New Roman"/>
        </w:rPr>
        <w:t>which rely on profit-oriented markets to promote wealth accumulation and increases in income</w:t>
      </w:r>
      <w:r w:rsidR="002A2E02">
        <w:rPr>
          <w:rFonts w:ascii="Times New Roman" w:hAnsi="Times New Roman" w:cs="Times New Roman"/>
        </w:rPr>
        <w:t>,</w:t>
      </w:r>
      <w:r w:rsidR="002F1CDE">
        <w:rPr>
          <w:rFonts w:ascii="Times New Roman" w:hAnsi="Times New Roman" w:cs="Times New Roman"/>
        </w:rPr>
        <w:t xml:space="preserve"> without paying attention to the institutional conditions shaping the stability of finances and access to higher-yielding forms of wealth for different households.</w:t>
      </w:r>
    </w:p>
    <w:p w14:paraId="3F744957" w14:textId="77777777" w:rsidR="003C06F7" w:rsidRDefault="003C06F7" w:rsidP="006B5B2E">
      <w:pPr>
        <w:rPr>
          <w:rFonts w:ascii="Times New Roman" w:hAnsi="Times New Roman" w:cs="Times New Roman"/>
        </w:rPr>
      </w:pPr>
    </w:p>
    <w:p w14:paraId="6BBAADFE" w14:textId="6DA1F8FB" w:rsidR="003C06F7" w:rsidRDefault="003C06F7" w:rsidP="004E3621">
      <w:pPr>
        <w:ind w:firstLine="0"/>
      </w:pPr>
      <w:r w:rsidRPr="00083063">
        <w:rPr>
          <w:b/>
        </w:rPr>
        <w:t>Acknowledgments</w:t>
      </w:r>
      <w:r>
        <w:t xml:space="preserve">: </w:t>
      </w:r>
      <w:r w:rsidRPr="00CE2E2C">
        <w:t xml:space="preserve">I </w:t>
      </w:r>
      <w:r w:rsidR="00A37329">
        <w:t>am grateful</w:t>
      </w:r>
      <w:r w:rsidRPr="00CE2E2C">
        <w:t xml:space="preserve"> </w:t>
      </w:r>
      <w:r w:rsidR="004729FC">
        <w:t xml:space="preserve">two anonymous reviewers for their </w:t>
      </w:r>
      <w:r w:rsidR="00A37329">
        <w:t xml:space="preserve">invaluable </w:t>
      </w:r>
      <w:r w:rsidR="004729FC">
        <w:t xml:space="preserve">comments, as well as </w:t>
      </w:r>
      <w:r w:rsidRPr="00CE2E2C">
        <w:t xml:space="preserve">Prof Gary </w:t>
      </w:r>
      <w:proofErr w:type="spellStart"/>
      <w:r w:rsidRPr="00CE2E2C">
        <w:t>Dymski</w:t>
      </w:r>
      <w:proofErr w:type="spellEnd"/>
      <w:r w:rsidRPr="00CE2E2C">
        <w:t>, Prof Giuseppe Fontana, and Dr Peter Phelps for their feedback and support on the PhD research on which this paper is based. I would like to thank</w:t>
      </w:r>
      <w:r w:rsidR="000144CB">
        <w:t xml:space="preserve"> </w:t>
      </w:r>
      <w:r w:rsidRPr="00CE2E2C">
        <w:t xml:space="preserve">Prof </w:t>
      </w:r>
      <w:proofErr w:type="spellStart"/>
      <w:r w:rsidRPr="00CE2E2C">
        <w:t>Özlem</w:t>
      </w:r>
      <w:proofErr w:type="spellEnd"/>
      <w:r w:rsidRPr="00CE2E2C">
        <w:t xml:space="preserve"> </w:t>
      </w:r>
      <w:proofErr w:type="spellStart"/>
      <w:r w:rsidRPr="00CE2E2C">
        <w:t>Onaran</w:t>
      </w:r>
      <w:proofErr w:type="spellEnd"/>
      <w:r w:rsidRPr="00CE2E2C">
        <w:t xml:space="preserve">, </w:t>
      </w:r>
      <w:r w:rsidR="000144CB">
        <w:t xml:space="preserve">Dr </w:t>
      </w:r>
      <w:proofErr w:type="spellStart"/>
      <w:r w:rsidR="000144CB">
        <w:t>Cem</w:t>
      </w:r>
      <w:proofErr w:type="spellEnd"/>
      <w:r w:rsidR="000144CB">
        <w:t xml:space="preserve"> </w:t>
      </w:r>
      <w:proofErr w:type="spellStart"/>
      <w:r w:rsidR="000144CB">
        <w:t>Oyvat</w:t>
      </w:r>
      <w:proofErr w:type="spellEnd"/>
      <w:r w:rsidR="000144CB">
        <w:t xml:space="preserve">, </w:t>
      </w:r>
      <w:r w:rsidR="004E3621" w:rsidRPr="00CE2E2C">
        <w:t>Dr Marco Passarella Veronese</w:t>
      </w:r>
      <w:r w:rsidR="004E3621">
        <w:t xml:space="preserve">, </w:t>
      </w:r>
      <w:r w:rsidR="000144CB" w:rsidRPr="00CE2E2C">
        <w:t xml:space="preserve">Prof </w:t>
      </w:r>
      <w:proofErr w:type="spellStart"/>
      <w:r w:rsidR="000144CB" w:rsidRPr="00CE2E2C">
        <w:t>Engelbert</w:t>
      </w:r>
      <w:proofErr w:type="spellEnd"/>
      <w:r w:rsidR="000144CB" w:rsidRPr="00CE2E2C">
        <w:t xml:space="preserve"> </w:t>
      </w:r>
      <w:proofErr w:type="spellStart"/>
      <w:r w:rsidR="000144CB" w:rsidRPr="00CE2E2C">
        <w:t>Stockhammer</w:t>
      </w:r>
      <w:proofErr w:type="spellEnd"/>
      <w:r w:rsidR="000144CB">
        <w:t xml:space="preserve">, Prof Jan </w:t>
      </w:r>
      <w:proofErr w:type="spellStart"/>
      <w:r w:rsidR="000144CB">
        <w:t>Toporowski</w:t>
      </w:r>
      <w:proofErr w:type="spellEnd"/>
      <w:r w:rsidR="000144CB">
        <w:t xml:space="preserve"> and </w:t>
      </w:r>
      <w:r w:rsidRPr="00CE2E2C">
        <w:t xml:space="preserve">Dr Rafael </w:t>
      </w:r>
      <w:proofErr w:type="spellStart"/>
      <w:r w:rsidRPr="00CE2E2C">
        <w:t>Wildauer</w:t>
      </w:r>
      <w:proofErr w:type="spellEnd"/>
      <w:r w:rsidRPr="00CE2E2C">
        <w:t xml:space="preserve"> for their</w:t>
      </w:r>
      <w:r>
        <w:t xml:space="preserve"> </w:t>
      </w:r>
      <w:r w:rsidRPr="00CE2E2C">
        <w:t xml:space="preserve">feedback on </w:t>
      </w:r>
      <w:r>
        <w:t>an earlier draft</w:t>
      </w:r>
      <w:r w:rsidRPr="00CE2E2C">
        <w:t xml:space="preserve"> </w:t>
      </w:r>
      <w:r>
        <w:t>of</w:t>
      </w:r>
      <w:r w:rsidRPr="00CE2E2C">
        <w:t xml:space="preserve"> this paper.</w:t>
      </w:r>
    </w:p>
    <w:p w14:paraId="6B2E5689" w14:textId="77777777" w:rsidR="003C06F7" w:rsidRPr="00F430E9" w:rsidRDefault="003C06F7" w:rsidP="003C06F7">
      <w:pPr>
        <w:ind w:firstLine="0"/>
        <w:rPr>
          <w:rFonts w:ascii="Times New Roman" w:hAnsi="Times New Roman" w:cs="Times New Roman"/>
        </w:rPr>
      </w:pPr>
    </w:p>
    <w:p w14:paraId="2362C81B" w14:textId="13EC4860" w:rsidR="00B12778" w:rsidRDefault="00CE7F14" w:rsidP="006B5B2E">
      <w:pPr>
        <w:pStyle w:val="MyHeading1C"/>
        <w:spacing w:after="120"/>
      </w:pPr>
      <w:r>
        <w:t>References</w:t>
      </w:r>
    </w:p>
    <w:p w14:paraId="07339721" w14:textId="1896D9CE" w:rsidR="003279CF" w:rsidRPr="00E073CF" w:rsidRDefault="003279CF" w:rsidP="00823A6F">
      <w:pPr>
        <w:spacing w:after="160" w:line="240" w:lineRule="auto"/>
        <w:ind w:firstLine="0"/>
        <w:jc w:val="left"/>
        <w:rPr>
          <w:rFonts w:ascii="Times New Roman" w:hAnsi="Times New Roman" w:cs="Times New Roman"/>
          <w:sz w:val="21"/>
          <w:szCs w:val="21"/>
          <w:lang w:eastAsia="en-GB"/>
        </w:rPr>
      </w:pPr>
      <w:r w:rsidRPr="003279CF">
        <w:rPr>
          <w:rFonts w:ascii="Times New Roman" w:hAnsi="Times New Roman" w:cs="Times New Roman"/>
          <w:sz w:val="21"/>
          <w:szCs w:val="21"/>
          <w:lang w:eastAsia="en-GB"/>
        </w:rPr>
        <w:t xml:space="preserve">Barba, A. and </w:t>
      </w:r>
      <w:proofErr w:type="spellStart"/>
      <w:r w:rsidRPr="003279CF">
        <w:rPr>
          <w:rFonts w:ascii="Times New Roman" w:hAnsi="Times New Roman" w:cs="Times New Roman"/>
          <w:sz w:val="21"/>
          <w:szCs w:val="21"/>
          <w:lang w:eastAsia="en-GB"/>
        </w:rPr>
        <w:t>Pivetti</w:t>
      </w:r>
      <w:proofErr w:type="spellEnd"/>
      <w:r w:rsidRPr="003279CF">
        <w:rPr>
          <w:rFonts w:ascii="Times New Roman" w:hAnsi="Times New Roman" w:cs="Times New Roman"/>
          <w:sz w:val="21"/>
          <w:szCs w:val="21"/>
          <w:lang w:eastAsia="en-GB"/>
        </w:rPr>
        <w:t xml:space="preserve">, M. 2009. “Rising household debt: Its causes and macroeconomic implications — a </w:t>
      </w:r>
      <w:r w:rsidRPr="00E073CF">
        <w:rPr>
          <w:rFonts w:ascii="Times New Roman" w:hAnsi="Times New Roman" w:cs="Times New Roman"/>
          <w:sz w:val="21"/>
          <w:szCs w:val="21"/>
          <w:lang w:eastAsia="en-GB"/>
        </w:rPr>
        <w:t xml:space="preserve">long-period analysis”, </w:t>
      </w:r>
      <w:r w:rsidRPr="00E073CF">
        <w:rPr>
          <w:rFonts w:ascii="Times New Roman" w:hAnsi="Times New Roman" w:cs="Times New Roman"/>
          <w:i/>
          <w:iCs/>
          <w:sz w:val="21"/>
          <w:szCs w:val="21"/>
          <w:lang w:eastAsia="en-GB"/>
        </w:rPr>
        <w:t>Cambridge Journal of Economics</w:t>
      </w:r>
      <w:r w:rsidRPr="00E073CF">
        <w:rPr>
          <w:rFonts w:ascii="Times New Roman" w:hAnsi="Times New Roman" w:cs="Times New Roman"/>
          <w:sz w:val="21"/>
          <w:szCs w:val="21"/>
          <w:lang w:eastAsia="en-GB"/>
        </w:rPr>
        <w:t>, vol. 33, pp.</w:t>
      </w:r>
      <w:r w:rsidR="00E677BC" w:rsidRPr="00E073CF">
        <w:rPr>
          <w:rFonts w:ascii="Times New Roman" w:hAnsi="Times New Roman" w:cs="Times New Roman"/>
          <w:sz w:val="21"/>
          <w:szCs w:val="21"/>
          <w:lang w:eastAsia="en-GB"/>
        </w:rPr>
        <w:t xml:space="preserve"> </w:t>
      </w:r>
      <w:r w:rsidRPr="00E073CF">
        <w:rPr>
          <w:rFonts w:ascii="Times New Roman" w:hAnsi="Times New Roman" w:cs="Times New Roman"/>
          <w:sz w:val="21"/>
          <w:szCs w:val="21"/>
          <w:lang w:eastAsia="en-GB"/>
        </w:rPr>
        <w:t>113-137.</w:t>
      </w:r>
    </w:p>
    <w:p w14:paraId="63D0787B" w14:textId="45E6F757" w:rsidR="00225028" w:rsidRPr="00E073CF" w:rsidRDefault="00225028" w:rsidP="00823A6F">
      <w:pPr>
        <w:spacing w:after="160" w:line="240" w:lineRule="auto"/>
        <w:ind w:firstLine="0"/>
        <w:jc w:val="left"/>
        <w:rPr>
          <w:rFonts w:ascii="Times New Roman" w:hAnsi="Times New Roman" w:cs="Times New Roman"/>
          <w:sz w:val="21"/>
          <w:szCs w:val="21"/>
          <w:lang w:eastAsia="en-GB"/>
        </w:rPr>
      </w:pPr>
      <w:r w:rsidRPr="00E073CF">
        <w:rPr>
          <w:rFonts w:ascii="Times New Roman" w:hAnsi="Times New Roman" w:cs="Times New Roman"/>
          <w:sz w:val="21"/>
          <w:szCs w:val="21"/>
          <w:lang w:eastAsia="en-GB"/>
        </w:rPr>
        <w:t>Bialik, K., and Fry, R. 2019</w:t>
      </w:r>
      <w:r w:rsidR="00F83DFC">
        <w:rPr>
          <w:rFonts w:ascii="Times New Roman" w:hAnsi="Times New Roman" w:cs="Times New Roman"/>
          <w:sz w:val="21"/>
          <w:szCs w:val="21"/>
          <w:lang w:eastAsia="en-GB"/>
        </w:rPr>
        <w:t>.</w:t>
      </w:r>
      <w:r w:rsidRPr="00E073CF">
        <w:rPr>
          <w:rFonts w:ascii="Times New Roman" w:hAnsi="Times New Roman" w:cs="Times New Roman"/>
          <w:sz w:val="21"/>
          <w:szCs w:val="21"/>
          <w:lang w:eastAsia="en-GB"/>
        </w:rPr>
        <w:t xml:space="preserve"> “Millennial life: How young adulthood today compares with prior generations”. Pew Research </w:t>
      </w:r>
      <w:proofErr w:type="spellStart"/>
      <w:r w:rsidRPr="00E073CF">
        <w:rPr>
          <w:rFonts w:ascii="Times New Roman" w:hAnsi="Times New Roman" w:cs="Times New Roman"/>
          <w:sz w:val="21"/>
          <w:szCs w:val="21"/>
          <w:lang w:eastAsia="en-GB"/>
        </w:rPr>
        <w:t>Center</w:t>
      </w:r>
      <w:proofErr w:type="spellEnd"/>
      <w:r w:rsidRPr="00E073CF">
        <w:rPr>
          <w:rFonts w:ascii="Times New Roman" w:hAnsi="Times New Roman" w:cs="Times New Roman"/>
          <w:sz w:val="21"/>
          <w:szCs w:val="21"/>
          <w:lang w:eastAsia="en-GB"/>
        </w:rPr>
        <w:t xml:space="preserve">. Available at: </w:t>
      </w:r>
      <w:hyperlink r:id="rId10" w:history="1">
        <w:r w:rsidRPr="00E073CF">
          <w:rPr>
            <w:rStyle w:val="Hyperlink"/>
            <w:rFonts w:ascii="Times New Roman" w:hAnsi="Times New Roman" w:cs="Times New Roman"/>
            <w:sz w:val="21"/>
            <w:szCs w:val="21"/>
            <w:lang w:eastAsia="en-GB"/>
          </w:rPr>
          <w:t>http://www.pewsocialtrends.org/essay/millennial-life-how-young-adulthood-today-compares-with-prior-generations/</w:t>
        </w:r>
      </w:hyperlink>
      <w:r w:rsidRPr="00E073CF">
        <w:rPr>
          <w:rFonts w:ascii="Times New Roman" w:hAnsi="Times New Roman" w:cs="Times New Roman"/>
          <w:sz w:val="21"/>
          <w:szCs w:val="21"/>
          <w:lang w:eastAsia="en-GB"/>
        </w:rPr>
        <w:t xml:space="preserve"> </w:t>
      </w:r>
      <w:r w:rsidR="008C22B9" w:rsidRPr="00E073CF">
        <w:rPr>
          <w:rFonts w:ascii="Times New Roman" w:hAnsi="Times New Roman" w:cs="Times New Roman"/>
          <w:sz w:val="21"/>
          <w:szCs w:val="21"/>
          <w:lang w:eastAsia="en-GB"/>
        </w:rPr>
        <w:t>(</w:t>
      </w:r>
      <w:r w:rsidRPr="00E073CF">
        <w:rPr>
          <w:rFonts w:ascii="Times New Roman" w:hAnsi="Times New Roman" w:cs="Times New Roman"/>
          <w:sz w:val="21"/>
          <w:szCs w:val="21"/>
          <w:lang w:eastAsia="en-GB"/>
        </w:rPr>
        <w:t>Accessed: 22</w:t>
      </w:r>
      <w:r w:rsidRPr="00E073CF">
        <w:rPr>
          <w:rFonts w:ascii="Times New Roman" w:hAnsi="Times New Roman" w:cs="Times New Roman"/>
          <w:sz w:val="21"/>
          <w:szCs w:val="21"/>
          <w:vertAlign w:val="superscript"/>
          <w:lang w:eastAsia="en-GB"/>
        </w:rPr>
        <w:t>th</w:t>
      </w:r>
      <w:r w:rsidRPr="00E073CF">
        <w:rPr>
          <w:rFonts w:ascii="Times New Roman" w:hAnsi="Times New Roman" w:cs="Times New Roman"/>
          <w:sz w:val="21"/>
          <w:szCs w:val="21"/>
          <w:lang w:eastAsia="en-GB"/>
        </w:rPr>
        <w:t xml:space="preserve"> February 2019</w:t>
      </w:r>
      <w:r w:rsidR="008C22B9" w:rsidRPr="00E073CF">
        <w:rPr>
          <w:rFonts w:ascii="Times New Roman" w:hAnsi="Times New Roman" w:cs="Times New Roman"/>
          <w:sz w:val="21"/>
          <w:szCs w:val="21"/>
          <w:lang w:eastAsia="en-GB"/>
        </w:rPr>
        <w:t>)</w:t>
      </w:r>
      <w:r w:rsidR="000F0973" w:rsidRPr="00E073CF">
        <w:rPr>
          <w:rFonts w:ascii="Times New Roman" w:hAnsi="Times New Roman" w:cs="Times New Roman"/>
          <w:sz w:val="21"/>
          <w:szCs w:val="21"/>
          <w:lang w:eastAsia="en-GB"/>
        </w:rPr>
        <w:t>.</w:t>
      </w:r>
    </w:p>
    <w:p w14:paraId="20022386" w14:textId="1F80D3F1" w:rsidR="00336133" w:rsidRPr="00E073CF" w:rsidRDefault="00336133" w:rsidP="00823A6F">
      <w:pPr>
        <w:spacing w:after="160" w:line="240" w:lineRule="auto"/>
        <w:ind w:firstLine="0"/>
        <w:jc w:val="left"/>
        <w:rPr>
          <w:rFonts w:ascii="Times New Roman" w:hAnsi="Times New Roman" w:cs="Times New Roman"/>
          <w:sz w:val="21"/>
          <w:szCs w:val="21"/>
        </w:rPr>
      </w:pPr>
      <w:proofErr w:type="spellStart"/>
      <w:r w:rsidRPr="00E073CF">
        <w:rPr>
          <w:rFonts w:ascii="Times New Roman" w:hAnsi="Times New Roman" w:cs="Times New Roman"/>
          <w:sz w:val="21"/>
          <w:szCs w:val="21"/>
        </w:rPr>
        <w:t>Chauvel</w:t>
      </w:r>
      <w:proofErr w:type="spellEnd"/>
      <w:r w:rsidRPr="00E073CF">
        <w:rPr>
          <w:rFonts w:ascii="Times New Roman" w:hAnsi="Times New Roman" w:cs="Times New Roman"/>
          <w:sz w:val="21"/>
          <w:szCs w:val="21"/>
        </w:rPr>
        <w:t xml:space="preserve">, L., and </w:t>
      </w:r>
      <w:proofErr w:type="spellStart"/>
      <w:r w:rsidRPr="00E073CF">
        <w:rPr>
          <w:rFonts w:ascii="Times New Roman" w:hAnsi="Times New Roman" w:cs="Times New Roman"/>
          <w:sz w:val="21"/>
          <w:szCs w:val="21"/>
        </w:rPr>
        <w:t>Schröder</w:t>
      </w:r>
      <w:proofErr w:type="spellEnd"/>
      <w:r w:rsidRPr="00E073CF">
        <w:rPr>
          <w:rFonts w:ascii="Times New Roman" w:hAnsi="Times New Roman" w:cs="Times New Roman"/>
          <w:sz w:val="21"/>
          <w:szCs w:val="21"/>
        </w:rPr>
        <w:t>, M. 2014</w:t>
      </w:r>
      <w:r w:rsidR="00F83DFC">
        <w:rPr>
          <w:rFonts w:ascii="Times New Roman" w:hAnsi="Times New Roman" w:cs="Times New Roman"/>
          <w:sz w:val="21"/>
          <w:szCs w:val="21"/>
        </w:rPr>
        <w:t>.</w:t>
      </w:r>
      <w:r w:rsidRPr="00E073CF">
        <w:rPr>
          <w:rFonts w:ascii="Times New Roman" w:hAnsi="Times New Roman" w:cs="Times New Roman"/>
          <w:sz w:val="21"/>
          <w:szCs w:val="21"/>
        </w:rPr>
        <w:t xml:space="preserve"> “Generational Inequalities and Welfare Regimes”, </w:t>
      </w:r>
      <w:r w:rsidRPr="00E073CF">
        <w:rPr>
          <w:rFonts w:ascii="Times New Roman" w:hAnsi="Times New Roman" w:cs="Times New Roman"/>
          <w:i/>
          <w:sz w:val="21"/>
          <w:szCs w:val="21"/>
        </w:rPr>
        <w:t>Social Forces</w:t>
      </w:r>
      <w:r w:rsidRPr="00E073CF">
        <w:rPr>
          <w:rFonts w:ascii="Times New Roman" w:hAnsi="Times New Roman" w:cs="Times New Roman"/>
          <w:sz w:val="21"/>
          <w:szCs w:val="21"/>
        </w:rPr>
        <w:t>, vol. 92, no. 4, pp. 1259-1283.</w:t>
      </w:r>
    </w:p>
    <w:p w14:paraId="5DDD97C2" w14:textId="2CD35E0A" w:rsidR="00B36E5B" w:rsidRPr="00E073CF" w:rsidRDefault="00B36E5B" w:rsidP="00823A6F">
      <w:pPr>
        <w:spacing w:after="160" w:line="240" w:lineRule="auto"/>
        <w:ind w:firstLine="0"/>
        <w:jc w:val="left"/>
        <w:rPr>
          <w:rFonts w:ascii="Times New Roman" w:hAnsi="Times New Roman" w:cs="Times New Roman"/>
          <w:sz w:val="21"/>
          <w:szCs w:val="21"/>
          <w:lang w:eastAsia="en-GB"/>
        </w:rPr>
      </w:pPr>
      <w:proofErr w:type="spellStart"/>
      <w:r w:rsidRPr="00E073CF">
        <w:rPr>
          <w:rFonts w:ascii="Times New Roman" w:hAnsi="Times New Roman" w:cs="Times New Roman"/>
          <w:sz w:val="21"/>
          <w:szCs w:val="21"/>
          <w:lang w:eastAsia="en-GB"/>
        </w:rPr>
        <w:t>Christophers</w:t>
      </w:r>
      <w:proofErr w:type="spellEnd"/>
      <w:r w:rsidRPr="00E073CF">
        <w:rPr>
          <w:rFonts w:ascii="Times New Roman" w:hAnsi="Times New Roman" w:cs="Times New Roman"/>
          <w:sz w:val="21"/>
          <w:szCs w:val="21"/>
          <w:lang w:eastAsia="en-GB"/>
        </w:rPr>
        <w:t>, B. 2017</w:t>
      </w:r>
      <w:r w:rsidR="00F83DFC">
        <w:rPr>
          <w:rFonts w:ascii="Times New Roman" w:hAnsi="Times New Roman" w:cs="Times New Roman"/>
          <w:sz w:val="21"/>
          <w:szCs w:val="21"/>
          <w:lang w:eastAsia="en-GB"/>
        </w:rPr>
        <w:t>.</w:t>
      </w:r>
      <w:r w:rsidRPr="00E073CF">
        <w:rPr>
          <w:rFonts w:ascii="Times New Roman" w:hAnsi="Times New Roman" w:cs="Times New Roman"/>
          <w:sz w:val="21"/>
          <w:szCs w:val="21"/>
          <w:lang w:eastAsia="en-GB"/>
        </w:rPr>
        <w:t xml:space="preserve"> “Intergenerational Inequality? Labour, Capital, and Housing Through the Ages”, </w:t>
      </w:r>
      <w:r w:rsidRPr="00E073CF">
        <w:rPr>
          <w:rFonts w:ascii="Times New Roman" w:hAnsi="Times New Roman" w:cs="Times New Roman"/>
          <w:i/>
          <w:sz w:val="21"/>
          <w:szCs w:val="21"/>
          <w:lang w:eastAsia="en-GB"/>
        </w:rPr>
        <w:t>Antipode</w:t>
      </w:r>
      <w:r w:rsidRPr="00E073CF">
        <w:rPr>
          <w:rFonts w:ascii="Times New Roman" w:hAnsi="Times New Roman" w:cs="Times New Roman"/>
          <w:sz w:val="21"/>
          <w:szCs w:val="21"/>
          <w:lang w:eastAsia="en-GB"/>
        </w:rPr>
        <w:t xml:space="preserve">, vol. 50, </w:t>
      </w:r>
      <w:r w:rsidR="00336133" w:rsidRPr="00E073CF">
        <w:rPr>
          <w:rFonts w:ascii="Times New Roman" w:hAnsi="Times New Roman" w:cs="Times New Roman"/>
          <w:sz w:val="21"/>
          <w:szCs w:val="21"/>
          <w:lang w:eastAsia="en-GB"/>
        </w:rPr>
        <w:t>n</w:t>
      </w:r>
      <w:r w:rsidRPr="00E073CF">
        <w:rPr>
          <w:rFonts w:ascii="Times New Roman" w:hAnsi="Times New Roman" w:cs="Times New Roman"/>
          <w:sz w:val="21"/>
          <w:szCs w:val="21"/>
          <w:lang w:eastAsia="en-GB"/>
        </w:rPr>
        <w:t>o. 1, pp. 101-121.</w:t>
      </w:r>
    </w:p>
    <w:p w14:paraId="774F97E6" w14:textId="380CCB3C" w:rsidR="003279CF" w:rsidRPr="00E073CF" w:rsidRDefault="00E677BC" w:rsidP="00823A6F">
      <w:pPr>
        <w:spacing w:after="160" w:line="240" w:lineRule="auto"/>
        <w:ind w:firstLine="0"/>
        <w:jc w:val="left"/>
        <w:rPr>
          <w:rFonts w:ascii="Times New Roman" w:hAnsi="Times New Roman" w:cs="Times New Roman"/>
          <w:sz w:val="21"/>
          <w:szCs w:val="21"/>
          <w:lang w:eastAsia="en-GB"/>
        </w:rPr>
      </w:pPr>
      <w:r w:rsidRPr="00E073CF">
        <w:rPr>
          <w:rFonts w:ascii="Times New Roman" w:hAnsi="Times New Roman" w:cs="Times New Roman"/>
          <w:sz w:val="21"/>
          <w:szCs w:val="21"/>
          <w:lang w:eastAsia="en-GB"/>
        </w:rPr>
        <w:lastRenderedPageBreak/>
        <w:t xml:space="preserve">Cohen, Y., and </w:t>
      </w:r>
      <w:proofErr w:type="spellStart"/>
      <w:r w:rsidRPr="00E073CF">
        <w:rPr>
          <w:rFonts w:ascii="Times New Roman" w:hAnsi="Times New Roman" w:cs="Times New Roman"/>
          <w:sz w:val="21"/>
          <w:szCs w:val="21"/>
          <w:lang w:eastAsia="en-GB"/>
        </w:rPr>
        <w:t>Haberfeld</w:t>
      </w:r>
      <w:proofErr w:type="spellEnd"/>
      <w:r w:rsidRPr="00E073CF">
        <w:rPr>
          <w:rFonts w:ascii="Times New Roman" w:hAnsi="Times New Roman" w:cs="Times New Roman"/>
          <w:sz w:val="21"/>
          <w:szCs w:val="21"/>
          <w:lang w:eastAsia="en-GB"/>
        </w:rPr>
        <w:t>, Y. 1991.</w:t>
      </w:r>
      <w:r w:rsidR="003279CF" w:rsidRPr="00E073CF">
        <w:rPr>
          <w:rFonts w:ascii="Times New Roman" w:hAnsi="Times New Roman" w:cs="Times New Roman"/>
          <w:sz w:val="21"/>
          <w:szCs w:val="21"/>
          <w:lang w:eastAsia="en-GB"/>
        </w:rPr>
        <w:t xml:space="preserve"> “Why Do Married Men Earn More than Unmarried Men?”, </w:t>
      </w:r>
      <w:r w:rsidR="003279CF" w:rsidRPr="00E073CF">
        <w:rPr>
          <w:rFonts w:ascii="Times New Roman" w:hAnsi="Times New Roman" w:cs="Times New Roman"/>
          <w:i/>
          <w:iCs/>
          <w:sz w:val="21"/>
          <w:szCs w:val="21"/>
          <w:lang w:eastAsia="en-GB"/>
        </w:rPr>
        <w:t>Social Science Research</w:t>
      </w:r>
      <w:r w:rsidR="003279CF" w:rsidRPr="00E073CF">
        <w:rPr>
          <w:rFonts w:ascii="Times New Roman" w:hAnsi="Times New Roman" w:cs="Times New Roman"/>
          <w:sz w:val="21"/>
          <w:szCs w:val="21"/>
          <w:lang w:eastAsia="en-GB"/>
        </w:rPr>
        <w:t xml:space="preserve">, </w:t>
      </w:r>
      <w:r w:rsidRPr="00E073CF">
        <w:rPr>
          <w:rFonts w:ascii="Times New Roman" w:hAnsi="Times New Roman" w:cs="Times New Roman"/>
          <w:sz w:val="21"/>
          <w:szCs w:val="21"/>
          <w:lang w:eastAsia="en-GB"/>
        </w:rPr>
        <w:t xml:space="preserve">vol. </w:t>
      </w:r>
      <w:r w:rsidR="003279CF" w:rsidRPr="00E073CF">
        <w:rPr>
          <w:rFonts w:ascii="Times New Roman" w:hAnsi="Times New Roman" w:cs="Times New Roman"/>
          <w:sz w:val="21"/>
          <w:szCs w:val="21"/>
          <w:lang w:eastAsia="en-GB"/>
        </w:rPr>
        <w:t xml:space="preserve">20, pp. 29-44. </w:t>
      </w:r>
    </w:p>
    <w:p w14:paraId="2C470A98" w14:textId="52250664" w:rsidR="000F0973" w:rsidRPr="00E073CF" w:rsidRDefault="000F0973" w:rsidP="00823A6F">
      <w:pPr>
        <w:spacing w:after="160" w:line="240" w:lineRule="auto"/>
        <w:ind w:firstLine="0"/>
        <w:jc w:val="left"/>
        <w:rPr>
          <w:rFonts w:ascii="Times New Roman" w:hAnsi="Times New Roman" w:cs="Times New Roman"/>
          <w:sz w:val="21"/>
          <w:szCs w:val="21"/>
          <w:lang w:eastAsia="en-GB"/>
        </w:rPr>
      </w:pPr>
      <w:r w:rsidRPr="00E073CF">
        <w:rPr>
          <w:rFonts w:ascii="Times New Roman" w:hAnsi="Times New Roman" w:cs="Times New Roman"/>
          <w:sz w:val="21"/>
          <w:szCs w:val="21"/>
          <w:lang w:eastAsia="en-GB"/>
        </w:rPr>
        <w:t>Dimock, M. 2019</w:t>
      </w:r>
      <w:r w:rsidR="00F83DFC">
        <w:rPr>
          <w:rFonts w:ascii="Times New Roman" w:hAnsi="Times New Roman" w:cs="Times New Roman"/>
          <w:sz w:val="21"/>
          <w:szCs w:val="21"/>
          <w:lang w:eastAsia="en-GB"/>
        </w:rPr>
        <w:t>.</w:t>
      </w:r>
      <w:r w:rsidRPr="00E073CF">
        <w:rPr>
          <w:rFonts w:ascii="Times New Roman" w:hAnsi="Times New Roman" w:cs="Times New Roman"/>
          <w:sz w:val="21"/>
          <w:szCs w:val="21"/>
          <w:lang w:eastAsia="en-GB"/>
        </w:rPr>
        <w:t xml:space="preserve"> “Defining generations: Where Millennials end and Generation Z begins”, Pew Research </w:t>
      </w:r>
      <w:proofErr w:type="spellStart"/>
      <w:r w:rsidRPr="00E073CF">
        <w:rPr>
          <w:rFonts w:ascii="Times New Roman" w:hAnsi="Times New Roman" w:cs="Times New Roman"/>
          <w:sz w:val="21"/>
          <w:szCs w:val="21"/>
          <w:lang w:eastAsia="en-GB"/>
        </w:rPr>
        <w:t>Center</w:t>
      </w:r>
      <w:proofErr w:type="spellEnd"/>
      <w:r w:rsidRPr="00E073CF">
        <w:rPr>
          <w:rFonts w:ascii="Times New Roman" w:hAnsi="Times New Roman" w:cs="Times New Roman"/>
          <w:sz w:val="21"/>
          <w:szCs w:val="21"/>
          <w:lang w:eastAsia="en-GB"/>
        </w:rPr>
        <w:t xml:space="preserve">. Available at: </w:t>
      </w:r>
      <w:hyperlink r:id="rId11" w:history="1">
        <w:r w:rsidRPr="00E073CF">
          <w:rPr>
            <w:rStyle w:val="Hyperlink"/>
            <w:rFonts w:ascii="Times New Roman" w:hAnsi="Times New Roman" w:cs="Times New Roman"/>
            <w:sz w:val="21"/>
            <w:szCs w:val="21"/>
            <w:lang w:eastAsia="en-GB"/>
          </w:rPr>
          <w:t>http://www.pewresearch.org/fact-tank/2019/01/17/where-millennials-end-and-generation-z-begins/</w:t>
        </w:r>
      </w:hyperlink>
      <w:r w:rsidRPr="00E073CF">
        <w:rPr>
          <w:rFonts w:ascii="Times New Roman" w:hAnsi="Times New Roman" w:cs="Times New Roman"/>
          <w:sz w:val="21"/>
          <w:szCs w:val="21"/>
          <w:lang w:eastAsia="en-GB"/>
        </w:rPr>
        <w:t xml:space="preserve"> </w:t>
      </w:r>
      <w:r w:rsidR="008C22B9" w:rsidRPr="00E073CF">
        <w:rPr>
          <w:rFonts w:ascii="Times New Roman" w:hAnsi="Times New Roman" w:cs="Times New Roman"/>
          <w:sz w:val="21"/>
          <w:szCs w:val="21"/>
          <w:lang w:eastAsia="en-GB"/>
        </w:rPr>
        <w:t>(</w:t>
      </w:r>
      <w:r w:rsidRPr="00E073CF">
        <w:rPr>
          <w:rFonts w:ascii="Times New Roman" w:hAnsi="Times New Roman" w:cs="Times New Roman"/>
          <w:sz w:val="21"/>
          <w:szCs w:val="21"/>
          <w:lang w:eastAsia="en-GB"/>
        </w:rPr>
        <w:t>Accessed: 22</w:t>
      </w:r>
      <w:r w:rsidRPr="00E073CF">
        <w:rPr>
          <w:rFonts w:ascii="Times New Roman" w:hAnsi="Times New Roman" w:cs="Times New Roman"/>
          <w:sz w:val="21"/>
          <w:szCs w:val="21"/>
          <w:vertAlign w:val="superscript"/>
          <w:lang w:eastAsia="en-GB"/>
        </w:rPr>
        <w:t>th</w:t>
      </w:r>
      <w:r w:rsidRPr="00E073CF">
        <w:rPr>
          <w:rFonts w:ascii="Times New Roman" w:hAnsi="Times New Roman" w:cs="Times New Roman"/>
          <w:sz w:val="21"/>
          <w:szCs w:val="21"/>
          <w:lang w:eastAsia="en-GB"/>
        </w:rPr>
        <w:t xml:space="preserve"> February 2019</w:t>
      </w:r>
      <w:r w:rsidR="008C22B9" w:rsidRPr="00E073CF">
        <w:rPr>
          <w:rFonts w:ascii="Times New Roman" w:hAnsi="Times New Roman" w:cs="Times New Roman"/>
          <w:sz w:val="21"/>
          <w:szCs w:val="21"/>
          <w:lang w:eastAsia="en-GB"/>
        </w:rPr>
        <w:t>)</w:t>
      </w:r>
      <w:r w:rsidRPr="00E073CF">
        <w:rPr>
          <w:rFonts w:ascii="Times New Roman" w:hAnsi="Times New Roman" w:cs="Times New Roman"/>
          <w:sz w:val="21"/>
          <w:szCs w:val="21"/>
          <w:lang w:eastAsia="en-GB"/>
        </w:rPr>
        <w:t>.</w:t>
      </w:r>
    </w:p>
    <w:p w14:paraId="199E2965" w14:textId="028730D1" w:rsidR="009B4069" w:rsidRPr="00E073CF" w:rsidRDefault="009B4069" w:rsidP="00823A6F">
      <w:pPr>
        <w:spacing w:after="160" w:line="240" w:lineRule="auto"/>
        <w:ind w:firstLine="0"/>
        <w:jc w:val="left"/>
        <w:rPr>
          <w:rFonts w:ascii="Times New Roman" w:hAnsi="Times New Roman" w:cs="Times New Roman"/>
          <w:sz w:val="21"/>
          <w:szCs w:val="21"/>
          <w:lang w:eastAsia="en-GB"/>
        </w:rPr>
      </w:pPr>
      <w:r w:rsidRPr="00E073CF">
        <w:rPr>
          <w:rFonts w:ascii="Times New Roman" w:hAnsi="Times New Roman" w:cs="Times New Roman"/>
          <w:sz w:val="21"/>
          <w:szCs w:val="21"/>
          <w:lang w:eastAsia="en-GB"/>
        </w:rPr>
        <w:t xml:space="preserve">Doss, </w:t>
      </w:r>
      <w:r w:rsidR="00377EAF">
        <w:rPr>
          <w:rFonts w:ascii="Times New Roman" w:hAnsi="Times New Roman" w:cs="Times New Roman"/>
          <w:sz w:val="21"/>
          <w:szCs w:val="21"/>
          <w:lang w:eastAsia="en-GB"/>
        </w:rPr>
        <w:t>C.</w:t>
      </w:r>
      <w:r w:rsidRPr="00E073CF">
        <w:rPr>
          <w:rFonts w:ascii="Times New Roman" w:hAnsi="Times New Roman" w:cs="Times New Roman"/>
          <w:sz w:val="21"/>
          <w:szCs w:val="21"/>
          <w:lang w:eastAsia="en-GB"/>
        </w:rPr>
        <w:t xml:space="preserve">, Grown, </w:t>
      </w:r>
      <w:r w:rsidR="00377EAF">
        <w:rPr>
          <w:rFonts w:ascii="Times New Roman" w:hAnsi="Times New Roman" w:cs="Times New Roman"/>
          <w:sz w:val="21"/>
          <w:szCs w:val="21"/>
          <w:lang w:eastAsia="en-GB"/>
        </w:rPr>
        <w:t xml:space="preserve">C., </w:t>
      </w:r>
      <w:r w:rsidRPr="00E073CF">
        <w:rPr>
          <w:rFonts w:ascii="Times New Roman" w:hAnsi="Times New Roman" w:cs="Times New Roman"/>
          <w:sz w:val="21"/>
          <w:szCs w:val="21"/>
          <w:lang w:eastAsia="en-GB"/>
        </w:rPr>
        <w:t>and Deere</w:t>
      </w:r>
      <w:r w:rsidR="00377EAF">
        <w:rPr>
          <w:rFonts w:ascii="Times New Roman" w:hAnsi="Times New Roman" w:cs="Times New Roman"/>
          <w:sz w:val="21"/>
          <w:szCs w:val="21"/>
          <w:lang w:eastAsia="en-GB"/>
        </w:rPr>
        <w:t xml:space="preserve">, C.D. </w:t>
      </w:r>
      <w:r w:rsidRPr="00E073CF">
        <w:rPr>
          <w:rFonts w:ascii="Times New Roman" w:hAnsi="Times New Roman" w:cs="Times New Roman"/>
          <w:sz w:val="21"/>
          <w:szCs w:val="21"/>
          <w:lang w:eastAsia="en-GB"/>
        </w:rPr>
        <w:t>2008</w:t>
      </w:r>
      <w:r w:rsidR="00F83DFC">
        <w:rPr>
          <w:rFonts w:ascii="Times New Roman" w:hAnsi="Times New Roman" w:cs="Times New Roman"/>
          <w:sz w:val="21"/>
          <w:szCs w:val="21"/>
          <w:lang w:eastAsia="en-GB"/>
        </w:rPr>
        <w:t xml:space="preserve">. </w:t>
      </w:r>
      <w:r w:rsidRPr="00E073CF">
        <w:rPr>
          <w:rFonts w:ascii="Times New Roman" w:hAnsi="Times New Roman" w:cs="Times New Roman"/>
          <w:i/>
          <w:iCs/>
          <w:sz w:val="21"/>
          <w:szCs w:val="21"/>
          <w:lang w:eastAsia="en-GB"/>
        </w:rPr>
        <w:t xml:space="preserve">Gender </w:t>
      </w:r>
      <w:proofErr w:type="gramStart"/>
      <w:r w:rsidRPr="00E073CF">
        <w:rPr>
          <w:rFonts w:ascii="Times New Roman" w:hAnsi="Times New Roman" w:cs="Times New Roman"/>
          <w:i/>
          <w:iCs/>
          <w:sz w:val="21"/>
          <w:szCs w:val="21"/>
          <w:lang w:eastAsia="en-GB"/>
        </w:rPr>
        <w:t>And</w:t>
      </w:r>
      <w:proofErr w:type="gramEnd"/>
      <w:r w:rsidRPr="00E073CF">
        <w:rPr>
          <w:rFonts w:ascii="Times New Roman" w:hAnsi="Times New Roman" w:cs="Times New Roman"/>
          <w:i/>
          <w:iCs/>
          <w:sz w:val="21"/>
          <w:szCs w:val="21"/>
          <w:lang w:eastAsia="en-GB"/>
        </w:rPr>
        <w:t xml:space="preserve"> Asset Ownership: A Guide To Collecting Individual-Level Data</w:t>
      </w:r>
      <w:r w:rsidR="00377EAF">
        <w:rPr>
          <w:rFonts w:ascii="Times New Roman" w:hAnsi="Times New Roman" w:cs="Times New Roman"/>
          <w:sz w:val="21"/>
          <w:szCs w:val="21"/>
          <w:lang w:eastAsia="en-GB"/>
        </w:rPr>
        <w:t>,</w:t>
      </w:r>
      <w:r w:rsidRPr="00E073CF">
        <w:rPr>
          <w:rFonts w:ascii="Times New Roman" w:hAnsi="Times New Roman" w:cs="Times New Roman"/>
          <w:sz w:val="21"/>
          <w:szCs w:val="21"/>
          <w:lang w:eastAsia="en-GB"/>
        </w:rPr>
        <w:t xml:space="preserve"> Policy Research Working Papers</w:t>
      </w:r>
      <w:r w:rsidR="00377EAF">
        <w:rPr>
          <w:rFonts w:ascii="Times New Roman" w:hAnsi="Times New Roman" w:cs="Times New Roman"/>
          <w:sz w:val="21"/>
          <w:szCs w:val="21"/>
          <w:lang w:eastAsia="en-GB"/>
        </w:rPr>
        <w:t xml:space="preserve">, </w:t>
      </w:r>
      <w:r w:rsidRPr="00E073CF">
        <w:rPr>
          <w:rFonts w:ascii="Times New Roman" w:hAnsi="Times New Roman" w:cs="Times New Roman"/>
          <w:sz w:val="21"/>
          <w:szCs w:val="21"/>
          <w:lang w:eastAsia="en-GB"/>
        </w:rPr>
        <w:t>The World Bank. </w:t>
      </w:r>
      <w:hyperlink r:id="rId12" w:history="1">
        <w:r w:rsidRPr="00E073CF">
          <w:rPr>
            <w:rStyle w:val="Hyperlink"/>
            <w:rFonts w:ascii="Times New Roman" w:hAnsi="Times New Roman" w:cs="Times New Roman"/>
            <w:sz w:val="21"/>
            <w:szCs w:val="21"/>
            <w:lang w:eastAsia="en-GB"/>
          </w:rPr>
          <w:t>https://doi.org/10.1596/1813-9450-4704</w:t>
        </w:r>
      </w:hyperlink>
      <w:r w:rsidRPr="00E073CF">
        <w:rPr>
          <w:rFonts w:ascii="Times New Roman" w:hAnsi="Times New Roman" w:cs="Times New Roman"/>
          <w:sz w:val="21"/>
          <w:szCs w:val="21"/>
          <w:lang w:eastAsia="en-GB"/>
        </w:rPr>
        <w:t>.</w:t>
      </w:r>
    </w:p>
    <w:p w14:paraId="76A96FE2" w14:textId="5A73700B" w:rsidR="00E677BC" w:rsidRPr="00E073CF" w:rsidRDefault="00E677BC" w:rsidP="00823A6F">
      <w:pPr>
        <w:spacing w:after="160" w:line="240" w:lineRule="auto"/>
        <w:ind w:firstLine="0"/>
        <w:jc w:val="left"/>
        <w:rPr>
          <w:rFonts w:ascii="Times New Roman" w:hAnsi="Times New Roman" w:cs="Times New Roman"/>
          <w:sz w:val="21"/>
          <w:szCs w:val="21"/>
          <w:lang w:eastAsia="en-GB"/>
        </w:rPr>
      </w:pPr>
      <w:r w:rsidRPr="00E073CF">
        <w:rPr>
          <w:rFonts w:ascii="Times New Roman" w:hAnsi="Times New Roman" w:cs="Times New Roman"/>
          <w:sz w:val="21"/>
          <w:szCs w:val="21"/>
          <w:lang w:eastAsia="en-GB"/>
        </w:rPr>
        <w:t>Dos Santos, P.L. 2009. “At the Heart of the Matter: Household Debt in Contemporary Banking and the International Crisis”, Research on Money and Finance Discussion Paper no 11.</w:t>
      </w:r>
    </w:p>
    <w:p w14:paraId="66C6AD26" w14:textId="2B2D102A" w:rsidR="00CC41EA" w:rsidRPr="00E073CF" w:rsidRDefault="00CC41EA" w:rsidP="00823A6F">
      <w:pPr>
        <w:spacing w:after="160" w:line="240" w:lineRule="auto"/>
        <w:ind w:firstLine="0"/>
        <w:jc w:val="left"/>
        <w:rPr>
          <w:rFonts w:ascii="Times New Roman" w:hAnsi="Times New Roman" w:cs="Times New Roman"/>
          <w:sz w:val="21"/>
          <w:szCs w:val="21"/>
          <w:lang w:eastAsia="en-GB"/>
        </w:rPr>
      </w:pPr>
      <w:r w:rsidRPr="00E073CF">
        <w:rPr>
          <w:rFonts w:ascii="Times New Roman" w:hAnsi="Times New Roman" w:cs="Times New Roman"/>
          <w:sz w:val="21"/>
          <w:szCs w:val="21"/>
          <w:lang w:eastAsia="en-GB"/>
        </w:rPr>
        <w:t xml:space="preserve">Federal Reserve Economic Data, St. Louis Fed. Available at: </w:t>
      </w:r>
      <w:hyperlink r:id="rId13" w:history="1">
        <w:r w:rsidRPr="00E073CF">
          <w:rPr>
            <w:rStyle w:val="Hyperlink"/>
            <w:rFonts w:ascii="Times New Roman" w:hAnsi="Times New Roman" w:cs="Times New Roman"/>
            <w:sz w:val="21"/>
            <w:szCs w:val="21"/>
            <w:lang w:eastAsia="en-GB"/>
          </w:rPr>
          <w:t>https://fred.stlouisfed.org</w:t>
        </w:r>
      </w:hyperlink>
      <w:r w:rsidRPr="00E073CF">
        <w:rPr>
          <w:rFonts w:ascii="Times New Roman" w:hAnsi="Times New Roman" w:cs="Times New Roman"/>
          <w:sz w:val="21"/>
          <w:szCs w:val="21"/>
          <w:lang w:eastAsia="en-GB"/>
        </w:rPr>
        <w:t xml:space="preserve"> (Accessed 16</w:t>
      </w:r>
      <w:r w:rsidRPr="00E073CF">
        <w:rPr>
          <w:rFonts w:ascii="Times New Roman" w:hAnsi="Times New Roman" w:cs="Times New Roman"/>
          <w:sz w:val="21"/>
          <w:szCs w:val="21"/>
          <w:vertAlign w:val="superscript"/>
          <w:lang w:eastAsia="en-GB"/>
        </w:rPr>
        <w:t>th</w:t>
      </w:r>
      <w:r w:rsidRPr="00E073CF">
        <w:rPr>
          <w:rFonts w:ascii="Times New Roman" w:hAnsi="Times New Roman" w:cs="Times New Roman"/>
          <w:sz w:val="21"/>
          <w:szCs w:val="21"/>
          <w:lang w:eastAsia="en-GB"/>
        </w:rPr>
        <w:t xml:space="preserve"> August 2018).</w:t>
      </w:r>
    </w:p>
    <w:p w14:paraId="438340A0" w14:textId="32135884" w:rsidR="003279CF" w:rsidRPr="00E073CF" w:rsidRDefault="003279CF" w:rsidP="00823A6F">
      <w:pPr>
        <w:spacing w:after="160" w:line="240" w:lineRule="auto"/>
        <w:ind w:firstLine="0"/>
        <w:jc w:val="left"/>
        <w:rPr>
          <w:rFonts w:ascii="TimesNewRoman,Bold" w:hAnsi="TimesNewRoman,Bold" w:cs="Times New Roman"/>
          <w:sz w:val="21"/>
          <w:szCs w:val="21"/>
          <w:lang w:eastAsia="en-GB"/>
        </w:rPr>
      </w:pPr>
      <w:r w:rsidRPr="00E073CF">
        <w:rPr>
          <w:rFonts w:ascii="Times New Roman" w:hAnsi="Times New Roman" w:cs="Times New Roman"/>
          <w:sz w:val="21"/>
          <w:szCs w:val="21"/>
          <w:lang w:eastAsia="en-GB"/>
        </w:rPr>
        <w:t>Fontana, G., Rod</w:t>
      </w:r>
      <w:r w:rsidR="00E677BC" w:rsidRPr="00E073CF">
        <w:rPr>
          <w:rFonts w:ascii="Times New Roman" w:hAnsi="Times New Roman" w:cs="Times New Roman"/>
          <w:sz w:val="21"/>
          <w:szCs w:val="21"/>
          <w:lang w:eastAsia="en-GB"/>
        </w:rPr>
        <w:t>riguez-Gil, A., and Sawyer, M. 2014.</w:t>
      </w:r>
      <w:r w:rsidRPr="00E073CF">
        <w:rPr>
          <w:rFonts w:ascii="Times New Roman" w:hAnsi="Times New Roman" w:cs="Times New Roman"/>
          <w:sz w:val="21"/>
          <w:szCs w:val="21"/>
          <w:lang w:eastAsia="en-GB"/>
        </w:rPr>
        <w:t xml:space="preserve"> “</w:t>
      </w:r>
      <w:r w:rsidRPr="00E073CF">
        <w:rPr>
          <w:rFonts w:ascii="TimesNewRoman,Bold" w:hAnsi="TimesNewRoman,Bold" w:cs="Times New Roman"/>
          <w:sz w:val="21"/>
          <w:szCs w:val="21"/>
          <w:lang w:eastAsia="en-GB"/>
        </w:rPr>
        <w:t>The Macroeconomic Analysis of Financialisation and Wage Inequalities</w:t>
      </w:r>
      <w:r w:rsidRPr="00E073CF">
        <w:rPr>
          <w:rFonts w:ascii="Times New Roman" w:hAnsi="Times New Roman" w:cs="Times New Roman"/>
          <w:sz w:val="21"/>
          <w:szCs w:val="21"/>
          <w:lang w:eastAsia="en-GB"/>
        </w:rPr>
        <w:t>”</w:t>
      </w:r>
      <w:r w:rsidRPr="00E073CF">
        <w:rPr>
          <w:rFonts w:ascii="TimesNewRoman,Bold" w:hAnsi="TimesNewRoman,Bold" w:cs="Times New Roman"/>
          <w:sz w:val="21"/>
          <w:szCs w:val="21"/>
          <w:lang w:eastAsia="en-GB"/>
        </w:rPr>
        <w:t>, mimeo.</w:t>
      </w:r>
    </w:p>
    <w:p w14:paraId="217BFFC5" w14:textId="570BA60D" w:rsidR="00E677BC" w:rsidRPr="00E073CF" w:rsidRDefault="00E677BC" w:rsidP="00823A6F">
      <w:pPr>
        <w:spacing w:after="160" w:line="240" w:lineRule="auto"/>
        <w:ind w:firstLine="0"/>
        <w:jc w:val="left"/>
        <w:rPr>
          <w:rFonts w:ascii="TimesNewRoman,Bold" w:hAnsi="TimesNewRoman,Bold" w:cs="Times New Roman"/>
          <w:sz w:val="21"/>
          <w:szCs w:val="21"/>
          <w:lang w:eastAsia="en-GB"/>
        </w:rPr>
      </w:pPr>
      <w:proofErr w:type="spellStart"/>
      <w:r w:rsidRPr="00E073CF">
        <w:rPr>
          <w:rFonts w:ascii="TimesNewRoman,Bold" w:hAnsi="TimesNewRoman,Bold" w:cs="Times New Roman"/>
          <w:sz w:val="21"/>
          <w:szCs w:val="21"/>
          <w:lang w:eastAsia="en-GB"/>
        </w:rPr>
        <w:t>Goda</w:t>
      </w:r>
      <w:proofErr w:type="spellEnd"/>
      <w:r w:rsidRPr="00E073CF">
        <w:rPr>
          <w:rFonts w:ascii="TimesNewRoman,Bold" w:hAnsi="TimesNewRoman,Bold" w:cs="Times New Roman"/>
          <w:sz w:val="21"/>
          <w:szCs w:val="21"/>
          <w:lang w:eastAsia="en-GB"/>
        </w:rPr>
        <w:t xml:space="preserve">, T., and </w:t>
      </w:r>
      <w:proofErr w:type="spellStart"/>
      <w:r w:rsidRPr="00E073CF">
        <w:rPr>
          <w:rFonts w:ascii="TimesNewRoman,Bold" w:hAnsi="TimesNewRoman,Bold" w:cs="Times New Roman"/>
          <w:sz w:val="21"/>
          <w:szCs w:val="21"/>
          <w:lang w:eastAsia="en-GB"/>
        </w:rPr>
        <w:t>Lysandrou</w:t>
      </w:r>
      <w:proofErr w:type="spellEnd"/>
      <w:r w:rsidRPr="00E073CF">
        <w:rPr>
          <w:rFonts w:ascii="TimesNewRoman,Bold" w:hAnsi="TimesNewRoman,Bold" w:cs="Times New Roman"/>
          <w:sz w:val="21"/>
          <w:szCs w:val="21"/>
          <w:lang w:eastAsia="en-GB"/>
        </w:rPr>
        <w:t xml:space="preserve">, P. 2013. “The Contribution of Wealth Concentration to the Subprime Crisis: A Quantitative Estimation”, </w:t>
      </w:r>
      <w:r w:rsidRPr="00E073CF">
        <w:rPr>
          <w:rFonts w:ascii="TimesNewRoman,Bold" w:hAnsi="TimesNewRoman,Bold" w:cs="Times New Roman"/>
          <w:i/>
          <w:sz w:val="21"/>
          <w:szCs w:val="21"/>
          <w:lang w:eastAsia="en-GB"/>
        </w:rPr>
        <w:t>Cambridge Journal of Economics</w:t>
      </w:r>
      <w:r w:rsidRPr="00E073CF">
        <w:rPr>
          <w:rFonts w:ascii="TimesNewRoman,Bold" w:hAnsi="TimesNewRoman,Bold" w:cs="Times New Roman"/>
          <w:sz w:val="21"/>
          <w:szCs w:val="21"/>
          <w:lang w:eastAsia="en-GB"/>
        </w:rPr>
        <w:t>, vol. 38, no. 2, pp. 301-27.</w:t>
      </w:r>
    </w:p>
    <w:p w14:paraId="6FB9DE3F" w14:textId="77777777" w:rsidR="00E677BC" w:rsidRPr="00E073CF" w:rsidRDefault="00E677BC" w:rsidP="00823A6F">
      <w:pPr>
        <w:spacing w:after="160" w:line="240" w:lineRule="auto"/>
        <w:ind w:firstLine="0"/>
        <w:jc w:val="left"/>
        <w:rPr>
          <w:rFonts w:ascii="TimesNewRoman,Bold" w:hAnsi="TimesNewRoman,Bold" w:cs="Times New Roman"/>
          <w:sz w:val="21"/>
          <w:szCs w:val="21"/>
          <w:lang w:eastAsia="en-GB"/>
        </w:rPr>
      </w:pPr>
      <w:proofErr w:type="spellStart"/>
      <w:r w:rsidRPr="00E073CF">
        <w:rPr>
          <w:rFonts w:ascii="TimesNewRoman,Bold" w:hAnsi="TimesNewRoman,Bold" w:cs="Times New Roman"/>
          <w:sz w:val="21"/>
          <w:szCs w:val="21"/>
          <w:lang w:eastAsia="en-GB"/>
        </w:rPr>
        <w:t>Granato</w:t>
      </w:r>
      <w:proofErr w:type="spellEnd"/>
      <w:r w:rsidRPr="00E073CF">
        <w:rPr>
          <w:rFonts w:ascii="TimesNewRoman,Bold" w:hAnsi="TimesNewRoman,Bold" w:cs="Times New Roman"/>
          <w:sz w:val="21"/>
          <w:szCs w:val="21"/>
          <w:lang w:eastAsia="en-GB"/>
        </w:rPr>
        <w:t>, G.E. 2006.</w:t>
      </w:r>
      <w:r w:rsidR="003279CF" w:rsidRPr="00E073CF">
        <w:rPr>
          <w:rFonts w:ascii="TimesNewRoman,Bold" w:hAnsi="TimesNewRoman,Bold" w:cs="Times New Roman"/>
          <w:sz w:val="21"/>
          <w:szCs w:val="21"/>
          <w:lang w:eastAsia="en-GB"/>
        </w:rPr>
        <w:t xml:space="preserve"> “Kendall-Theil Robust Line (</w:t>
      </w:r>
      <w:proofErr w:type="spellStart"/>
      <w:r w:rsidR="003279CF" w:rsidRPr="00E073CF">
        <w:rPr>
          <w:rFonts w:ascii="TimesNewRoman,Bold" w:hAnsi="TimesNewRoman,Bold" w:cs="Times New Roman"/>
          <w:sz w:val="21"/>
          <w:szCs w:val="21"/>
          <w:lang w:eastAsia="en-GB"/>
        </w:rPr>
        <w:t>KTRLine</w:t>
      </w:r>
      <w:proofErr w:type="spellEnd"/>
      <w:r w:rsidR="003279CF" w:rsidRPr="00E073CF">
        <w:rPr>
          <w:rFonts w:ascii="TimesNewRoman,Bold" w:hAnsi="TimesNewRoman,Bold" w:cs="Times New Roman"/>
          <w:sz w:val="21"/>
          <w:szCs w:val="21"/>
          <w:lang w:eastAsia="en-GB"/>
        </w:rPr>
        <w:t xml:space="preserve">—version 1.0) – A visual basic program for calculating and graphing robust nonparametric estimates of linear-regression coefficients between two continuous variables”. In: </w:t>
      </w:r>
      <w:r w:rsidR="003279CF" w:rsidRPr="00E073CF">
        <w:rPr>
          <w:rFonts w:ascii="TimesNewRoman,Bold" w:hAnsi="TimesNewRoman,Bold" w:cs="Times New Roman"/>
          <w:i/>
          <w:iCs/>
          <w:sz w:val="21"/>
          <w:szCs w:val="21"/>
          <w:lang w:eastAsia="en-GB"/>
        </w:rPr>
        <w:t>Techniques and Methods of the U.S. Geological Survey</w:t>
      </w:r>
      <w:r w:rsidR="003279CF" w:rsidRPr="00E073CF">
        <w:rPr>
          <w:rFonts w:ascii="TimesNewRoman,Bold" w:hAnsi="TimesNewRoman,Bold" w:cs="Times New Roman"/>
          <w:sz w:val="21"/>
          <w:szCs w:val="21"/>
          <w:lang w:eastAsia="en-GB"/>
        </w:rPr>
        <w:t xml:space="preserve">, Book 4, pp. 1-31. </w:t>
      </w:r>
    </w:p>
    <w:p w14:paraId="4EA222EC" w14:textId="58F09A72" w:rsidR="008C22B9" w:rsidRPr="00E073CF" w:rsidRDefault="008C22B9" w:rsidP="008C22B9">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Greenwood, J., </w:t>
      </w:r>
      <w:proofErr w:type="spellStart"/>
      <w:r w:rsidRPr="00E073CF">
        <w:rPr>
          <w:rFonts w:ascii="TimesNewRoman,Bold" w:hAnsi="TimesNewRoman,Bold" w:cs="Times New Roman"/>
          <w:sz w:val="21"/>
          <w:szCs w:val="21"/>
          <w:lang w:eastAsia="en-GB"/>
        </w:rPr>
        <w:t>Guner</w:t>
      </w:r>
      <w:proofErr w:type="spellEnd"/>
      <w:r w:rsidRPr="00E073CF">
        <w:rPr>
          <w:rFonts w:ascii="TimesNewRoman,Bold" w:hAnsi="TimesNewRoman,Bold" w:cs="Times New Roman"/>
          <w:sz w:val="21"/>
          <w:szCs w:val="21"/>
          <w:lang w:eastAsia="en-GB"/>
        </w:rPr>
        <w:t xml:space="preserve">, N., </w:t>
      </w:r>
      <w:proofErr w:type="spellStart"/>
      <w:r w:rsidRPr="00E073CF">
        <w:rPr>
          <w:rFonts w:ascii="TimesNewRoman,Bold" w:hAnsi="TimesNewRoman,Bold" w:cs="Times New Roman"/>
          <w:sz w:val="21"/>
          <w:szCs w:val="21"/>
          <w:lang w:eastAsia="en-GB"/>
        </w:rPr>
        <w:t>Kocharkov</w:t>
      </w:r>
      <w:proofErr w:type="spellEnd"/>
      <w:r w:rsidRPr="00E073CF">
        <w:rPr>
          <w:rFonts w:ascii="TimesNewRoman,Bold" w:hAnsi="TimesNewRoman,Bold" w:cs="Times New Roman"/>
          <w:sz w:val="21"/>
          <w:szCs w:val="21"/>
          <w:lang w:eastAsia="en-GB"/>
        </w:rPr>
        <w:t>, G., and Santos, C. 2014</w:t>
      </w:r>
      <w:r w:rsidR="00F83DFC">
        <w:rPr>
          <w:rFonts w:ascii="TimesNewRoman,Bold" w:hAnsi="TimesNewRoman,Bold" w:cs="Times New Roman"/>
          <w:sz w:val="21"/>
          <w:szCs w:val="21"/>
          <w:lang w:eastAsia="en-GB"/>
        </w:rPr>
        <w:t>.</w:t>
      </w:r>
      <w:r w:rsidRPr="00E073CF">
        <w:rPr>
          <w:rFonts w:ascii="TimesNewRoman,Bold" w:hAnsi="TimesNewRoman,Bold" w:cs="Times New Roman"/>
          <w:sz w:val="21"/>
          <w:szCs w:val="21"/>
          <w:lang w:eastAsia="en-GB"/>
        </w:rPr>
        <w:t xml:space="preserve"> “Marry Your Like: Assortative Mating and Income Inequality”. Working Paper No. 19829. Cambridge, MA: National Bureau of Economic Research. Available at: </w:t>
      </w:r>
      <w:hyperlink r:id="rId14" w:history="1">
        <w:r w:rsidRPr="00E073CF">
          <w:rPr>
            <w:rStyle w:val="Hyperlink"/>
            <w:rFonts w:ascii="TimesNewRoman,Bold" w:hAnsi="TimesNewRoman,Bold" w:cs="Times New Roman"/>
            <w:sz w:val="21"/>
            <w:szCs w:val="21"/>
            <w:lang w:eastAsia="en-GB"/>
          </w:rPr>
          <w:t>https://www.nber.org/papers/w19829.pdf</w:t>
        </w:r>
      </w:hyperlink>
      <w:r w:rsidRPr="00E073CF">
        <w:rPr>
          <w:rFonts w:ascii="TimesNewRoman,Bold" w:hAnsi="TimesNewRoman,Bold" w:cs="Times New Roman"/>
          <w:sz w:val="21"/>
          <w:szCs w:val="21"/>
          <w:lang w:eastAsia="en-GB"/>
        </w:rPr>
        <w:t xml:space="preserve"> (Accessed 26</w:t>
      </w:r>
      <w:r w:rsidRPr="00E073CF">
        <w:rPr>
          <w:rFonts w:ascii="TimesNewRoman,Bold" w:hAnsi="TimesNewRoman,Bold" w:cs="Times New Roman"/>
          <w:sz w:val="21"/>
          <w:szCs w:val="21"/>
          <w:vertAlign w:val="superscript"/>
          <w:lang w:eastAsia="en-GB"/>
        </w:rPr>
        <w:t>th</w:t>
      </w:r>
      <w:r w:rsidRPr="00E073CF">
        <w:rPr>
          <w:rFonts w:ascii="TimesNewRoman,Bold" w:hAnsi="TimesNewRoman,Bold" w:cs="Times New Roman"/>
          <w:sz w:val="21"/>
          <w:szCs w:val="21"/>
          <w:lang w:eastAsia="en-GB"/>
        </w:rPr>
        <w:t xml:space="preserve"> February 2019).</w:t>
      </w:r>
    </w:p>
    <w:p w14:paraId="163A8787" w14:textId="48900841"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Hamilton, B.H. 2000.</w:t>
      </w:r>
      <w:r w:rsidR="003279CF" w:rsidRPr="00E073CF">
        <w:rPr>
          <w:rFonts w:ascii="TimesNewRoman,Bold" w:hAnsi="TimesNewRoman,Bold" w:cs="Times New Roman"/>
          <w:sz w:val="21"/>
          <w:szCs w:val="21"/>
          <w:lang w:eastAsia="en-GB"/>
        </w:rPr>
        <w:t xml:space="preserve"> “Does Entrepreneurship Pay? An Empirical Analysis of the Returns to Self- Employment”, </w:t>
      </w:r>
      <w:r w:rsidR="003279CF" w:rsidRPr="00E073CF">
        <w:rPr>
          <w:rFonts w:ascii="TimesNewRoman,Bold" w:hAnsi="TimesNewRoman,Bold" w:cs="Times New Roman"/>
          <w:i/>
          <w:iCs/>
          <w:sz w:val="21"/>
          <w:szCs w:val="21"/>
          <w:lang w:eastAsia="en-GB"/>
        </w:rPr>
        <w:t>Journal of Political Economy</w:t>
      </w:r>
      <w:r w:rsidR="003279CF" w:rsidRPr="00E073CF">
        <w:rPr>
          <w:rFonts w:ascii="TimesNewRoman,Bold" w:hAnsi="TimesNewRoman,Bold" w:cs="Times New Roman"/>
          <w:sz w:val="21"/>
          <w:szCs w:val="21"/>
          <w:lang w:eastAsia="en-GB"/>
        </w:rPr>
        <w:t xml:space="preserve">, </w:t>
      </w:r>
      <w:r w:rsidRPr="00E073CF">
        <w:rPr>
          <w:rFonts w:ascii="TimesNewRoman,Bold" w:hAnsi="TimesNewRoman,Bold" w:cs="Times New Roman"/>
          <w:sz w:val="21"/>
          <w:szCs w:val="21"/>
          <w:lang w:eastAsia="en-GB"/>
        </w:rPr>
        <w:t xml:space="preserve">vol. </w:t>
      </w:r>
      <w:r w:rsidR="003279CF" w:rsidRPr="00E073CF">
        <w:rPr>
          <w:rFonts w:ascii="TimesNewRoman,Bold" w:hAnsi="TimesNewRoman,Bold" w:cs="Times New Roman"/>
          <w:sz w:val="21"/>
          <w:szCs w:val="21"/>
          <w:lang w:eastAsia="en-GB"/>
        </w:rPr>
        <w:t xml:space="preserve">108, pp. 604-631. </w:t>
      </w:r>
    </w:p>
    <w:p w14:paraId="439770FB" w14:textId="7A1F6339" w:rsidR="00D86671" w:rsidRPr="00E073CF" w:rsidRDefault="00D86671"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Henry, B., Reese, J., and Torres, A. 2013. </w:t>
      </w:r>
      <w:r w:rsidRPr="00E073CF">
        <w:rPr>
          <w:rFonts w:ascii="TimesNewRoman,Bold" w:hAnsi="TimesNewRoman,Bold" w:cs="Times New Roman"/>
          <w:i/>
          <w:iCs/>
          <w:sz w:val="21"/>
          <w:szCs w:val="21"/>
          <w:lang w:eastAsia="en-GB"/>
        </w:rPr>
        <w:t>Wasted Wealth. How the Wall Street Crash Continues to Stall Economic Recovery and Deepen Racial Inequity in America</w:t>
      </w:r>
      <w:r w:rsidRPr="00E073CF">
        <w:rPr>
          <w:rFonts w:ascii="TimesNewRoman,Bold" w:hAnsi="TimesNewRoman,Bold" w:cs="Times New Roman"/>
          <w:sz w:val="21"/>
          <w:szCs w:val="21"/>
          <w:lang w:eastAsia="en-GB"/>
        </w:rPr>
        <w:t xml:space="preserve">, Alliance for a Just Society. </w:t>
      </w:r>
    </w:p>
    <w:p w14:paraId="574257A3" w14:textId="5652A694" w:rsidR="009B4069" w:rsidRPr="00E073CF" w:rsidRDefault="009B4069"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Hogan, H</w:t>
      </w:r>
      <w:r w:rsidR="00F83DFC">
        <w:rPr>
          <w:rFonts w:ascii="TimesNewRoman,Bold" w:hAnsi="TimesNewRoman,Bold" w:cs="Times New Roman"/>
          <w:sz w:val="21"/>
          <w:szCs w:val="21"/>
          <w:lang w:eastAsia="en-GB"/>
        </w:rPr>
        <w:t>.</w:t>
      </w:r>
      <w:r w:rsidRPr="00E073CF">
        <w:rPr>
          <w:rFonts w:ascii="TimesNewRoman,Bold" w:hAnsi="TimesNewRoman,Bold" w:cs="Times New Roman"/>
          <w:sz w:val="21"/>
          <w:szCs w:val="21"/>
          <w:lang w:eastAsia="en-GB"/>
        </w:rPr>
        <w:t>, Perez,</w:t>
      </w:r>
      <w:r w:rsidR="00F83DFC">
        <w:rPr>
          <w:rFonts w:ascii="TimesNewRoman,Bold" w:hAnsi="TimesNewRoman,Bold" w:cs="Times New Roman"/>
          <w:sz w:val="21"/>
          <w:szCs w:val="21"/>
          <w:lang w:eastAsia="en-GB"/>
        </w:rPr>
        <w:t xml:space="preserve"> D.,</w:t>
      </w:r>
      <w:r w:rsidRPr="00E073CF">
        <w:rPr>
          <w:rFonts w:ascii="TimesNewRoman,Bold" w:hAnsi="TimesNewRoman,Bold" w:cs="Times New Roman"/>
          <w:sz w:val="21"/>
          <w:szCs w:val="21"/>
          <w:lang w:eastAsia="en-GB"/>
        </w:rPr>
        <w:t xml:space="preserve"> and Bell</w:t>
      </w:r>
      <w:r w:rsidR="00F83DFC">
        <w:rPr>
          <w:rFonts w:ascii="TimesNewRoman,Bold" w:hAnsi="TimesNewRoman,Bold" w:cs="Times New Roman"/>
          <w:sz w:val="21"/>
          <w:szCs w:val="21"/>
          <w:lang w:eastAsia="en-GB"/>
        </w:rPr>
        <w:t>, W.B</w:t>
      </w:r>
      <w:r w:rsidRPr="00E073CF">
        <w:rPr>
          <w:rFonts w:ascii="TimesNewRoman,Bold" w:hAnsi="TimesNewRoman,Bold" w:cs="Times New Roman"/>
          <w:sz w:val="21"/>
          <w:szCs w:val="21"/>
          <w:lang w:eastAsia="en-GB"/>
        </w:rPr>
        <w:t>.</w:t>
      </w:r>
      <w:r w:rsidR="00F83DFC">
        <w:rPr>
          <w:rFonts w:ascii="TimesNewRoman,Bold" w:hAnsi="TimesNewRoman,Bold" w:cs="Times New Roman"/>
          <w:sz w:val="21"/>
          <w:szCs w:val="21"/>
          <w:lang w:eastAsia="en-GB"/>
        </w:rPr>
        <w:t xml:space="preserve"> 2008.</w:t>
      </w:r>
      <w:r w:rsidRPr="00E073CF">
        <w:rPr>
          <w:rFonts w:ascii="TimesNewRoman,Bold" w:hAnsi="TimesNewRoman,Bold" w:cs="Times New Roman"/>
          <w:sz w:val="21"/>
          <w:szCs w:val="21"/>
          <w:lang w:eastAsia="en-GB"/>
        </w:rPr>
        <w:t xml:space="preserve"> “</w:t>
      </w:r>
      <w:r w:rsidRPr="00E073CF">
        <w:rPr>
          <w:rFonts w:ascii="TimesNewRoman,Bold" w:hAnsi="TimesNewRoman,Bold" w:cs="Times New Roman"/>
          <w:iCs/>
          <w:sz w:val="21"/>
          <w:szCs w:val="21"/>
          <w:lang w:eastAsia="en-GB"/>
        </w:rPr>
        <w:t>Who (Really) Are the First Baby Boomers?</w:t>
      </w:r>
      <w:r w:rsidRPr="00E073CF">
        <w:rPr>
          <w:rFonts w:ascii="TimesNewRoman,Bold" w:hAnsi="TimesNewRoman,Bold" w:cs="Times New Roman"/>
          <w:sz w:val="21"/>
          <w:szCs w:val="21"/>
          <w:lang w:eastAsia="en-GB"/>
        </w:rPr>
        <w:t xml:space="preserve">”, </w:t>
      </w:r>
      <w:r w:rsidRPr="00E073CF">
        <w:rPr>
          <w:rFonts w:ascii="TimesNewRoman,Bold" w:hAnsi="TimesNewRoman,Bold" w:cs="Times New Roman"/>
          <w:i/>
          <w:sz w:val="21"/>
          <w:szCs w:val="21"/>
          <w:lang w:eastAsia="en-GB"/>
        </w:rPr>
        <w:t>Joint Statistical Meetings Proceedings</w:t>
      </w:r>
      <w:r w:rsidRPr="00E073CF">
        <w:rPr>
          <w:rFonts w:ascii="TimesNewRoman,Bold" w:hAnsi="TimesNewRoman,Bold" w:cs="Times New Roman"/>
          <w:sz w:val="21"/>
          <w:szCs w:val="21"/>
          <w:lang w:eastAsia="en-GB"/>
        </w:rPr>
        <w:t>, Social Statistics Section, Alexandria, VA: American Statistical Association</w:t>
      </w:r>
      <w:r w:rsidR="00F83DFC">
        <w:rPr>
          <w:rFonts w:ascii="TimesNewRoman,Bold" w:hAnsi="TimesNewRoman,Bold" w:cs="Times New Roman"/>
          <w:sz w:val="21"/>
          <w:szCs w:val="21"/>
          <w:lang w:eastAsia="en-GB"/>
        </w:rPr>
        <w:t>,</w:t>
      </w:r>
      <w:r w:rsidRPr="00E073CF">
        <w:rPr>
          <w:rFonts w:ascii="TimesNewRoman,Bold" w:hAnsi="TimesNewRoman,Bold" w:cs="Times New Roman"/>
          <w:sz w:val="21"/>
          <w:szCs w:val="21"/>
          <w:lang w:eastAsia="en-GB"/>
        </w:rPr>
        <w:t xml:space="preserve"> pp. 1009–1016. </w:t>
      </w:r>
    </w:p>
    <w:p w14:paraId="7F11E792" w14:textId="77777777" w:rsidR="00E677BC" w:rsidRPr="00E073CF" w:rsidRDefault="00E677BC" w:rsidP="00823A6F">
      <w:pPr>
        <w:spacing w:after="160" w:line="240" w:lineRule="auto"/>
        <w:ind w:firstLine="0"/>
        <w:jc w:val="left"/>
        <w:rPr>
          <w:rFonts w:ascii="TimesNewRoman,Bold" w:hAnsi="TimesNewRoman,Bold" w:cs="Times New Roman"/>
          <w:sz w:val="21"/>
          <w:szCs w:val="21"/>
          <w:lang w:eastAsia="en-GB"/>
        </w:rPr>
      </w:pPr>
      <w:proofErr w:type="spellStart"/>
      <w:r w:rsidRPr="00E073CF">
        <w:rPr>
          <w:rFonts w:ascii="TimesNewRoman,Bold" w:hAnsi="TimesNewRoman,Bold" w:cs="Times New Roman"/>
          <w:sz w:val="21"/>
          <w:szCs w:val="21"/>
          <w:lang w:eastAsia="en-GB"/>
        </w:rPr>
        <w:t>Karacimen</w:t>
      </w:r>
      <w:proofErr w:type="spellEnd"/>
      <w:r w:rsidRPr="00E073CF">
        <w:rPr>
          <w:rFonts w:ascii="TimesNewRoman,Bold" w:hAnsi="TimesNewRoman,Bold" w:cs="Times New Roman"/>
          <w:sz w:val="21"/>
          <w:szCs w:val="21"/>
          <w:lang w:eastAsia="en-GB"/>
        </w:rPr>
        <w:t>, E. 2013. “Dynamics behind the Rise in Household Debt in Advanced Capitalist Countries: An Overview”, FESSUD Working Paper Series No. 9.</w:t>
      </w:r>
    </w:p>
    <w:p w14:paraId="5E6E0235" w14:textId="0C077A65" w:rsidR="003279CF" w:rsidRPr="00E073CF" w:rsidRDefault="003279CF"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Ken</w:t>
      </w:r>
      <w:r w:rsidR="00E677BC" w:rsidRPr="00E073CF">
        <w:rPr>
          <w:rFonts w:ascii="TimesNewRoman,Bold" w:hAnsi="TimesNewRoman,Bold" w:cs="Times New Roman"/>
          <w:sz w:val="21"/>
          <w:szCs w:val="21"/>
          <w:lang w:eastAsia="en-GB"/>
        </w:rPr>
        <w:t>dall, M.G., and Gibbons, J.D. 1990.</w:t>
      </w:r>
      <w:r w:rsidRPr="00E073CF">
        <w:rPr>
          <w:rFonts w:ascii="TimesNewRoman,Bold" w:hAnsi="TimesNewRoman,Bold" w:cs="Times New Roman"/>
          <w:sz w:val="21"/>
          <w:szCs w:val="21"/>
          <w:lang w:eastAsia="en-GB"/>
        </w:rPr>
        <w:t xml:space="preserve"> </w:t>
      </w:r>
      <w:r w:rsidRPr="00E073CF">
        <w:rPr>
          <w:rFonts w:ascii="TimesNewRoman,Bold" w:hAnsi="TimesNewRoman,Bold" w:cs="Times New Roman"/>
          <w:i/>
          <w:iCs/>
          <w:sz w:val="21"/>
          <w:szCs w:val="21"/>
          <w:lang w:eastAsia="en-GB"/>
        </w:rPr>
        <w:t>Rank Correlation Methods</w:t>
      </w:r>
      <w:r w:rsidR="00E677BC" w:rsidRPr="00E073CF">
        <w:rPr>
          <w:rFonts w:ascii="TimesNewRoman,Bold" w:hAnsi="TimesNewRoman,Bold" w:cs="Times New Roman"/>
          <w:sz w:val="21"/>
          <w:szCs w:val="21"/>
          <w:lang w:eastAsia="en-GB"/>
        </w:rPr>
        <w:t>, 5th edition, London,</w:t>
      </w:r>
      <w:r w:rsidRPr="00E073CF">
        <w:rPr>
          <w:rFonts w:ascii="TimesNewRoman,Bold" w:hAnsi="TimesNewRoman,Bold" w:cs="Times New Roman"/>
          <w:sz w:val="21"/>
          <w:szCs w:val="21"/>
          <w:lang w:eastAsia="en-GB"/>
        </w:rPr>
        <w:t xml:space="preserve"> Griffin. </w:t>
      </w:r>
    </w:p>
    <w:p w14:paraId="77244A41" w14:textId="192E4A66" w:rsidR="00481CB5" w:rsidRPr="00E073CF" w:rsidRDefault="00481CB5"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Kim, Y.H. 2017. “The permanent income hypothesis, transitional dynamics, and excess sensitivity of consumption”, </w:t>
      </w:r>
      <w:r w:rsidRPr="00E073CF">
        <w:rPr>
          <w:rFonts w:ascii="TimesNewRoman,Bold" w:hAnsi="TimesNewRoman,Bold" w:cs="Times New Roman"/>
          <w:i/>
          <w:sz w:val="21"/>
          <w:szCs w:val="21"/>
          <w:lang w:eastAsia="en-GB"/>
        </w:rPr>
        <w:t>Structural Change and Economic Dynamics</w:t>
      </w:r>
      <w:r w:rsidRPr="00E073CF">
        <w:rPr>
          <w:rFonts w:ascii="TimesNewRoman,Bold" w:hAnsi="TimesNewRoman,Bold" w:cs="Times New Roman"/>
          <w:sz w:val="21"/>
          <w:szCs w:val="21"/>
          <w:lang w:eastAsia="en-GB"/>
        </w:rPr>
        <w:t>, vol. 40, pp. 10-25.</w:t>
      </w:r>
    </w:p>
    <w:p w14:paraId="2770DF24" w14:textId="5278C421" w:rsidR="00CB53B6" w:rsidRPr="00E073CF" w:rsidRDefault="00CB53B6"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Levin, E., Greer, J., and </w:t>
      </w:r>
      <w:proofErr w:type="spellStart"/>
      <w:r w:rsidRPr="00E073CF">
        <w:rPr>
          <w:rFonts w:ascii="TimesNewRoman,Bold" w:hAnsi="TimesNewRoman,Bold" w:cs="Times New Roman"/>
          <w:sz w:val="21"/>
          <w:szCs w:val="21"/>
          <w:lang w:eastAsia="en-GB"/>
        </w:rPr>
        <w:t>Rademacher</w:t>
      </w:r>
      <w:proofErr w:type="spellEnd"/>
      <w:r w:rsidRPr="00E073CF">
        <w:rPr>
          <w:rFonts w:ascii="TimesNewRoman,Bold" w:hAnsi="TimesNewRoman,Bold" w:cs="Times New Roman"/>
          <w:sz w:val="21"/>
          <w:szCs w:val="21"/>
          <w:lang w:eastAsia="en-GB"/>
        </w:rPr>
        <w:t xml:space="preserve">, I. 2014. “From Upside Down to Right-Side Up. Redeploying $540 billion in federal spending to help all families save, invest, and build wealth”, Corporation for Enterprise and Development Report. </w:t>
      </w:r>
    </w:p>
    <w:p w14:paraId="7EE53B47" w14:textId="5F6CB5FE" w:rsidR="00690849" w:rsidRPr="00E073CF" w:rsidRDefault="00690849" w:rsidP="00823A6F">
      <w:pPr>
        <w:spacing w:after="160" w:line="240" w:lineRule="auto"/>
        <w:ind w:firstLine="0"/>
        <w:jc w:val="left"/>
        <w:rPr>
          <w:rFonts w:ascii="TimesNewRoman,Bold" w:hAnsi="TimesNewRoman,Bold" w:cs="Times New Roman"/>
          <w:sz w:val="21"/>
          <w:szCs w:val="21"/>
          <w:lang w:eastAsia="en-GB"/>
        </w:rPr>
      </w:pPr>
      <w:proofErr w:type="spellStart"/>
      <w:r w:rsidRPr="00E073CF">
        <w:rPr>
          <w:rFonts w:ascii="TimesNewRoman,Bold" w:hAnsi="TimesNewRoman,Bold" w:cs="Times New Roman"/>
          <w:sz w:val="21"/>
          <w:szCs w:val="21"/>
          <w:lang w:eastAsia="en-GB"/>
        </w:rPr>
        <w:t>Mian</w:t>
      </w:r>
      <w:proofErr w:type="spellEnd"/>
      <w:r w:rsidRPr="00E073CF">
        <w:rPr>
          <w:rFonts w:ascii="TimesNewRoman,Bold" w:hAnsi="TimesNewRoman,Bold" w:cs="Times New Roman"/>
          <w:sz w:val="21"/>
          <w:szCs w:val="21"/>
          <w:lang w:eastAsia="en-GB"/>
        </w:rPr>
        <w:t xml:space="preserve">, A., and Sufi, A. 2013. </w:t>
      </w:r>
      <w:r w:rsidRPr="00E073CF">
        <w:rPr>
          <w:rFonts w:ascii="TimesNewRoman,Bold" w:hAnsi="TimesNewRoman,Bold" w:cs="Times New Roman"/>
          <w:i/>
          <w:sz w:val="21"/>
          <w:szCs w:val="21"/>
          <w:lang w:eastAsia="en-GB"/>
        </w:rPr>
        <w:t>House of Debt</w:t>
      </w:r>
      <w:r w:rsidRPr="00E073CF">
        <w:rPr>
          <w:rFonts w:ascii="TimesNewRoman,Bold" w:hAnsi="TimesNewRoman,Bold" w:cs="Times New Roman"/>
          <w:sz w:val="21"/>
          <w:szCs w:val="21"/>
          <w:lang w:eastAsia="en-GB"/>
        </w:rPr>
        <w:t>, Chicago, University of Chicago Press.</w:t>
      </w:r>
    </w:p>
    <w:p w14:paraId="60B2DADD" w14:textId="748FB881" w:rsidR="000B5D1A" w:rsidRPr="00E073CF" w:rsidRDefault="003F1B01"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Naidu, S. 2017. “A Political Economy Take on W/Y”. In: </w:t>
      </w:r>
      <w:proofErr w:type="spellStart"/>
      <w:r w:rsidRPr="00E073CF">
        <w:rPr>
          <w:rFonts w:ascii="TimesNewRoman,Bold" w:hAnsi="TimesNewRoman,Bold" w:cs="Times New Roman"/>
          <w:sz w:val="21"/>
          <w:szCs w:val="21"/>
          <w:lang w:eastAsia="en-GB"/>
        </w:rPr>
        <w:t>Boushey</w:t>
      </w:r>
      <w:proofErr w:type="spellEnd"/>
      <w:r w:rsidRPr="00E073CF">
        <w:rPr>
          <w:rFonts w:ascii="TimesNewRoman,Bold" w:hAnsi="TimesNewRoman,Bold" w:cs="Times New Roman"/>
          <w:sz w:val="21"/>
          <w:szCs w:val="21"/>
          <w:lang w:eastAsia="en-GB"/>
        </w:rPr>
        <w:t xml:space="preserve">, H., DeLong, B., and </w:t>
      </w:r>
      <w:proofErr w:type="spellStart"/>
      <w:r w:rsidRPr="00E073CF">
        <w:rPr>
          <w:rFonts w:ascii="TimesNewRoman,Bold" w:hAnsi="TimesNewRoman,Bold" w:cs="Times New Roman"/>
          <w:sz w:val="21"/>
          <w:szCs w:val="21"/>
          <w:lang w:eastAsia="en-GB"/>
        </w:rPr>
        <w:t>Steinbaum</w:t>
      </w:r>
      <w:proofErr w:type="spellEnd"/>
      <w:r w:rsidRPr="00E073CF">
        <w:rPr>
          <w:rFonts w:ascii="TimesNewRoman,Bold" w:hAnsi="TimesNewRoman,Bold" w:cs="Times New Roman"/>
          <w:sz w:val="21"/>
          <w:szCs w:val="21"/>
          <w:lang w:eastAsia="en-GB"/>
        </w:rPr>
        <w:t xml:space="preserve">, M. (eds.) </w:t>
      </w:r>
      <w:r w:rsidRPr="00E073CF">
        <w:rPr>
          <w:rFonts w:ascii="TimesNewRoman,Bold" w:hAnsi="TimesNewRoman,Bold" w:cs="Times New Roman"/>
          <w:i/>
          <w:sz w:val="21"/>
          <w:szCs w:val="21"/>
          <w:lang w:eastAsia="en-GB"/>
        </w:rPr>
        <w:t>After Piketty. The Agenda for Economics and Inequality</w:t>
      </w:r>
      <w:r w:rsidRPr="00E073CF">
        <w:rPr>
          <w:rFonts w:ascii="TimesNewRoman,Bold" w:hAnsi="TimesNewRoman,Bold" w:cs="Times New Roman"/>
          <w:sz w:val="21"/>
          <w:szCs w:val="21"/>
          <w:lang w:eastAsia="en-GB"/>
        </w:rPr>
        <w:t>, Harvard, Harvard University Press.</w:t>
      </w:r>
    </w:p>
    <w:p w14:paraId="3D57A5FD" w14:textId="18E897B2"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Newson, R. 2001. </w:t>
      </w:r>
      <w:r w:rsidR="003279CF" w:rsidRPr="00E073CF">
        <w:rPr>
          <w:rFonts w:ascii="TimesNewRoman,Bold" w:hAnsi="TimesNewRoman,Bold" w:cs="Times New Roman"/>
          <w:sz w:val="21"/>
          <w:szCs w:val="21"/>
          <w:lang w:eastAsia="en-GB"/>
        </w:rPr>
        <w:t xml:space="preserve">“Parameters behind ‘non-parametric’ statistics: Kendall’s </w:t>
      </w:r>
      <w:proofErr w:type="spellStart"/>
      <w:r w:rsidR="003279CF" w:rsidRPr="00E073CF">
        <w:rPr>
          <w:rFonts w:ascii="TimesNewRoman,Bold" w:hAnsi="TimesNewRoman,Bold" w:cs="Times New Roman"/>
          <w:sz w:val="21"/>
          <w:szCs w:val="21"/>
          <w:lang w:eastAsia="en-GB"/>
        </w:rPr>
        <w:t>τa</w:t>
      </w:r>
      <w:proofErr w:type="spellEnd"/>
      <w:r w:rsidR="003279CF" w:rsidRPr="00E073CF">
        <w:rPr>
          <w:rFonts w:ascii="TimesNewRoman,Bold" w:hAnsi="TimesNewRoman,Bold" w:cs="Times New Roman"/>
          <w:sz w:val="21"/>
          <w:szCs w:val="21"/>
          <w:lang w:eastAsia="en-GB"/>
        </w:rPr>
        <w:t xml:space="preserve">, Somers’ D and median differences”, </w:t>
      </w:r>
      <w:r w:rsidR="003279CF" w:rsidRPr="00E073CF">
        <w:rPr>
          <w:rFonts w:ascii="TimesNewRoman,Bold" w:hAnsi="TimesNewRoman,Bold" w:cs="Times New Roman"/>
          <w:i/>
          <w:iCs/>
          <w:sz w:val="21"/>
          <w:szCs w:val="21"/>
          <w:lang w:eastAsia="en-GB"/>
        </w:rPr>
        <w:t>The Stata Journal</w:t>
      </w:r>
      <w:r w:rsidR="003279CF" w:rsidRPr="00E073CF">
        <w:rPr>
          <w:rFonts w:ascii="TimesNewRoman,Bold" w:hAnsi="TimesNewRoman,Bold" w:cs="Times New Roman"/>
          <w:sz w:val="21"/>
          <w:szCs w:val="21"/>
          <w:lang w:eastAsia="en-GB"/>
        </w:rPr>
        <w:t xml:space="preserve">, </w:t>
      </w:r>
      <w:r w:rsidRPr="00E073CF">
        <w:rPr>
          <w:rFonts w:ascii="TimesNewRoman,Bold" w:hAnsi="TimesNewRoman,Bold" w:cs="Times New Roman"/>
          <w:sz w:val="21"/>
          <w:szCs w:val="21"/>
          <w:lang w:eastAsia="en-GB"/>
        </w:rPr>
        <w:t>vol. 1, no. 1</w:t>
      </w:r>
      <w:r w:rsidR="003279CF" w:rsidRPr="00E073CF">
        <w:rPr>
          <w:rFonts w:ascii="TimesNewRoman,Bold" w:hAnsi="TimesNewRoman,Bold" w:cs="Times New Roman"/>
          <w:sz w:val="21"/>
          <w:szCs w:val="21"/>
          <w:lang w:eastAsia="en-GB"/>
        </w:rPr>
        <w:t xml:space="preserve">, pp. 1–20. </w:t>
      </w:r>
    </w:p>
    <w:p w14:paraId="39E635EC" w14:textId="5E7A4D45" w:rsidR="00BB718B"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Newson, R. 2006.</w:t>
      </w:r>
      <w:r w:rsidR="003279CF" w:rsidRPr="00E073CF">
        <w:rPr>
          <w:rFonts w:ascii="TimesNewRoman,Bold" w:hAnsi="TimesNewRoman,Bold" w:cs="Times New Roman"/>
          <w:sz w:val="21"/>
          <w:szCs w:val="21"/>
          <w:lang w:eastAsia="en-GB"/>
        </w:rPr>
        <w:t xml:space="preserve"> “Confidence intervals for rank statistics: Percentile slopes, differences, and ratios”, </w:t>
      </w:r>
      <w:r w:rsidR="003279CF" w:rsidRPr="00E073CF">
        <w:rPr>
          <w:rFonts w:ascii="TimesNewRoman,Bold" w:hAnsi="TimesNewRoman,Bold" w:cs="Times New Roman"/>
          <w:i/>
          <w:iCs/>
          <w:sz w:val="21"/>
          <w:szCs w:val="21"/>
          <w:lang w:eastAsia="en-GB"/>
        </w:rPr>
        <w:t>The Stata Journal</w:t>
      </w:r>
      <w:r w:rsidRPr="00E073CF">
        <w:rPr>
          <w:rFonts w:ascii="TimesNewRoman,Bold" w:hAnsi="TimesNewRoman,Bold" w:cs="Times New Roman"/>
          <w:sz w:val="21"/>
          <w:szCs w:val="21"/>
          <w:lang w:eastAsia="en-GB"/>
        </w:rPr>
        <w:t>, vol. 6, no. 4</w:t>
      </w:r>
      <w:r w:rsidR="003279CF" w:rsidRPr="00E073CF">
        <w:rPr>
          <w:rFonts w:ascii="TimesNewRoman,Bold" w:hAnsi="TimesNewRoman,Bold" w:cs="Times New Roman"/>
          <w:sz w:val="21"/>
          <w:szCs w:val="21"/>
          <w:lang w:eastAsia="en-GB"/>
        </w:rPr>
        <w:t xml:space="preserve">, pp. 497–520. </w:t>
      </w:r>
    </w:p>
    <w:p w14:paraId="7C765AB7" w14:textId="59283002"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lastRenderedPageBreak/>
        <w:t>Newson, R. 2012.</w:t>
      </w:r>
      <w:r w:rsidR="003279CF" w:rsidRPr="00E073CF">
        <w:rPr>
          <w:rFonts w:ascii="TimesNewRoman,Bold" w:hAnsi="TimesNewRoman,Bold" w:cs="Times New Roman"/>
          <w:sz w:val="21"/>
          <w:szCs w:val="21"/>
          <w:lang w:eastAsia="en-GB"/>
        </w:rPr>
        <w:t xml:space="preserve"> “Robust confidence intervals for median (and other percentile) slopes”, Stata Technical Bulletin. Available at: http://www.imperial.ac.uk/nhli/r.newson/papers/cens</w:t>
      </w:r>
      <w:r w:rsidR="00BB718B" w:rsidRPr="00E073CF">
        <w:rPr>
          <w:rFonts w:ascii="TimesNewRoman,Bold" w:hAnsi="TimesNewRoman,Bold" w:cs="Times New Roman"/>
          <w:sz w:val="21"/>
          <w:szCs w:val="21"/>
          <w:lang w:eastAsia="en-GB"/>
        </w:rPr>
        <w:t>lope.pdf (Accessed: 08/09/2017).</w:t>
      </w:r>
    </w:p>
    <w:p w14:paraId="56C11A04" w14:textId="729BB8D6" w:rsidR="00BB718B" w:rsidRPr="00E073CF" w:rsidRDefault="00BB718B"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Piketty, T. 2014. </w:t>
      </w:r>
      <w:r w:rsidRPr="00E073CF">
        <w:rPr>
          <w:rFonts w:ascii="TimesNewRoman,Bold" w:hAnsi="TimesNewRoman,Bold" w:cs="Times New Roman"/>
          <w:i/>
          <w:sz w:val="21"/>
          <w:szCs w:val="21"/>
          <w:lang w:eastAsia="en-GB"/>
        </w:rPr>
        <w:t>Capital in the Twenty First Century</w:t>
      </w:r>
      <w:r w:rsidRPr="00E073CF">
        <w:rPr>
          <w:rFonts w:ascii="TimesNewRoman,Bold" w:hAnsi="TimesNewRoman,Bold" w:cs="Times New Roman"/>
          <w:sz w:val="21"/>
          <w:szCs w:val="21"/>
          <w:lang w:eastAsia="en-GB"/>
        </w:rPr>
        <w:t xml:space="preserve">, Harvard, Harvard University Press. </w:t>
      </w:r>
    </w:p>
    <w:p w14:paraId="785D3ED4" w14:textId="2013D09B" w:rsidR="00862DA1" w:rsidRPr="00E073CF" w:rsidRDefault="00862DA1" w:rsidP="00823A6F">
      <w:pPr>
        <w:spacing w:after="160" w:line="240" w:lineRule="auto"/>
        <w:ind w:firstLine="0"/>
        <w:jc w:val="left"/>
        <w:rPr>
          <w:rFonts w:ascii="TimesNewRoman,Bold" w:hAnsi="TimesNewRoman,Bold" w:cs="Times New Roman"/>
          <w:sz w:val="21"/>
          <w:szCs w:val="21"/>
          <w:lang w:eastAsia="en-GB"/>
        </w:rPr>
      </w:pPr>
      <w:proofErr w:type="spellStart"/>
      <w:r w:rsidRPr="00E073CF">
        <w:rPr>
          <w:rFonts w:ascii="TimesNewRoman,Bold" w:hAnsi="TimesNewRoman,Bold" w:cs="Times New Roman"/>
          <w:sz w:val="21"/>
          <w:szCs w:val="21"/>
          <w:lang w:eastAsia="en-GB"/>
        </w:rPr>
        <w:t>Pollin</w:t>
      </w:r>
      <w:proofErr w:type="spellEnd"/>
      <w:r w:rsidRPr="00E073CF">
        <w:rPr>
          <w:rFonts w:ascii="TimesNewRoman,Bold" w:hAnsi="TimesNewRoman,Bold" w:cs="Times New Roman"/>
          <w:sz w:val="21"/>
          <w:szCs w:val="21"/>
          <w:lang w:eastAsia="en-GB"/>
        </w:rPr>
        <w:t xml:space="preserve">, R. 1990. </w:t>
      </w:r>
      <w:r w:rsidRPr="00E073CF">
        <w:rPr>
          <w:rFonts w:ascii="TimesNewRoman,Bold" w:hAnsi="TimesNewRoman,Bold" w:cs="Times New Roman"/>
          <w:i/>
          <w:sz w:val="21"/>
          <w:szCs w:val="21"/>
          <w:lang w:eastAsia="en-GB"/>
        </w:rPr>
        <w:t>Deeper in Debt. The Changing Financial conditions of U.S. Households</w:t>
      </w:r>
      <w:r w:rsidRPr="00E073CF">
        <w:rPr>
          <w:rFonts w:ascii="TimesNewRoman,Bold" w:hAnsi="TimesNewRoman,Bold" w:cs="Times New Roman"/>
          <w:sz w:val="21"/>
          <w:szCs w:val="21"/>
          <w:lang w:eastAsia="en-GB"/>
        </w:rPr>
        <w:t>, Washington DC, Economic Policy Institute.</w:t>
      </w:r>
    </w:p>
    <w:p w14:paraId="63831E15" w14:textId="1C99E0A6" w:rsidR="003279CF" w:rsidRPr="00E073CF" w:rsidRDefault="003279CF" w:rsidP="00823A6F">
      <w:pPr>
        <w:spacing w:after="160" w:line="240" w:lineRule="auto"/>
        <w:ind w:firstLine="0"/>
        <w:jc w:val="left"/>
        <w:rPr>
          <w:rFonts w:ascii="TimesNewRoman,Bold" w:hAnsi="TimesNewRoman,Bold" w:cs="Times New Roman"/>
          <w:sz w:val="21"/>
          <w:szCs w:val="21"/>
          <w:lang w:eastAsia="en-GB"/>
        </w:rPr>
      </w:pPr>
      <w:proofErr w:type="spellStart"/>
      <w:r w:rsidRPr="00E073CF">
        <w:rPr>
          <w:rFonts w:ascii="TimesNewRoman,Bold" w:hAnsi="TimesNewRoman,Bold" w:cs="Times New Roman"/>
          <w:sz w:val="21"/>
          <w:szCs w:val="21"/>
          <w:lang w:eastAsia="en-GB"/>
        </w:rPr>
        <w:t>Sc</w:t>
      </w:r>
      <w:r w:rsidR="00E677BC" w:rsidRPr="00E073CF">
        <w:rPr>
          <w:rFonts w:ascii="TimesNewRoman,Bold" w:hAnsi="TimesNewRoman,Bold" w:cs="Times New Roman"/>
          <w:sz w:val="21"/>
          <w:szCs w:val="21"/>
          <w:lang w:eastAsia="en-GB"/>
        </w:rPr>
        <w:t>hiel</w:t>
      </w:r>
      <w:proofErr w:type="spellEnd"/>
      <w:r w:rsidR="00E677BC" w:rsidRPr="00E073CF">
        <w:rPr>
          <w:rFonts w:ascii="TimesNewRoman,Bold" w:hAnsi="TimesNewRoman,Bold" w:cs="Times New Roman"/>
          <w:sz w:val="21"/>
          <w:szCs w:val="21"/>
          <w:lang w:eastAsia="en-GB"/>
        </w:rPr>
        <w:t>, R.W. 2011.</w:t>
      </w:r>
      <w:r w:rsidRPr="00E073CF">
        <w:rPr>
          <w:rFonts w:ascii="TimesNewRoman,Bold" w:hAnsi="TimesNewRoman,Bold" w:cs="Times New Roman"/>
          <w:sz w:val="21"/>
          <w:szCs w:val="21"/>
          <w:lang w:eastAsia="en-GB"/>
        </w:rPr>
        <w:t xml:space="preserve"> </w:t>
      </w:r>
      <w:r w:rsidRPr="00E073CF">
        <w:rPr>
          <w:rFonts w:ascii="TimesNewRoman,Bold" w:hAnsi="TimesNewRoman,Bold" w:cs="Times New Roman"/>
          <w:i/>
          <w:iCs/>
          <w:sz w:val="21"/>
          <w:szCs w:val="21"/>
          <w:lang w:eastAsia="en-GB"/>
        </w:rPr>
        <w:t xml:space="preserve">The Bootstrap and </w:t>
      </w:r>
      <w:proofErr w:type="spellStart"/>
      <w:r w:rsidRPr="00E073CF">
        <w:rPr>
          <w:rFonts w:ascii="TimesNewRoman,Bold" w:hAnsi="TimesNewRoman,Bold" w:cs="Times New Roman"/>
          <w:i/>
          <w:iCs/>
          <w:sz w:val="21"/>
          <w:szCs w:val="21"/>
          <w:lang w:eastAsia="en-GB"/>
        </w:rPr>
        <w:t>Jackknife</w:t>
      </w:r>
      <w:proofErr w:type="spellEnd"/>
      <w:r w:rsidRPr="00E073CF">
        <w:rPr>
          <w:rFonts w:ascii="TimesNewRoman,Bold" w:hAnsi="TimesNewRoman,Bold" w:cs="Times New Roman"/>
          <w:i/>
          <w:iCs/>
          <w:sz w:val="21"/>
          <w:szCs w:val="21"/>
          <w:lang w:eastAsia="en-GB"/>
        </w:rPr>
        <w:t xml:space="preserve"> Methods for Data Analysis </w:t>
      </w:r>
      <w:r w:rsidRPr="00E073CF">
        <w:rPr>
          <w:rFonts w:ascii="TimesNewRoman,Bold" w:hAnsi="TimesNewRoman,Bold" w:cs="Times New Roman"/>
          <w:sz w:val="21"/>
          <w:szCs w:val="21"/>
          <w:lang w:eastAsia="en-GB"/>
        </w:rPr>
        <w:t xml:space="preserve">[Pdf slides]. Retrieved from: http://www.physik.uni-regensburg.de/sfbtr55/Seiten/talks/Rainer_jackboot.pdf </w:t>
      </w:r>
    </w:p>
    <w:p w14:paraId="3825F25B" w14:textId="320EB806"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Sen, P.K. 1968.</w:t>
      </w:r>
      <w:r w:rsidR="003279CF" w:rsidRPr="00E073CF">
        <w:rPr>
          <w:rFonts w:ascii="TimesNewRoman,Bold" w:hAnsi="TimesNewRoman,Bold" w:cs="Times New Roman"/>
          <w:sz w:val="21"/>
          <w:szCs w:val="21"/>
          <w:lang w:eastAsia="en-GB"/>
        </w:rPr>
        <w:t xml:space="preserve"> “Estimates of the regression coefficient based on Kendall’s tau”, </w:t>
      </w:r>
      <w:r w:rsidR="003279CF" w:rsidRPr="00E073CF">
        <w:rPr>
          <w:rFonts w:ascii="TimesNewRoman,Bold" w:hAnsi="TimesNewRoman,Bold" w:cs="Times New Roman"/>
          <w:i/>
          <w:iCs/>
          <w:sz w:val="21"/>
          <w:szCs w:val="21"/>
          <w:lang w:eastAsia="en-GB"/>
        </w:rPr>
        <w:t>Journal of the American Statistical Association</w:t>
      </w:r>
      <w:r w:rsidR="003279CF" w:rsidRPr="00E073CF">
        <w:rPr>
          <w:rFonts w:ascii="TimesNewRoman,Bold" w:hAnsi="TimesNewRoman,Bold" w:cs="Times New Roman"/>
          <w:sz w:val="21"/>
          <w:szCs w:val="21"/>
          <w:lang w:eastAsia="en-GB"/>
        </w:rPr>
        <w:t xml:space="preserve">, </w:t>
      </w:r>
      <w:r w:rsidRPr="00E073CF">
        <w:rPr>
          <w:rFonts w:ascii="TimesNewRoman,Bold" w:hAnsi="TimesNewRoman,Bold" w:cs="Times New Roman"/>
          <w:sz w:val="21"/>
          <w:szCs w:val="21"/>
          <w:lang w:eastAsia="en-GB"/>
        </w:rPr>
        <w:t>vol. 63, no. 324</w:t>
      </w:r>
      <w:r w:rsidR="003279CF" w:rsidRPr="00E073CF">
        <w:rPr>
          <w:rFonts w:ascii="TimesNewRoman,Bold" w:hAnsi="TimesNewRoman,Bold" w:cs="Times New Roman"/>
          <w:sz w:val="21"/>
          <w:szCs w:val="21"/>
          <w:lang w:eastAsia="en-GB"/>
        </w:rPr>
        <w:t xml:space="preserve">, pp. 1379-1389. </w:t>
      </w:r>
    </w:p>
    <w:p w14:paraId="5C708E53" w14:textId="59C9FE49" w:rsidR="00D071FC" w:rsidRPr="00E073CF" w:rsidRDefault="00D071FC" w:rsidP="00823A6F">
      <w:pPr>
        <w:spacing w:after="160" w:line="240" w:lineRule="auto"/>
        <w:ind w:firstLine="0"/>
        <w:jc w:val="left"/>
        <w:rPr>
          <w:rFonts w:ascii="TimesNewRoman,Bold" w:hAnsi="TimesNewRoman,Bold" w:cs="Times New Roman"/>
          <w:sz w:val="21"/>
          <w:szCs w:val="21"/>
          <w:lang w:eastAsia="en-GB"/>
        </w:rPr>
      </w:pPr>
      <w:proofErr w:type="spellStart"/>
      <w:r w:rsidRPr="00E073CF">
        <w:rPr>
          <w:rFonts w:ascii="TimesNewRoman,Bold" w:hAnsi="TimesNewRoman,Bold" w:cs="Times New Roman"/>
          <w:sz w:val="21"/>
          <w:szCs w:val="21"/>
          <w:lang w:eastAsia="en-GB"/>
        </w:rPr>
        <w:t>Servon</w:t>
      </w:r>
      <w:proofErr w:type="spellEnd"/>
      <w:r w:rsidRPr="00E073CF">
        <w:rPr>
          <w:rFonts w:ascii="TimesNewRoman,Bold" w:hAnsi="TimesNewRoman,Bold" w:cs="Times New Roman"/>
          <w:sz w:val="21"/>
          <w:szCs w:val="21"/>
          <w:lang w:eastAsia="en-GB"/>
        </w:rPr>
        <w:t xml:space="preserve">, L. 2018. </w:t>
      </w:r>
      <w:r w:rsidRPr="00E073CF">
        <w:rPr>
          <w:rFonts w:ascii="TimesNewRoman,Bold" w:hAnsi="TimesNewRoman,Bold" w:cs="Times New Roman"/>
          <w:i/>
          <w:sz w:val="21"/>
          <w:szCs w:val="21"/>
          <w:lang w:eastAsia="en-GB"/>
        </w:rPr>
        <w:t xml:space="preserve">The </w:t>
      </w:r>
      <w:proofErr w:type="spellStart"/>
      <w:r w:rsidRPr="00E073CF">
        <w:rPr>
          <w:rFonts w:ascii="TimesNewRoman,Bold" w:hAnsi="TimesNewRoman,Bold" w:cs="Times New Roman"/>
          <w:i/>
          <w:sz w:val="21"/>
          <w:szCs w:val="21"/>
          <w:lang w:eastAsia="en-GB"/>
        </w:rPr>
        <w:t>Unbanking</w:t>
      </w:r>
      <w:proofErr w:type="spellEnd"/>
      <w:r w:rsidRPr="00E073CF">
        <w:rPr>
          <w:rFonts w:ascii="TimesNewRoman,Bold" w:hAnsi="TimesNewRoman,Bold" w:cs="Times New Roman"/>
          <w:i/>
          <w:sz w:val="21"/>
          <w:szCs w:val="21"/>
          <w:lang w:eastAsia="en-GB"/>
        </w:rPr>
        <w:t xml:space="preserve"> of America</w:t>
      </w:r>
      <w:r w:rsidR="00862DA1" w:rsidRPr="00E073CF">
        <w:rPr>
          <w:rFonts w:ascii="TimesNewRoman,Bold" w:hAnsi="TimesNewRoman,Bold" w:cs="Times New Roman"/>
          <w:i/>
          <w:sz w:val="21"/>
          <w:szCs w:val="21"/>
          <w:lang w:eastAsia="en-GB"/>
        </w:rPr>
        <w:t>. How the New Middle Class Survives</w:t>
      </w:r>
      <w:r w:rsidRPr="00E073CF">
        <w:rPr>
          <w:rFonts w:ascii="TimesNewRoman,Bold" w:hAnsi="TimesNewRoman,Bold" w:cs="Times New Roman"/>
          <w:sz w:val="21"/>
          <w:szCs w:val="21"/>
          <w:lang w:eastAsia="en-GB"/>
        </w:rPr>
        <w:t xml:space="preserve">, </w:t>
      </w:r>
      <w:r w:rsidR="00862DA1" w:rsidRPr="00E073CF">
        <w:rPr>
          <w:rFonts w:ascii="TimesNewRoman,Bold" w:hAnsi="TimesNewRoman,Bold" w:cs="Times New Roman"/>
          <w:sz w:val="21"/>
          <w:szCs w:val="21"/>
          <w:lang w:eastAsia="en-GB"/>
        </w:rPr>
        <w:t>New York, Mariner Books.</w:t>
      </w:r>
    </w:p>
    <w:p w14:paraId="611CBBC5" w14:textId="12A696DE" w:rsidR="009F54FC" w:rsidRPr="00E073CF" w:rsidRDefault="009F54FC" w:rsidP="00823A6F">
      <w:pPr>
        <w:spacing w:after="160" w:line="240" w:lineRule="auto"/>
        <w:ind w:firstLine="0"/>
        <w:jc w:val="left"/>
        <w:rPr>
          <w:rFonts w:ascii="TimesNewRoman,Bold" w:hAnsi="TimesNewRoman,Bold" w:cs="Times New Roman"/>
          <w:sz w:val="21"/>
          <w:szCs w:val="21"/>
          <w:lang w:eastAsia="en-GB"/>
        </w:rPr>
      </w:pPr>
      <w:proofErr w:type="spellStart"/>
      <w:r w:rsidRPr="00E073CF">
        <w:rPr>
          <w:rFonts w:ascii="TimesNewRoman,Bold" w:hAnsi="TimesNewRoman,Bold" w:cs="Times New Roman"/>
          <w:sz w:val="21"/>
          <w:szCs w:val="21"/>
          <w:lang w:eastAsia="en-GB"/>
        </w:rPr>
        <w:t>Setterfield</w:t>
      </w:r>
      <w:proofErr w:type="spellEnd"/>
      <w:r w:rsidRPr="00E073CF">
        <w:rPr>
          <w:rFonts w:ascii="TimesNewRoman,Bold" w:hAnsi="TimesNewRoman,Bold" w:cs="Times New Roman"/>
          <w:sz w:val="21"/>
          <w:szCs w:val="21"/>
          <w:lang w:eastAsia="en-GB"/>
        </w:rPr>
        <w:t xml:space="preserve">, M., and Kim, Y.K. 2016. “Debt servicing, </w:t>
      </w:r>
      <w:r w:rsidRPr="00E073CF">
        <w:rPr>
          <w:rFonts w:ascii="TimesNewRoman,Bold" w:hAnsi="TimesNewRoman,Bold" w:cs="Times New Roman" w:hint="eastAsia"/>
          <w:sz w:val="21"/>
          <w:szCs w:val="21"/>
          <w:lang w:eastAsia="en-GB"/>
        </w:rPr>
        <w:t>aggregate</w:t>
      </w:r>
      <w:r w:rsidRPr="00E073CF">
        <w:rPr>
          <w:rFonts w:ascii="TimesNewRoman,Bold" w:hAnsi="TimesNewRoman,Bold" w:cs="Times New Roman"/>
          <w:sz w:val="21"/>
          <w:szCs w:val="21"/>
          <w:lang w:eastAsia="en-GB"/>
        </w:rPr>
        <w:t xml:space="preserve"> consumption, and growth”, </w:t>
      </w:r>
      <w:r w:rsidRPr="00E073CF">
        <w:rPr>
          <w:rFonts w:ascii="TimesNewRoman,Bold" w:hAnsi="TimesNewRoman,Bold" w:cs="Times New Roman"/>
          <w:i/>
          <w:sz w:val="21"/>
          <w:szCs w:val="21"/>
          <w:lang w:eastAsia="en-GB"/>
        </w:rPr>
        <w:t>Structural Change and Economic Dynamics</w:t>
      </w:r>
      <w:r w:rsidRPr="00E073CF">
        <w:rPr>
          <w:rFonts w:ascii="TimesNewRoman,Bold" w:hAnsi="TimesNewRoman,Bold" w:cs="Times New Roman"/>
          <w:sz w:val="21"/>
          <w:szCs w:val="21"/>
          <w:lang w:eastAsia="en-GB"/>
        </w:rPr>
        <w:t xml:space="preserve">, </w:t>
      </w:r>
      <w:r w:rsidR="00690849" w:rsidRPr="00E073CF">
        <w:rPr>
          <w:rFonts w:ascii="TimesNewRoman,Bold" w:hAnsi="TimesNewRoman,Bold" w:cs="Times New Roman"/>
          <w:sz w:val="21"/>
          <w:szCs w:val="21"/>
          <w:lang w:eastAsia="en-GB"/>
        </w:rPr>
        <w:t>vol. 36, pp. 22-33.</w:t>
      </w:r>
    </w:p>
    <w:p w14:paraId="22CF6806" w14:textId="6E53B90B"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Somers, R. H. </w:t>
      </w:r>
      <w:r w:rsidR="003279CF" w:rsidRPr="00E073CF">
        <w:rPr>
          <w:rFonts w:ascii="TimesNewRoman,Bold" w:hAnsi="TimesNewRoman,Bold" w:cs="Times New Roman"/>
          <w:sz w:val="21"/>
          <w:szCs w:val="21"/>
          <w:lang w:eastAsia="en-GB"/>
        </w:rPr>
        <w:t>1962</w:t>
      </w:r>
      <w:r w:rsidRPr="00E073CF">
        <w:rPr>
          <w:rFonts w:ascii="TimesNewRoman,Bold" w:hAnsi="TimesNewRoman,Bold" w:cs="Times New Roman"/>
          <w:sz w:val="21"/>
          <w:szCs w:val="21"/>
          <w:lang w:eastAsia="en-GB"/>
        </w:rPr>
        <w:t>.</w:t>
      </w:r>
      <w:r w:rsidR="003279CF" w:rsidRPr="00E073CF">
        <w:rPr>
          <w:rFonts w:ascii="TimesNewRoman,Bold" w:hAnsi="TimesNewRoman,Bold" w:cs="Times New Roman"/>
          <w:sz w:val="21"/>
          <w:szCs w:val="21"/>
          <w:lang w:eastAsia="en-GB"/>
        </w:rPr>
        <w:t xml:space="preserve"> “A new asymmetric measure of association for ordinal variables”, </w:t>
      </w:r>
      <w:r w:rsidR="003279CF" w:rsidRPr="00E073CF">
        <w:rPr>
          <w:rFonts w:ascii="TimesNewRoman,Bold" w:hAnsi="TimesNewRoman,Bold" w:cs="Times New Roman"/>
          <w:i/>
          <w:iCs/>
          <w:sz w:val="21"/>
          <w:szCs w:val="21"/>
          <w:lang w:eastAsia="en-GB"/>
        </w:rPr>
        <w:t xml:space="preserve">American Sociological Review, </w:t>
      </w:r>
      <w:r w:rsidRPr="00E073CF">
        <w:rPr>
          <w:rFonts w:ascii="TimesNewRoman,Bold" w:hAnsi="TimesNewRoman,Bold" w:cs="Times New Roman"/>
          <w:iCs/>
          <w:sz w:val="21"/>
          <w:szCs w:val="21"/>
          <w:lang w:eastAsia="en-GB"/>
        </w:rPr>
        <w:t xml:space="preserve">vol. </w:t>
      </w:r>
      <w:r w:rsidR="003279CF" w:rsidRPr="00E073CF">
        <w:rPr>
          <w:rFonts w:ascii="TimesNewRoman,Bold" w:hAnsi="TimesNewRoman,Bold" w:cs="Times New Roman"/>
          <w:sz w:val="21"/>
          <w:szCs w:val="21"/>
          <w:lang w:eastAsia="en-GB"/>
        </w:rPr>
        <w:t>27, pp. 799-811.</w:t>
      </w:r>
    </w:p>
    <w:p w14:paraId="09D6754A" w14:textId="51E58CB4"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Spearman, C. 1904.</w:t>
      </w:r>
      <w:r w:rsidR="003279CF" w:rsidRPr="00E073CF">
        <w:rPr>
          <w:rFonts w:ascii="TimesNewRoman,Bold" w:hAnsi="TimesNewRoman,Bold" w:cs="Times New Roman"/>
          <w:sz w:val="21"/>
          <w:szCs w:val="21"/>
          <w:lang w:eastAsia="en-GB"/>
        </w:rPr>
        <w:t xml:space="preserve"> “The proof and measurement of association between two things”, </w:t>
      </w:r>
      <w:r w:rsidR="003279CF" w:rsidRPr="00E073CF">
        <w:rPr>
          <w:rFonts w:ascii="TimesNewRoman,Bold" w:hAnsi="TimesNewRoman,Bold" w:cs="Times New Roman"/>
          <w:i/>
          <w:iCs/>
          <w:sz w:val="21"/>
          <w:szCs w:val="21"/>
          <w:lang w:eastAsia="en-GB"/>
        </w:rPr>
        <w:t>American Journal of Psychology</w:t>
      </w:r>
      <w:r w:rsidR="003279CF" w:rsidRPr="00E073CF">
        <w:rPr>
          <w:rFonts w:ascii="TimesNewRoman,Bold" w:hAnsi="TimesNewRoman,Bold" w:cs="Times New Roman"/>
          <w:sz w:val="21"/>
          <w:szCs w:val="21"/>
          <w:lang w:eastAsia="en-GB"/>
        </w:rPr>
        <w:t xml:space="preserve">, </w:t>
      </w:r>
      <w:r w:rsidRPr="00E073CF">
        <w:rPr>
          <w:rFonts w:ascii="TimesNewRoman,Bold" w:hAnsi="TimesNewRoman,Bold" w:cs="Times New Roman"/>
          <w:sz w:val="21"/>
          <w:szCs w:val="21"/>
          <w:lang w:eastAsia="en-GB"/>
        </w:rPr>
        <w:t xml:space="preserve">vol. </w:t>
      </w:r>
      <w:r w:rsidR="003279CF" w:rsidRPr="00E073CF">
        <w:rPr>
          <w:rFonts w:ascii="TimesNewRoman,Bold" w:hAnsi="TimesNewRoman,Bold" w:cs="Times New Roman"/>
          <w:sz w:val="21"/>
          <w:szCs w:val="21"/>
          <w:lang w:eastAsia="en-GB"/>
        </w:rPr>
        <w:t>15, pp.72–101.</w:t>
      </w:r>
    </w:p>
    <w:p w14:paraId="7DF1E5F0" w14:textId="0FF4E0F4" w:rsidR="00CB53B6" w:rsidRPr="00E073CF" w:rsidRDefault="00CB53B6"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Stiglitz, J.E. 2014. “Phony Capitalism”, </w:t>
      </w:r>
      <w:r w:rsidRPr="00E073CF">
        <w:rPr>
          <w:rFonts w:ascii="TimesNewRoman,Bold" w:hAnsi="TimesNewRoman,Bold" w:cs="Times New Roman"/>
          <w:i/>
          <w:iCs/>
          <w:sz w:val="21"/>
          <w:szCs w:val="21"/>
          <w:lang w:eastAsia="en-GB"/>
        </w:rPr>
        <w:t>Harper’s Magazine</w:t>
      </w:r>
      <w:r w:rsidR="000E0846" w:rsidRPr="00E073CF">
        <w:rPr>
          <w:rFonts w:ascii="TimesNewRoman,Bold" w:hAnsi="TimesNewRoman,Bold" w:cs="Times New Roman"/>
          <w:sz w:val="21"/>
          <w:szCs w:val="21"/>
          <w:lang w:eastAsia="en-GB"/>
        </w:rPr>
        <w:t>, September 2014 issue.</w:t>
      </w:r>
    </w:p>
    <w:p w14:paraId="4B206F93" w14:textId="3D9BBA18" w:rsidR="004105B6" w:rsidRPr="00E073CF" w:rsidRDefault="004105B6"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Sullivan H., and </w:t>
      </w:r>
      <w:proofErr w:type="spellStart"/>
      <w:r w:rsidRPr="00E073CF">
        <w:rPr>
          <w:rFonts w:ascii="TimesNewRoman,Bold" w:hAnsi="TimesNewRoman,Bold" w:cs="Times New Roman"/>
          <w:sz w:val="21"/>
          <w:szCs w:val="21"/>
          <w:lang w:eastAsia="en-GB"/>
        </w:rPr>
        <w:t>Smeeding</w:t>
      </w:r>
      <w:proofErr w:type="spellEnd"/>
      <w:r w:rsidRPr="00E073CF">
        <w:rPr>
          <w:rFonts w:ascii="TimesNewRoman,Bold" w:hAnsi="TimesNewRoman,Bold" w:cs="Times New Roman"/>
          <w:sz w:val="21"/>
          <w:szCs w:val="21"/>
          <w:lang w:eastAsia="en-GB"/>
        </w:rPr>
        <w:t xml:space="preserve"> T., 1997. “Educational attainment and earnings inequality in eight nations”, Luxembourg Income Study Working Paper No. 164</w:t>
      </w:r>
      <w:r w:rsidR="000E0846" w:rsidRPr="00E073CF">
        <w:rPr>
          <w:rFonts w:ascii="TimesNewRoman,Bold" w:hAnsi="TimesNewRoman,Bold" w:cs="Times New Roman"/>
          <w:sz w:val="21"/>
          <w:szCs w:val="21"/>
          <w:lang w:eastAsia="en-GB"/>
        </w:rPr>
        <w:t>.</w:t>
      </w:r>
    </w:p>
    <w:p w14:paraId="035E59D3" w14:textId="3A8EAEE9"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Szymborska, H.K. 2017.</w:t>
      </w:r>
      <w:r w:rsidR="003279CF" w:rsidRPr="00E073CF">
        <w:rPr>
          <w:rFonts w:ascii="TimesNewRoman,Bold" w:hAnsi="TimesNewRoman,Bold" w:cs="Times New Roman"/>
          <w:sz w:val="21"/>
          <w:szCs w:val="21"/>
          <w:lang w:eastAsia="en-GB"/>
        </w:rPr>
        <w:t xml:space="preserve"> </w:t>
      </w:r>
      <w:r w:rsidR="003279CF" w:rsidRPr="00E073CF">
        <w:rPr>
          <w:rFonts w:ascii="TimesNewRoman,Bold" w:hAnsi="TimesNewRoman,Bold" w:cs="Times New Roman"/>
          <w:i/>
          <w:iCs/>
          <w:sz w:val="21"/>
          <w:szCs w:val="21"/>
          <w:lang w:eastAsia="en-GB"/>
        </w:rPr>
        <w:t xml:space="preserve">Financial sector and household balance sheet dynamics: Rethinking the determinants of income and wealth inequality in the USA since the 1980s. </w:t>
      </w:r>
      <w:r w:rsidR="003279CF" w:rsidRPr="00E073CF">
        <w:rPr>
          <w:rFonts w:ascii="TimesNewRoman,Bold" w:hAnsi="TimesNewRoman,Bold" w:cs="Times New Roman"/>
          <w:sz w:val="21"/>
          <w:szCs w:val="21"/>
          <w:lang w:eastAsia="en-GB"/>
        </w:rPr>
        <w:t>PhD thesis, University of Leeds.</w:t>
      </w:r>
    </w:p>
    <w:p w14:paraId="108EBEDF" w14:textId="50910F40" w:rsidR="009B4069" w:rsidRPr="00E073CF" w:rsidRDefault="009B4069"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Taylor, P., and Pew Research </w:t>
      </w:r>
      <w:proofErr w:type="spellStart"/>
      <w:r w:rsidRPr="00E073CF">
        <w:rPr>
          <w:rFonts w:ascii="TimesNewRoman,Bold" w:hAnsi="TimesNewRoman,Bold" w:cs="Times New Roman"/>
          <w:sz w:val="21"/>
          <w:szCs w:val="21"/>
          <w:lang w:eastAsia="en-GB"/>
        </w:rPr>
        <w:t>Center</w:t>
      </w:r>
      <w:proofErr w:type="spellEnd"/>
      <w:r w:rsidR="008512D0">
        <w:rPr>
          <w:rFonts w:ascii="TimesNewRoman,Bold" w:hAnsi="TimesNewRoman,Bold" w:cs="Times New Roman"/>
          <w:sz w:val="21"/>
          <w:szCs w:val="21"/>
          <w:lang w:eastAsia="en-GB"/>
        </w:rPr>
        <w:t>.</w:t>
      </w:r>
      <w:r w:rsidRPr="00E073CF">
        <w:rPr>
          <w:rFonts w:ascii="TimesNewRoman,Bold" w:hAnsi="TimesNewRoman,Bold" w:cs="Times New Roman"/>
          <w:sz w:val="21"/>
          <w:szCs w:val="21"/>
          <w:lang w:eastAsia="en-GB"/>
        </w:rPr>
        <w:t xml:space="preserve"> 2016</w:t>
      </w:r>
      <w:r w:rsidR="008512D0">
        <w:rPr>
          <w:rFonts w:ascii="TimesNewRoman,Bold" w:hAnsi="TimesNewRoman,Bold" w:cs="Times New Roman"/>
          <w:sz w:val="21"/>
          <w:szCs w:val="21"/>
          <w:lang w:eastAsia="en-GB"/>
        </w:rPr>
        <w:t>.</w:t>
      </w:r>
      <w:r w:rsidRPr="00E073CF">
        <w:rPr>
          <w:rFonts w:ascii="TimesNewRoman,Bold" w:hAnsi="TimesNewRoman,Bold" w:cs="Times New Roman"/>
          <w:sz w:val="21"/>
          <w:szCs w:val="21"/>
          <w:lang w:eastAsia="en-GB"/>
        </w:rPr>
        <w:t xml:space="preserve"> </w:t>
      </w:r>
      <w:r w:rsidRPr="00E073CF">
        <w:rPr>
          <w:rFonts w:ascii="TimesNewRoman,Bold" w:hAnsi="TimesNewRoman,Bold" w:cs="Times New Roman"/>
          <w:i/>
          <w:sz w:val="21"/>
          <w:szCs w:val="21"/>
          <w:lang w:eastAsia="en-GB"/>
        </w:rPr>
        <w:t>The Next America</w:t>
      </w:r>
      <w:r w:rsidRPr="00E073CF">
        <w:rPr>
          <w:rFonts w:ascii="TimesNewRoman,Bold" w:hAnsi="TimesNewRoman,Bold" w:cs="Times New Roman"/>
          <w:sz w:val="21"/>
          <w:szCs w:val="21"/>
          <w:lang w:eastAsia="en-GB"/>
        </w:rPr>
        <w:t>, Public Affairs. ISBN: 9781610396196.</w:t>
      </w:r>
    </w:p>
    <w:p w14:paraId="55A8A122" w14:textId="2DB19430"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Theil, H. 1950.</w:t>
      </w:r>
      <w:r w:rsidR="003279CF" w:rsidRPr="00E073CF">
        <w:rPr>
          <w:rFonts w:ascii="TimesNewRoman,Bold" w:hAnsi="TimesNewRoman,Bold" w:cs="Times New Roman"/>
          <w:sz w:val="21"/>
          <w:szCs w:val="21"/>
          <w:lang w:eastAsia="en-GB"/>
        </w:rPr>
        <w:t xml:space="preserve"> “A rank invariant method of linear and polynomial regression analysis”, I, II, III. </w:t>
      </w:r>
      <w:r w:rsidR="003279CF" w:rsidRPr="00E073CF">
        <w:rPr>
          <w:rFonts w:ascii="TimesNewRoman,Bold" w:hAnsi="TimesNewRoman,Bold" w:cs="Times New Roman"/>
          <w:i/>
          <w:iCs/>
          <w:sz w:val="21"/>
          <w:szCs w:val="21"/>
          <w:lang w:eastAsia="en-GB"/>
        </w:rPr>
        <w:t xml:space="preserve">Proceedings of the </w:t>
      </w:r>
      <w:proofErr w:type="spellStart"/>
      <w:r w:rsidR="003279CF" w:rsidRPr="00E073CF">
        <w:rPr>
          <w:rFonts w:ascii="TimesNewRoman,Bold" w:hAnsi="TimesNewRoman,Bold" w:cs="Times New Roman"/>
          <w:i/>
          <w:iCs/>
          <w:sz w:val="21"/>
          <w:szCs w:val="21"/>
          <w:lang w:eastAsia="en-GB"/>
        </w:rPr>
        <w:t>Koninklijke</w:t>
      </w:r>
      <w:proofErr w:type="spellEnd"/>
      <w:r w:rsidR="003279CF" w:rsidRPr="00E073CF">
        <w:rPr>
          <w:rFonts w:ascii="TimesNewRoman,Bold" w:hAnsi="TimesNewRoman,Bold" w:cs="Times New Roman"/>
          <w:i/>
          <w:iCs/>
          <w:sz w:val="21"/>
          <w:szCs w:val="21"/>
          <w:lang w:eastAsia="en-GB"/>
        </w:rPr>
        <w:t xml:space="preserve"> </w:t>
      </w:r>
      <w:proofErr w:type="spellStart"/>
      <w:r w:rsidR="003279CF" w:rsidRPr="00E073CF">
        <w:rPr>
          <w:rFonts w:ascii="TimesNewRoman,Bold" w:hAnsi="TimesNewRoman,Bold" w:cs="Times New Roman"/>
          <w:i/>
          <w:iCs/>
          <w:sz w:val="21"/>
          <w:szCs w:val="21"/>
          <w:lang w:eastAsia="en-GB"/>
        </w:rPr>
        <w:t>Nederlandse</w:t>
      </w:r>
      <w:proofErr w:type="spellEnd"/>
      <w:r w:rsidR="003279CF" w:rsidRPr="00E073CF">
        <w:rPr>
          <w:rFonts w:ascii="TimesNewRoman,Bold" w:hAnsi="TimesNewRoman,Bold" w:cs="Times New Roman"/>
          <w:i/>
          <w:iCs/>
          <w:sz w:val="21"/>
          <w:szCs w:val="21"/>
          <w:lang w:eastAsia="en-GB"/>
        </w:rPr>
        <w:t xml:space="preserve"> Akademie </w:t>
      </w:r>
      <w:proofErr w:type="spellStart"/>
      <w:r w:rsidR="003279CF" w:rsidRPr="00E073CF">
        <w:rPr>
          <w:rFonts w:ascii="TimesNewRoman,Bold" w:hAnsi="TimesNewRoman,Bold" w:cs="Times New Roman"/>
          <w:i/>
          <w:iCs/>
          <w:sz w:val="21"/>
          <w:szCs w:val="21"/>
          <w:lang w:eastAsia="en-GB"/>
        </w:rPr>
        <w:t>Wetenschappen</w:t>
      </w:r>
      <w:proofErr w:type="spellEnd"/>
      <w:r w:rsidR="003279CF" w:rsidRPr="00E073CF">
        <w:rPr>
          <w:rFonts w:ascii="TimesNewRoman,Bold" w:hAnsi="TimesNewRoman,Bold" w:cs="Times New Roman"/>
          <w:i/>
          <w:iCs/>
          <w:sz w:val="21"/>
          <w:szCs w:val="21"/>
          <w:lang w:eastAsia="en-GB"/>
        </w:rPr>
        <w:t xml:space="preserve">, Series A – Mathematical Sciences, </w:t>
      </w:r>
      <w:r w:rsidRPr="00E073CF">
        <w:rPr>
          <w:rFonts w:ascii="TimesNewRoman,Bold" w:hAnsi="TimesNewRoman,Bold" w:cs="Times New Roman"/>
          <w:iCs/>
          <w:sz w:val="21"/>
          <w:szCs w:val="21"/>
          <w:lang w:eastAsia="en-GB"/>
        </w:rPr>
        <w:t xml:space="preserve">vol. </w:t>
      </w:r>
      <w:r w:rsidR="003279CF" w:rsidRPr="00E073CF">
        <w:rPr>
          <w:rFonts w:ascii="TimesNewRoman,Bold" w:hAnsi="TimesNewRoman,Bold" w:cs="Times New Roman"/>
          <w:sz w:val="21"/>
          <w:szCs w:val="21"/>
          <w:lang w:eastAsia="en-GB"/>
        </w:rPr>
        <w:t xml:space="preserve">53, pp. 386–392, 521–525, 1397–1412. </w:t>
      </w:r>
    </w:p>
    <w:p w14:paraId="413A7902" w14:textId="77777777" w:rsidR="003279CF" w:rsidRPr="00E073CF" w:rsidRDefault="003279CF"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U.S. Survey of Consumer Finances, 1989-2013, Federal Reserve. Available at: http://www.federalreserve.gov/econresdata/scf/scfindex.htm </w:t>
      </w:r>
    </w:p>
    <w:p w14:paraId="7B410B87" w14:textId="4B82EF54"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Williams, R.B. 2016.</w:t>
      </w:r>
      <w:r w:rsidR="003279CF" w:rsidRPr="00E073CF">
        <w:rPr>
          <w:rFonts w:ascii="TimesNewRoman,Bold" w:hAnsi="TimesNewRoman,Bold" w:cs="Times New Roman"/>
          <w:sz w:val="21"/>
          <w:szCs w:val="21"/>
          <w:lang w:eastAsia="en-GB"/>
        </w:rPr>
        <w:t xml:space="preserve"> </w:t>
      </w:r>
      <w:r w:rsidR="003279CF" w:rsidRPr="00E073CF">
        <w:rPr>
          <w:rFonts w:ascii="TimesNewRoman,Bold" w:hAnsi="TimesNewRoman,Bold" w:cs="Times New Roman"/>
          <w:i/>
          <w:sz w:val="21"/>
          <w:szCs w:val="21"/>
          <w:lang w:eastAsia="en-GB"/>
        </w:rPr>
        <w:t>The Privileges of Wealth: Rising Inequality and the Growing Racial Divide</w:t>
      </w:r>
      <w:r w:rsidR="003279CF" w:rsidRPr="00E073CF">
        <w:rPr>
          <w:rFonts w:ascii="TimesNewRoman,Bold" w:hAnsi="TimesNewRoman,Bold" w:cs="Times New Roman"/>
          <w:sz w:val="21"/>
          <w:szCs w:val="21"/>
          <w:lang w:eastAsia="en-GB"/>
        </w:rPr>
        <w:t>, Abing</w:t>
      </w:r>
      <w:r w:rsidRPr="00E073CF">
        <w:rPr>
          <w:rFonts w:ascii="TimesNewRoman,Bold" w:hAnsi="TimesNewRoman,Bold" w:cs="Times New Roman"/>
          <w:sz w:val="21"/>
          <w:szCs w:val="21"/>
          <w:lang w:eastAsia="en-GB"/>
        </w:rPr>
        <w:t>don,</w:t>
      </w:r>
      <w:r w:rsidR="003279CF" w:rsidRPr="00E073CF">
        <w:rPr>
          <w:rFonts w:ascii="TimesNewRoman,Bold" w:hAnsi="TimesNewRoman,Bold" w:cs="Times New Roman"/>
          <w:sz w:val="21"/>
          <w:szCs w:val="21"/>
          <w:lang w:eastAsia="en-GB"/>
        </w:rPr>
        <w:t xml:space="preserve"> Routledge. </w:t>
      </w:r>
    </w:p>
    <w:p w14:paraId="2825DD05" w14:textId="1A6A173F" w:rsidR="006E6EF1" w:rsidRPr="00E073CF" w:rsidRDefault="006E6EF1"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Winship, C., and </w:t>
      </w:r>
      <w:proofErr w:type="spellStart"/>
      <w:r w:rsidRPr="00E073CF">
        <w:rPr>
          <w:rFonts w:ascii="TimesNewRoman,Bold" w:hAnsi="TimesNewRoman,Bold" w:cs="Times New Roman"/>
          <w:sz w:val="21"/>
          <w:szCs w:val="21"/>
          <w:lang w:eastAsia="en-GB"/>
        </w:rPr>
        <w:t>Radbill</w:t>
      </w:r>
      <w:proofErr w:type="spellEnd"/>
      <w:r w:rsidRPr="00E073CF">
        <w:rPr>
          <w:rFonts w:ascii="TimesNewRoman,Bold" w:hAnsi="TimesNewRoman,Bold" w:cs="Times New Roman"/>
          <w:sz w:val="21"/>
          <w:szCs w:val="21"/>
          <w:lang w:eastAsia="en-GB"/>
        </w:rPr>
        <w:t>, L. 1994</w:t>
      </w:r>
      <w:r w:rsidR="008512D0">
        <w:rPr>
          <w:rFonts w:ascii="TimesNewRoman,Bold" w:hAnsi="TimesNewRoman,Bold" w:cs="Times New Roman"/>
          <w:sz w:val="21"/>
          <w:szCs w:val="21"/>
          <w:lang w:eastAsia="en-GB"/>
        </w:rPr>
        <w:t>.</w:t>
      </w:r>
      <w:r w:rsidRPr="00E073CF">
        <w:rPr>
          <w:rFonts w:ascii="TimesNewRoman,Bold" w:hAnsi="TimesNewRoman,Bold" w:cs="Times New Roman"/>
          <w:sz w:val="21"/>
          <w:szCs w:val="21"/>
          <w:lang w:eastAsia="en-GB"/>
        </w:rPr>
        <w:t xml:space="preserve"> “Sampling Weights and Regression Analysis”, </w:t>
      </w:r>
      <w:r w:rsidRPr="00E073CF">
        <w:rPr>
          <w:rFonts w:ascii="TimesNewRoman,Bold" w:hAnsi="TimesNewRoman,Bold" w:cs="Times New Roman"/>
          <w:i/>
          <w:sz w:val="21"/>
          <w:szCs w:val="21"/>
          <w:lang w:eastAsia="en-GB"/>
        </w:rPr>
        <w:t>Sociological Methods &amp; Research</w:t>
      </w:r>
      <w:r w:rsidRPr="00E073CF">
        <w:rPr>
          <w:rFonts w:ascii="TimesNewRoman,Bold" w:hAnsi="TimesNewRoman,Bold" w:cs="Times New Roman"/>
          <w:sz w:val="21"/>
          <w:szCs w:val="21"/>
          <w:lang w:eastAsia="en-GB"/>
        </w:rPr>
        <w:t>, vol. 23, no. 2, pp. 230-257.</w:t>
      </w:r>
    </w:p>
    <w:p w14:paraId="09643707" w14:textId="6FC9B4B1" w:rsidR="003279CF" w:rsidRPr="00E073CF" w:rsidRDefault="003279CF"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Wolff, E.N. 2014. “Household wealth trends in the United States, 1983-2010”, </w:t>
      </w:r>
      <w:r w:rsidRPr="00E073CF">
        <w:rPr>
          <w:rFonts w:ascii="TimesNewRoman,Bold" w:hAnsi="TimesNewRoman,Bold" w:cs="Times New Roman"/>
          <w:i/>
          <w:sz w:val="21"/>
          <w:szCs w:val="21"/>
          <w:lang w:eastAsia="en-GB"/>
        </w:rPr>
        <w:t>Oxford Review of Economic Policy</w:t>
      </w:r>
      <w:r w:rsidRPr="00E073CF">
        <w:rPr>
          <w:rFonts w:ascii="TimesNewRoman,Bold" w:hAnsi="TimesNewRoman,Bold" w:cs="Times New Roman"/>
          <w:sz w:val="21"/>
          <w:szCs w:val="21"/>
          <w:lang w:eastAsia="en-GB"/>
        </w:rPr>
        <w:t>, vol. 30, no. 1, pp. 21-43.</w:t>
      </w:r>
    </w:p>
    <w:p w14:paraId="649FBA1E" w14:textId="77777777" w:rsidR="003279CF" w:rsidRPr="00E073CF" w:rsidRDefault="003279CF"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Wolff, E.N., and Zacharias, A. 2013. “Class structure and economic inequality”, </w:t>
      </w:r>
      <w:r w:rsidRPr="00E073CF">
        <w:rPr>
          <w:rFonts w:ascii="TimesNewRoman,Bold" w:hAnsi="TimesNewRoman,Bold" w:cs="Times New Roman"/>
          <w:i/>
          <w:sz w:val="21"/>
          <w:szCs w:val="21"/>
          <w:lang w:eastAsia="en-GB"/>
        </w:rPr>
        <w:t>Cambridge Journal of Economics</w:t>
      </w:r>
      <w:r w:rsidRPr="00E073CF">
        <w:rPr>
          <w:rFonts w:ascii="TimesNewRoman,Bold" w:hAnsi="TimesNewRoman,Bold" w:cs="Times New Roman"/>
          <w:sz w:val="21"/>
          <w:szCs w:val="21"/>
          <w:lang w:eastAsia="en-GB"/>
        </w:rPr>
        <w:t>, vol. 37, pp. 1381-1406.</w:t>
      </w:r>
    </w:p>
    <w:p w14:paraId="5EB4020A" w14:textId="15275AAB" w:rsidR="003279CF" w:rsidRPr="00E073CF" w:rsidRDefault="00E677BC"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Wooldridge, J.M. 2002.</w:t>
      </w:r>
      <w:r w:rsidR="003279CF" w:rsidRPr="00E073CF">
        <w:rPr>
          <w:rFonts w:ascii="TimesNewRoman,Bold" w:hAnsi="TimesNewRoman,Bold" w:cs="Times New Roman"/>
          <w:sz w:val="21"/>
          <w:szCs w:val="21"/>
          <w:lang w:eastAsia="en-GB"/>
        </w:rPr>
        <w:t xml:space="preserve"> Econometric Analysis of Cross Section and </w:t>
      </w:r>
      <w:r w:rsidRPr="00E073CF">
        <w:rPr>
          <w:rFonts w:ascii="TimesNewRoman,Bold" w:hAnsi="TimesNewRoman,Bold" w:cs="Times New Roman"/>
          <w:sz w:val="21"/>
          <w:szCs w:val="21"/>
          <w:lang w:eastAsia="en-GB"/>
        </w:rPr>
        <w:t>Panel Data, 1</w:t>
      </w:r>
      <w:r w:rsidRPr="00E073CF">
        <w:rPr>
          <w:rFonts w:ascii="TimesNewRoman,Bold" w:hAnsi="TimesNewRoman,Bold" w:cs="Times New Roman"/>
          <w:sz w:val="21"/>
          <w:szCs w:val="21"/>
          <w:vertAlign w:val="superscript"/>
          <w:lang w:eastAsia="en-GB"/>
        </w:rPr>
        <w:t>st</w:t>
      </w:r>
      <w:r w:rsidRPr="00E073CF">
        <w:rPr>
          <w:rFonts w:ascii="TimesNewRoman,Bold" w:hAnsi="TimesNewRoman,Bold" w:cs="Times New Roman"/>
          <w:sz w:val="21"/>
          <w:szCs w:val="21"/>
          <w:lang w:eastAsia="en-GB"/>
        </w:rPr>
        <w:t xml:space="preserve"> edition, London,</w:t>
      </w:r>
      <w:r w:rsidR="003279CF" w:rsidRPr="00E073CF">
        <w:rPr>
          <w:rFonts w:ascii="TimesNewRoman,Bold" w:hAnsi="TimesNewRoman,Bold" w:cs="Times New Roman"/>
          <w:sz w:val="21"/>
          <w:szCs w:val="21"/>
          <w:lang w:eastAsia="en-GB"/>
        </w:rPr>
        <w:t xml:space="preserve"> The MIT Press.</w:t>
      </w:r>
    </w:p>
    <w:p w14:paraId="3ABF1E1D" w14:textId="77777777" w:rsidR="003279CF" w:rsidRPr="00E073CF" w:rsidRDefault="003279CF"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Wright, E.O. 2009. “Understanding Class. Towards an Integrated Analytical Approach”, </w:t>
      </w:r>
      <w:r w:rsidRPr="00E073CF">
        <w:rPr>
          <w:rFonts w:ascii="TimesNewRoman,Bold" w:hAnsi="TimesNewRoman,Bold" w:cs="Times New Roman"/>
          <w:i/>
          <w:sz w:val="21"/>
          <w:szCs w:val="21"/>
          <w:lang w:eastAsia="en-GB"/>
        </w:rPr>
        <w:t>New Left Review</w:t>
      </w:r>
      <w:r w:rsidRPr="00E073CF">
        <w:rPr>
          <w:rFonts w:ascii="TimesNewRoman,Bold" w:hAnsi="TimesNewRoman,Bold" w:cs="Times New Roman"/>
          <w:sz w:val="21"/>
          <w:szCs w:val="21"/>
          <w:lang w:eastAsia="en-GB"/>
        </w:rPr>
        <w:t>, vol. 60, pp. 101-16.</w:t>
      </w:r>
    </w:p>
    <w:p w14:paraId="50F30844" w14:textId="77777777" w:rsidR="003279CF" w:rsidRPr="00E073CF" w:rsidRDefault="003279CF" w:rsidP="00823A6F">
      <w:pPr>
        <w:spacing w:after="160" w:line="240" w:lineRule="auto"/>
        <w:ind w:firstLine="0"/>
        <w:jc w:val="left"/>
        <w:rPr>
          <w:rFonts w:ascii="TimesNewRoman,Bold" w:hAnsi="TimesNewRoman,Bold" w:cs="Times New Roman"/>
          <w:sz w:val="21"/>
          <w:szCs w:val="21"/>
          <w:lang w:eastAsia="en-GB"/>
        </w:rPr>
      </w:pPr>
      <w:r w:rsidRPr="00E073CF">
        <w:rPr>
          <w:rFonts w:ascii="TimesNewRoman,Bold" w:hAnsi="TimesNewRoman,Bold" w:cs="Times New Roman"/>
          <w:sz w:val="21"/>
          <w:szCs w:val="21"/>
          <w:lang w:eastAsia="en-GB"/>
        </w:rPr>
        <w:t xml:space="preserve">Young, B. 2010. “The Gendered Dimension of Money, Finance and the Subprime Crisis”. In: </w:t>
      </w:r>
      <w:proofErr w:type="spellStart"/>
      <w:r w:rsidRPr="00E073CF">
        <w:rPr>
          <w:rFonts w:ascii="TimesNewRoman,Bold" w:hAnsi="TimesNewRoman,Bold" w:cs="Times New Roman"/>
          <w:sz w:val="21"/>
          <w:szCs w:val="21"/>
          <w:lang w:eastAsia="en-GB"/>
        </w:rPr>
        <w:t>Bauhardt</w:t>
      </w:r>
      <w:proofErr w:type="spellEnd"/>
      <w:r w:rsidRPr="00E073CF">
        <w:rPr>
          <w:rFonts w:ascii="TimesNewRoman,Bold" w:hAnsi="TimesNewRoman,Bold" w:cs="Times New Roman"/>
          <w:sz w:val="21"/>
          <w:szCs w:val="21"/>
          <w:lang w:eastAsia="en-GB"/>
        </w:rPr>
        <w:t xml:space="preserve">, C. and </w:t>
      </w:r>
      <w:proofErr w:type="spellStart"/>
      <w:r w:rsidRPr="00E073CF">
        <w:rPr>
          <w:rFonts w:ascii="TimesNewRoman,Bold" w:hAnsi="TimesNewRoman,Bold" w:cs="Times New Roman"/>
          <w:sz w:val="21"/>
          <w:szCs w:val="21"/>
          <w:lang w:eastAsia="en-GB"/>
        </w:rPr>
        <w:t>Caglar</w:t>
      </w:r>
      <w:proofErr w:type="spellEnd"/>
      <w:r w:rsidRPr="00E073CF">
        <w:rPr>
          <w:rFonts w:ascii="TimesNewRoman,Bold" w:hAnsi="TimesNewRoman,Bold" w:cs="Times New Roman"/>
          <w:sz w:val="21"/>
          <w:szCs w:val="21"/>
          <w:lang w:eastAsia="en-GB"/>
        </w:rPr>
        <w:t>, G., eds</w:t>
      </w:r>
      <w:r w:rsidRPr="00E073CF">
        <w:rPr>
          <w:rFonts w:ascii="TimesNewRoman,Bold" w:hAnsi="TimesNewRoman,Bold" w:cs="Times New Roman"/>
          <w:i/>
          <w:sz w:val="21"/>
          <w:szCs w:val="21"/>
          <w:lang w:eastAsia="en-GB"/>
        </w:rPr>
        <w:t xml:space="preserve">., Gender and Economics. </w:t>
      </w:r>
      <w:proofErr w:type="spellStart"/>
      <w:r w:rsidRPr="00E073CF">
        <w:rPr>
          <w:rFonts w:ascii="TimesNewRoman,Bold" w:hAnsi="TimesNewRoman,Bold" w:cs="Times New Roman"/>
          <w:i/>
          <w:sz w:val="21"/>
          <w:szCs w:val="21"/>
          <w:lang w:eastAsia="en-GB"/>
        </w:rPr>
        <w:t>Feministische</w:t>
      </w:r>
      <w:proofErr w:type="spellEnd"/>
      <w:r w:rsidRPr="00E073CF">
        <w:rPr>
          <w:rFonts w:ascii="TimesNewRoman,Bold" w:hAnsi="TimesNewRoman,Bold" w:cs="Times New Roman"/>
          <w:i/>
          <w:sz w:val="21"/>
          <w:szCs w:val="21"/>
          <w:lang w:eastAsia="en-GB"/>
        </w:rPr>
        <w:t xml:space="preserve"> </w:t>
      </w:r>
      <w:proofErr w:type="spellStart"/>
      <w:r w:rsidRPr="00E073CF">
        <w:rPr>
          <w:rFonts w:ascii="TimesNewRoman,Bold" w:hAnsi="TimesNewRoman,Bold" w:cs="Times New Roman"/>
          <w:i/>
          <w:sz w:val="21"/>
          <w:szCs w:val="21"/>
          <w:lang w:eastAsia="en-GB"/>
        </w:rPr>
        <w:t>Kritik</w:t>
      </w:r>
      <w:proofErr w:type="spellEnd"/>
      <w:r w:rsidRPr="00E073CF">
        <w:rPr>
          <w:rFonts w:ascii="TimesNewRoman,Bold" w:hAnsi="TimesNewRoman,Bold" w:cs="Times New Roman"/>
          <w:i/>
          <w:sz w:val="21"/>
          <w:szCs w:val="21"/>
          <w:lang w:eastAsia="en-GB"/>
        </w:rPr>
        <w:t xml:space="preserve"> der </w:t>
      </w:r>
      <w:proofErr w:type="spellStart"/>
      <w:r w:rsidRPr="00E073CF">
        <w:rPr>
          <w:rFonts w:ascii="TimesNewRoman,Bold" w:hAnsi="TimesNewRoman,Bold" w:cs="Times New Roman"/>
          <w:i/>
          <w:sz w:val="21"/>
          <w:szCs w:val="21"/>
          <w:lang w:eastAsia="en-GB"/>
        </w:rPr>
        <w:t>politischen</w:t>
      </w:r>
      <w:proofErr w:type="spellEnd"/>
      <w:r w:rsidRPr="00E073CF">
        <w:rPr>
          <w:rFonts w:ascii="TimesNewRoman,Bold" w:hAnsi="TimesNewRoman,Bold" w:cs="Times New Roman"/>
          <w:i/>
          <w:sz w:val="21"/>
          <w:szCs w:val="21"/>
          <w:lang w:eastAsia="en-GB"/>
        </w:rPr>
        <w:t xml:space="preserve"> </w:t>
      </w:r>
      <w:proofErr w:type="spellStart"/>
      <w:r w:rsidRPr="00E073CF">
        <w:rPr>
          <w:rFonts w:ascii="TimesNewRoman,Bold" w:hAnsi="TimesNewRoman,Bold" w:cs="Times New Roman"/>
          <w:i/>
          <w:sz w:val="21"/>
          <w:szCs w:val="21"/>
          <w:lang w:eastAsia="en-GB"/>
        </w:rPr>
        <w:t>Oekonomie</w:t>
      </w:r>
      <w:proofErr w:type="spellEnd"/>
      <w:r w:rsidRPr="00E073CF">
        <w:rPr>
          <w:rFonts w:ascii="TimesNewRoman,Bold" w:hAnsi="TimesNewRoman,Bold" w:cs="Times New Roman"/>
          <w:sz w:val="21"/>
          <w:szCs w:val="21"/>
          <w:lang w:eastAsia="en-GB"/>
        </w:rPr>
        <w:t xml:space="preserve">, Wiesbaden, VS Verlag </w:t>
      </w:r>
      <w:proofErr w:type="spellStart"/>
      <w:r w:rsidRPr="00E073CF">
        <w:rPr>
          <w:rFonts w:ascii="TimesNewRoman,Bold" w:hAnsi="TimesNewRoman,Bold" w:cs="Times New Roman"/>
          <w:sz w:val="21"/>
          <w:szCs w:val="21"/>
          <w:lang w:eastAsia="en-GB"/>
        </w:rPr>
        <w:t>für</w:t>
      </w:r>
      <w:proofErr w:type="spellEnd"/>
      <w:r w:rsidRPr="00E073CF">
        <w:rPr>
          <w:rFonts w:ascii="TimesNewRoman,Bold" w:hAnsi="TimesNewRoman,Bold" w:cs="Times New Roman"/>
          <w:sz w:val="21"/>
          <w:szCs w:val="21"/>
          <w:lang w:eastAsia="en-GB"/>
        </w:rPr>
        <w:t xml:space="preserve"> </w:t>
      </w:r>
      <w:proofErr w:type="spellStart"/>
      <w:r w:rsidRPr="00E073CF">
        <w:rPr>
          <w:rFonts w:ascii="TimesNewRoman,Bold" w:hAnsi="TimesNewRoman,Bold" w:cs="Times New Roman"/>
          <w:sz w:val="21"/>
          <w:szCs w:val="21"/>
          <w:lang w:eastAsia="en-GB"/>
        </w:rPr>
        <w:t>Sozialwissenschaften</w:t>
      </w:r>
      <w:proofErr w:type="spellEnd"/>
      <w:r w:rsidRPr="00E073CF">
        <w:rPr>
          <w:rFonts w:ascii="TimesNewRoman,Bold" w:hAnsi="TimesNewRoman,Bold" w:cs="Times New Roman"/>
          <w:sz w:val="21"/>
          <w:szCs w:val="21"/>
          <w:lang w:eastAsia="en-GB"/>
        </w:rPr>
        <w:t>.</w:t>
      </w:r>
    </w:p>
    <w:p w14:paraId="4DF93896" w14:textId="77777777" w:rsidR="00CF210D" w:rsidRDefault="00CF210D" w:rsidP="00346D05">
      <w:pPr>
        <w:pStyle w:val="MyHeading1C"/>
        <w:sectPr w:rsidR="00CF210D" w:rsidSect="005634A0">
          <w:pgSz w:w="11900" w:h="16840"/>
          <w:pgMar w:top="1440" w:right="1440" w:bottom="1440" w:left="1440" w:header="708" w:footer="708" w:gutter="0"/>
          <w:cols w:space="708"/>
          <w:docGrid w:linePitch="360"/>
        </w:sectPr>
      </w:pPr>
    </w:p>
    <w:p w14:paraId="6B7B82A0" w14:textId="42DACFA4" w:rsidR="007622A6" w:rsidRDefault="007622A6" w:rsidP="00346D05">
      <w:pPr>
        <w:pStyle w:val="MyHeading1C"/>
      </w:pPr>
      <w:r>
        <w:lastRenderedPageBreak/>
        <w:t>Appendix</w:t>
      </w:r>
      <w:r w:rsidR="003F40CD">
        <w:t xml:space="preserve"> A</w:t>
      </w:r>
    </w:p>
    <w:p w14:paraId="4C07975C" w14:textId="40D75503" w:rsidR="00CF210D" w:rsidRPr="00CF210D" w:rsidRDefault="00CF210D" w:rsidP="00CF210D">
      <w:pPr>
        <w:spacing w:after="200" w:line="240" w:lineRule="auto"/>
        <w:ind w:firstLine="0"/>
        <w:jc w:val="left"/>
        <w:rPr>
          <w:rFonts w:ascii="Times New Roman" w:hAnsi="Times New Roman" w:cs="Times New Roman"/>
          <w:b/>
          <w:iCs/>
          <w:color w:val="000000" w:themeColor="text1"/>
          <w:sz w:val="22"/>
        </w:rPr>
      </w:pPr>
      <w:bookmarkStart w:id="4" w:name="_Toc496875150"/>
      <w:r w:rsidRPr="002B6AE1">
        <w:rPr>
          <w:rFonts w:ascii="Times New Roman" w:hAnsi="Times New Roman" w:cs="Times New Roman"/>
          <w:b/>
          <w:iCs/>
          <w:color w:val="000000" w:themeColor="text1"/>
          <w:sz w:val="22"/>
          <w:szCs w:val="18"/>
        </w:rPr>
        <w:t>Table A</w:t>
      </w:r>
      <w:r w:rsidRPr="002B6AE1">
        <w:rPr>
          <w:rFonts w:ascii="Times New Roman" w:hAnsi="Times New Roman" w:cs="Times New Roman"/>
          <w:b/>
          <w:iCs/>
          <w:color w:val="000000" w:themeColor="text1"/>
          <w:sz w:val="22"/>
          <w:szCs w:val="18"/>
        </w:rPr>
        <w:fldChar w:fldCharType="begin"/>
      </w:r>
      <w:r w:rsidRPr="002B6AE1">
        <w:rPr>
          <w:rFonts w:ascii="Times New Roman" w:hAnsi="Times New Roman" w:cs="Times New Roman"/>
          <w:b/>
          <w:iCs/>
          <w:color w:val="000000" w:themeColor="text1"/>
          <w:sz w:val="22"/>
          <w:szCs w:val="18"/>
        </w:rPr>
        <w:instrText xml:space="preserve"> SEQ Table \r1 \* ARABIC </w:instrText>
      </w:r>
      <w:r w:rsidRPr="002B6AE1">
        <w:rPr>
          <w:rFonts w:ascii="Times New Roman" w:hAnsi="Times New Roman" w:cs="Times New Roman"/>
          <w:b/>
          <w:iCs/>
          <w:color w:val="000000" w:themeColor="text1"/>
          <w:sz w:val="22"/>
          <w:szCs w:val="18"/>
        </w:rPr>
        <w:fldChar w:fldCharType="separate"/>
      </w:r>
      <w:r w:rsidR="00C12154" w:rsidRPr="002B6AE1">
        <w:rPr>
          <w:rFonts w:ascii="Times New Roman" w:hAnsi="Times New Roman" w:cs="Times New Roman"/>
          <w:b/>
          <w:iCs/>
          <w:noProof/>
          <w:color w:val="000000" w:themeColor="text1"/>
          <w:sz w:val="22"/>
          <w:szCs w:val="18"/>
        </w:rPr>
        <w:t>1</w:t>
      </w:r>
      <w:r w:rsidRPr="002B6AE1">
        <w:rPr>
          <w:rFonts w:ascii="Times New Roman" w:hAnsi="Times New Roman" w:cs="Times New Roman"/>
          <w:b/>
          <w:iCs/>
          <w:color w:val="000000" w:themeColor="text1"/>
          <w:sz w:val="22"/>
          <w:szCs w:val="18"/>
        </w:rPr>
        <w:fldChar w:fldCharType="end"/>
      </w:r>
      <w:r w:rsidRPr="00CF210D">
        <w:rPr>
          <w:rFonts w:ascii="Times New Roman" w:hAnsi="Times New Roman" w:cs="Times New Roman"/>
          <w:iCs/>
          <w:color w:val="000000" w:themeColor="text1"/>
          <w:sz w:val="22"/>
          <w:szCs w:val="18"/>
        </w:rPr>
        <w:t xml:space="preserve"> Asset and debt holdings, whole sample, USA 1989-2013</w:t>
      </w:r>
      <w:bookmarkEnd w:id="4"/>
      <w:r w:rsidRPr="00CF210D">
        <w:rPr>
          <w:rFonts w:ascii="Times New Roman" w:hAnsi="Times New Roman" w:cs="Times New Roman"/>
          <w:iCs/>
          <w:color w:val="000000" w:themeColor="text1"/>
          <w:sz w:val="22"/>
          <w:szCs w:val="1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850"/>
        <w:gridCol w:w="1800"/>
        <w:gridCol w:w="1644"/>
        <w:gridCol w:w="222"/>
        <w:gridCol w:w="850"/>
        <w:gridCol w:w="1800"/>
        <w:gridCol w:w="1644"/>
      </w:tblGrid>
      <w:tr w:rsidR="00CF210D" w:rsidRPr="00CF210D" w14:paraId="26052F59" w14:textId="77777777" w:rsidTr="006129E3">
        <w:trPr>
          <w:trHeight w:val="227"/>
          <w:jc w:val="center"/>
        </w:trPr>
        <w:tc>
          <w:tcPr>
            <w:tcW w:w="0" w:type="auto"/>
            <w:vMerge w:val="restart"/>
            <w:tcBorders>
              <w:bottom w:val="single" w:sz="4" w:space="0" w:color="auto"/>
            </w:tcBorders>
            <w:noWrap/>
            <w:hideMark/>
          </w:tcPr>
          <w:p w14:paraId="5A4674E5" w14:textId="77777777" w:rsidR="00CF210D" w:rsidRPr="00CF210D" w:rsidRDefault="00CF210D" w:rsidP="00CF210D">
            <w:pPr>
              <w:spacing w:after="0" w:line="276" w:lineRule="auto"/>
              <w:ind w:firstLine="0"/>
              <w:jc w:val="center"/>
              <w:rPr>
                <w:rFonts w:ascii="Times New Roman" w:hAnsi="Times New Roman" w:cs="Times New Roman"/>
                <w:b/>
                <w:color w:val="000000" w:themeColor="text1"/>
                <w:sz w:val="20"/>
                <w:szCs w:val="20"/>
                <w:lang w:eastAsia="en-GB"/>
              </w:rPr>
            </w:pPr>
            <w:r w:rsidRPr="00CF210D">
              <w:rPr>
                <w:rFonts w:ascii="Times New Roman" w:hAnsi="Times New Roman" w:cs="Times New Roman"/>
                <w:b/>
                <w:color w:val="000000" w:themeColor="text1"/>
                <w:sz w:val="20"/>
                <w:szCs w:val="20"/>
                <w:lang w:eastAsia="en-GB"/>
              </w:rPr>
              <w:t>Wave</w:t>
            </w:r>
          </w:p>
        </w:tc>
        <w:tc>
          <w:tcPr>
            <w:tcW w:w="0" w:type="auto"/>
            <w:gridSpan w:val="3"/>
            <w:noWrap/>
            <w:hideMark/>
          </w:tcPr>
          <w:p w14:paraId="5BFF522D" w14:textId="77777777" w:rsidR="00CF210D" w:rsidRPr="00CF210D" w:rsidRDefault="00CF210D" w:rsidP="00CF210D">
            <w:pPr>
              <w:spacing w:after="0" w:line="276" w:lineRule="auto"/>
              <w:ind w:firstLine="0"/>
              <w:jc w:val="center"/>
              <w:rPr>
                <w:rFonts w:ascii="Times New Roman" w:hAnsi="Times New Roman" w:cs="Times New Roman"/>
                <w:b/>
                <w:color w:val="000000" w:themeColor="text1"/>
                <w:sz w:val="20"/>
                <w:szCs w:val="20"/>
                <w:lang w:eastAsia="en-GB"/>
              </w:rPr>
            </w:pPr>
            <w:r w:rsidRPr="00CF210D">
              <w:rPr>
                <w:rFonts w:ascii="Times New Roman" w:hAnsi="Times New Roman" w:cs="Times New Roman"/>
                <w:b/>
                <w:color w:val="000000" w:themeColor="text1"/>
                <w:sz w:val="20"/>
                <w:szCs w:val="20"/>
                <w:lang w:eastAsia="en-GB"/>
              </w:rPr>
              <w:t>Assets</w:t>
            </w:r>
          </w:p>
        </w:tc>
        <w:tc>
          <w:tcPr>
            <w:tcW w:w="0" w:type="auto"/>
            <w:noWrap/>
            <w:hideMark/>
          </w:tcPr>
          <w:p w14:paraId="6D007225" w14:textId="77777777" w:rsidR="00CF210D" w:rsidRPr="00CF210D" w:rsidRDefault="00CF210D" w:rsidP="00CF210D">
            <w:pPr>
              <w:spacing w:after="0" w:line="276" w:lineRule="auto"/>
              <w:ind w:firstLine="0"/>
              <w:jc w:val="center"/>
              <w:rPr>
                <w:rFonts w:ascii="Times New Roman" w:hAnsi="Times New Roman" w:cs="Times New Roman"/>
                <w:b/>
                <w:color w:val="000000" w:themeColor="text1"/>
                <w:sz w:val="20"/>
                <w:szCs w:val="20"/>
                <w:lang w:eastAsia="en-GB"/>
              </w:rPr>
            </w:pPr>
          </w:p>
        </w:tc>
        <w:tc>
          <w:tcPr>
            <w:tcW w:w="0" w:type="auto"/>
            <w:gridSpan w:val="3"/>
            <w:noWrap/>
            <w:hideMark/>
          </w:tcPr>
          <w:p w14:paraId="4527E190" w14:textId="77777777" w:rsidR="00CF210D" w:rsidRPr="00CF210D" w:rsidRDefault="00CF210D" w:rsidP="00CF210D">
            <w:pPr>
              <w:spacing w:after="0" w:line="276" w:lineRule="auto"/>
              <w:ind w:firstLine="0"/>
              <w:jc w:val="center"/>
              <w:rPr>
                <w:rFonts w:ascii="Times New Roman" w:hAnsi="Times New Roman" w:cs="Times New Roman"/>
                <w:b/>
                <w:color w:val="000000" w:themeColor="text1"/>
                <w:sz w:val="20"/>
                <w:szCs w:val="20"/>
                <w:lang w:eastAsia="en-GB"/>
              </w:rPr>
            </w:pPr>
            <w:r w:rsidRPr="00CF210D">
              <w:rPr>
                <w:rFonts w:ascii="Times New Roman" w:hAnsi="Times New Roman" w:cs="Times New Roman"/>
                <w:b/>
                <w:color w:val="000000" w:themeColor="text1"/>
                <w:sz w:val="20"/>
                <w:szCs w:val="20"/>
                <w:lang w:eastAsia="en-GB"/>
              </w:rPr>
              <w:t>Debt</w:t>
            </w:r>
          </w:p>
        </w:tc>
      </w:tr>
      <w:tr w:rsidR="00CF210D" w:rsidRPr="00CF210D" w14:paraId="7D8BBEB1" w14:textId="77777777" w:rsidTr="006129E3">
        <w:trPr>
          <w:trHeight w:val="227"/>
          <w:jc w:val="center"/>
        </w:trPr>
        <w:tc>
          <w:tcPr>
            <w:tcW w:w="0" w:type="auto"/>
            <w:vMerge/>
            <w:tcBorders>
              <w:bottom w:val="single" w:sz="4" w:space="0" w:color="auto"/>
            </w:tcBorders>
            <w:hideMark/>
          </w:tcPr>
          <w:p w14:paraId="2FF64199"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p>
        </w:tc>
        <w:tc>
          <w:tcPr>
            <w:tcW w:w="0" w:type="auto"/>
            <w:tcBorders>
              <w:bottom w:val="single" w:sz="4" w:space="0" w:color="auto"/>
            </w:tcBorders>
            <w:noWrap/>
            <w:hideMark/>
          </w:tcPr>
          <w:p w14:paraId="153F6360"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Holders</w:t>
            </w:r>
          </w:p>
        </w:tc>
        <w:tc>
          <w:tcPr>
            <w:tcW w:w="0" w:type="auto"/>
            <w:tcBorders>
              <w:bottom w:val="single" w:sz="4" w:space="0" w:color="auto"/>
            </w:tcBorders>
            <w:noWrap/>
            <w:hideMark/>
          </w:tcPr>
          <w:p w14:paraId="3BD416B8"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Conditional median</w:t>
            </w:r>
          </w:p>
        </w:tc>
        <w:tc>
          <w:tcPr>
            <w:tcW w:w="0" w:type="auto"/>
            <w:tcBorders>
              <w:bottom w:val="single" w:sz="4" w:space="0" w:color="auto"/>
            </w:tcBorders>
            <w:hideMark/>
          </w:tcPr>
          <w:p w14:paraId="52785733"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Conditional mean</w:t>
            </w:r>
          </w:p>
        </w:tc>
        <w:tc>
          <w:tcPr>
            <w:tcW w:w="0" w:type="auto"/>
            <w:tcBorders>
              <w:bottom w:val="single" w:sz="4" w:space="0" w:color="auto"/>
            </w:tcBorders>
            <w:noWrap/>
            <w:hideMark/>
          </w:tcPr>
          <w:p w14:paraId="6DB62EDE"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p>
        </w:tc>
        <w:tc>
          <w:tcPr>
            <w:tcW w:w="0" w:type="auto"/>
            <w:tcBorders>
              <w:bottom w:val="single" w:sz="4" w:space="0" w:color="auto"/>
            </w:tcBorders>
            <w:noWrap/>
            <w:hideMark/>
          </w:tcPr>
          <w:p w14:paraId="0130F7B5"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Holders</w:t>
            </w:r>
          </w:p>
        </w:tc>
        <w:tc>
          <w:tcPr>
            <w:tcW w:w="0" w:type="auto"/>
            <w:tcBorders>
              <w:bottom w:val="single" w:sz="4" w:space="0" w:color="auto"/>
            </w:tcBorders>
            <w:noWrap/>
            <w:hideMark/>
          </w:tcPr>
          <w:p w14:paraId="4E9B9460"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Conditional median</w:t>
            </w:r>
          </w:p>
        </w:tc>
        <w:tc>
          <w:tcPr>
            <w:tcW w:w="0" w:type="auto"/>
            <w:tcBorders>
              <w:bottom w:val="single" w:sz="4" w:space="0" w:color="auto"/>
            </w:tcBorders>
            <w:hideMark/>
          </w:tcPr>
          <w:p w14:paraId="4197F481"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Conditional mean</w:t>
            </w:r>
          </w:p>
        </w:tc>
      </w:tr>
      <w:tr w:rsidR="00CF210D" w:rsidRPr="00CF210D" w14:paraId="0C6D90EB" w14:textId="77777777" w:rsidTr="006129E3">
        <w:trPr>
          <w:trHeight w:val="227"/>
          <w:jc w:val="center"/>
        </w:trPr>
        <w:tc>
          <w:tcPr>
            <w:tcW w:w="0" w:type="auto"/>
            <w:tcBorders>
              <w:top w:val="single" w:sz="4" w:space="0" w:color="auto"/>
            </w:tcBorders>
            <w:noWrap/>
            <w:vAlign w:val="center"/>
            <w:hideMark/>
          </w:tcPr>
          <w:p w14:paraId="751F9797"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1989</w:t>
            </w:r>
          </w:p>
        </w:tc>
        <w:tc>
          <w:tcPr>
            <w:tcW w:w="0" w:type="auto"/>
            <w:tcBorders>
              <w:top w:val="single" w:sz="4" w:space="0" w:color="auto"/>
            </w:tcBorders>
            <w:noWrap/>
            <w:vAlign w:val="center"/>
            <w:hideMark/>
          </w:tcPr>
          <w:p w14:paraId="58076F78"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94.7%</w:t>
            </w:r>
          </w:p>
        </w:tc>
        <w:tc>
          <w:tcPr>
            <w:tcW w:w="0" w:type="auto"/>
            <w:tcBorders>
              <w:top w:val="single" w:sz="4" w:space="0" w:color="auto"/>
            </w:tcBorders>
            <w:noWrap/>
            <w:vAlign w:val="bottom"/>
            <w:hideMark/>
          </w:tcPr>
          <w:p w14:paraId="304C32ED"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147,859.3</w:t>
            </w:r>
          </w:p>
        </w:tc>
        <w:tc>
          <w:tcPr>
            <w:tcW w:w="0" w:type="auto"/>
            <w:tcBorders>
              <w:top w:val="single" w:sz="4" w:space="0" w:color="auto"/>
            </w:tcBorders>
            <w:noWrap/>
            <w:vAlign w:val="bottom"/>
            <w:hideMark/>
          </w:tcPr>
          <w:p w14:paraId="764A69E3"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411,492.0</w:t>
            </w:r>
          </w:p>
        </w:tc>
        <w:tc>
          <w:tcPr>
            <w:tcW w:w="0" w:type="auto"/>
            <w:tcBorders>
              <w:top w:val="single" w:sz="4" w:space="0" w:color="auto"/>
            </w:tcBorders>
            <w:noWrap/>
            <w:hideMark/>
          </w:tcPr>
          <w:p w14:paraId="1FCD27B9"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tcBorders>
              <w:top w:val="single" w:sz="4" w:space="0" w:color="auto"/>
            </w:tcBorders>
            <w:noWrap/>
            <w:hideMark/>
          </w:tcPr>
          <w:p w14:paraId="1C799A3C"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72.3%</w:t>
            </w:r>
          </w:p>
        </w:tc>
        <w:tc>
          <w:tcPr>
            <w:tcW w:w="0" w:type="auto"/>
            <w:tcBorders>
              <w:top w:val="single" w:sz="4" w:space="0" w:color="auto"/>
            </w:tcBorders>
            <w:noWrap/>
            <w:vAlign w:val="bottom"/>
            <w:hideMark/>
          </w:tcPr>
          <w:p w14:paraId="001EA1DA"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27,113.6</w:t>
            </w:r>
          </w:p>
        </w:tc>
        <w:tc>
          <w:tcPr>
            <w:tcW w:w="0" w:type="auto"/>
            <w:tcBorders>
              <w:top w:val="single" w:sz="4" w:space="0" w:color="auto"/>
            </w:tcBorders>
            <w:noWrap/>
            <w:vAlign w:val="bottom"/>
            <w:hideMark/>
          </w:tcPr>
          <w:p w14:paraId="3233E88F"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65,321.5</w:t>
            </w:r>
          </w:p>
        </w:tc>
      </w:tr>
      <w:tr w:rsidR="00CF210D" w:rsidRPr="00CF210D" w14:paraId="2BB8CEA0" w14:textId="77777777" w:rsidTr="006129E3">
        <w:trPr>
          <w:trHeight w:val="227"/>
          <w:jc w:val="center"/>
        </w:trPr>
        <w:tc>
          <w:tcPr>
            <w:tcW w:w="0" w:type="auto"/>
            <w:noWrap/>
            <w:vAlign w:val="center"/>
            <w:hideMark/>
          </w:tcPr>
          <w:p w14:paraId="625D3680"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1992</w:t>
            </w:r>
          </w:p>
        </w:tc>
        <w:tc>
          <w:tcPr>
            <w:tcW w:w="0" w:type="auto"/>
            <w:noWrap/>
            <w:vAlign w:val="center"/>
            <w:hideMark/>
          </w:tcPr>
          <w:p w14:paraId="2D00B002"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95.8%</w:t>
            </w:r>
          </w:p>
        </w:tc>
        <w:tc>
          <w:tcPr>
            <w:tcW w:w="0" w:type="auto"/>
            <w:noWrap/>
            <w:vAlign w:val="bottom"/>
            <w:hideMark/>
          </w:tcPr>
          <w:p w14:paraId="0E6CF899"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137,536.2</w:t>
            </w:r>
          </w:p>
        </w:tc>
        <w:tc>
          <w:tcPr>
            <w:tcW w:w="0" w:type="auto"/>
            <w:noWrap/>
            <w:vAlign w:val="bottom"/>
            <w:hideMark/>
          </w:tcPr>
          <w:p w14:paraId="0589BE15"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370,759.1</w:t>
            </w:r>
          </w:p>
        </w:tc>
        <w:tc>
          <w:tcPr>
            <w:tcW w:w="0" w:type="auto"/>
            <w:noWrap/>
            <w:hideMark/>
          </w:tcPr>
          <w:p w14:paraId="104DDD76"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noWrap/>
            <w:hideMark/>
          </w:tcPr>
          <w:p w14:paraId="1635A35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73.2%</w:t>
            </w:r>
          </w:p>
        </w:tc>
        <w:tc>
          <w:tcPr>
            <w:tcW w:w="0" w:type="auto"/>
            <w:noWrap/>
            <w:vAlign w:val="bottom"/>
            <w:hideMark/>
          </w:tcPr>
          <w:p w14:paraId="22C78E7B"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28,270.9</w:t>
            </w:r>
          </w:p>
        </w:tc>
        <w:tc>
          <w:tcPr>
            <w:tcW w:w="0" w:type="auto"/>
            <w:noWrap/>
            <w:vAlign w:val="bottom"/>
            <w:hideMark/>
          </w:tcPr>
          <w:p w14:paraId="5CB1CAAA"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70,136.6</w:t>
            </w:r>
          </w:p>
        </w:tc>
      </w:tr>
      <w:tr w:rsidR="00CF210D" w:rsidRPr="00CF210D" w14:paraId="084E5F54" w14:textId="77777777" w:rsidTr="006129E3">
        <w:trPr>
          <w:trHeight w:val="227"/>
          <w:jc w:val="center"/>
        </w:trPr>
        <w:tc>
          <w:tcPr>
            <w:tcW w:w="0" w:type="auto"/>
            <w:noWrap/>
            <w:vAlign w:val="center"/>
            <w:hideMark/>
          </w:tcPr>
          <w:p w14:paraId="6BDB950F"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1995</w:t>
            </w:r>
          </w:p>
        </w:tc>
        <w:tc>
          <w:tcPr>
            <w:tcW w:w="0" w:type="auto"/>
            <w:noWrap/>
            <w:vAlign w:val="center"/>
            <w:hideMark/>
          </w:tcPr>
          <w:p w14:paraId="61F23E7C"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96.4%</w:t>
            </w:r>
          </w:p>
        </w:tc>
        <w:tc>
          <w:tcPr>
            <w:tcW w:w="0" w:type="auto"/>
            <w:noWrap/>
            <w:vAlign w:val="bottom"/>
            <w:hideMark/>
          </w:tcPr>
          <w:p w14:paraId="2553F36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155,127.4</w:t>
            </w:r>
          </w:p>
        </w:tc>
        <w:tc>
          <w:tcPr>
            <w:tcW w:w="0" w:type="auto"/>
            <w:noWrap/>
            <w:vAlign w:val="bottom"/>
            <w:hideMark/>
          </w:tcPr>
          <w:p w14:paraId="20ACFCBA"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392,925.6</w:t>
            </w:r>
          </w:p>
        </w:tc>
        <w:tc>
          <w:tcPr>
            <w:tcW w:w="0" w:type="auto"/>
            <w:noWrap/>
            <w:hideMark/>
          </w:tcPr>
          <w:p w14:paraId="2768244B"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noWrap/>
            <w:hideMark/>
          </w:tcPr>
          <w:p w14:paraId="614517FA"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74.5%</w:t>
            </w:r>
          </w:p>
        </w:tc>
        <w:tc>
          <w:tcPr>
            <w:tcW w:w="0" w:type="auto"/>
            <w:noWrap/>
            <w:vAlign w:val="bottom"/>
            <w:hideMark/>
          </w:tcPr>
          <w:p w14:paraId="32B5BDA5"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33,089.8</w:t>
            </w:r>
          </w:p>
        </w:tc>
        <w:tc>
          <w:tcPr>
            <w:tcW w:w="0" w:type="auto"/>
            <w:noWrap/>
            <w:vAlign w:val="bottom"/>
            <w:hideMark/>
          </w:tcPr>
          <w:p w14:paraId="01392508"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74,031.3</w:t>
            </w:r>
          </w:p>
        </w:tc>
      </w:tr>
      <w:tr w:rsidR="00CF210D" w:rsidRPr="00CF210D" w14:paraId="4636EF82" w14:textId="77777777" w:rsidTr="006129E3">
        <w:trPr>
          <w:trHeight w:val="227"/>
          <w:jc w:val="center"/>
        </w:trPr>
        <w:tc>
          <w:tcPr>
            <w:tcW w:w="0" w:type="auto"/>
            <w:noWrap/>
            <w:vAlign w:val="center"/>
            <w:hideMark/>
          </w:tcPr>
          <w:p w14:paraId="41ABCE91"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1998</w:t>
            </w:r>
          </w:p>
        </w:tc>
        <w:tc>
          <w:tcPr>
            <w:tcW w:w="0" w:type="auto"/>
            <w:noWrap/>
            <w:vAlign w:val="center"/>
            <w:hideMark/>
          </w:tcPr>
          <w:p w14:paraId="772066BA"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96.8%</w:t>
            </w:r>
          </w:p>
        </w:tc>
        <w:tc>
          <w:tcPr>
            <w:tcW w:w="0" w:type="auto"/>
            <w:noWrap/>
            <w:vAlign w:val="bottom"/>
            <w:hideMark/>
          </w:tcPr>
          <w:p w14:paraId="3111F232"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177,117.8</w:t>
            </w:r>
          </w:p>
        </w:tc>
        <w:tc>
          <w:tcPr>
            <w:tcW w:w="0" w:type="auto"/>
            <w:noWrap/>
            <w:vAlign w:val="bottom"/>
            <w:hideMark/>
          </w:tcPr>
          <w:p w14:paraId="18852F20"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488,003.5</w:t>
            </w:r>
          </w:p>
        </w:tc>
        <w:tc>
          <w:tcPr>
            <w:tcW w:w="0" w:type="auto"/>
            <w:noWrap/>
            <w:hideMark/>
          </w:tcPr>
          <w:p w14:paraId="486D92A0"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noWrap/>
            <w:hideMark/>
          </w:tcPr>
          <w:p w14:paraId="2E9EE037"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74.1%</w:t>
            </w:r>
          </w:p>
        </w:tc>
        <w:tc>
          <w:tcPr>
            <w:tcW w:w="0" w:type="auto"/>
            <w:noWrap/>
            <w:vAlign w:val="bottom"/>
            <w:hideMark/>
          </w:tcPr>
          <w:p w14:paraId="200C5A86"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46,888.3</w:t>
            </w:r>
          </w:p>
        </w:tc>
        <w:tc>
          <w:tcPr>
            <w:tcW w:w="0" w:type="auto"/>
            <w:noWrap/>
            <w:vAlign w:val="bottom"/>
            <w:hideMark/>
          </w:tcPr>
          <w:p w14:paraId="14F99788"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90,695.4</w:t>
            </w:r>
          </w:p>
        </w:tc>
      </w:tr>
      <w:tr w:rsidR="00CF210D" w:rsidRPr="00CF210D" w14:paraId="6C4D8785" w14:textId="77777777" w:rsidTr="006129E3">
        <w:trPr>
          <w:trHeight w:val="227"/>
          <w:jc w:val="center"/>
        </w:trPr>
        <w:tc>
          <w:tcPr>
            <w:tcW w:w="0" w:type="auto"/>
            <w:noWrap/>
            <w:vAlign w:val="center"/>
            <w:hideMark/>
          </w:tcPr>
          <w:p w14:paraId="448F236C"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2001</w:t>
            </w:r>
          </w:p>
        </w:tc>
        <w:tc>
          <w:tcPr>
            <w:tcW w:w="0" w:type="auto"/>
            <w:noWrap/>
            <w:vAlign w:val="center"/>
            <w:hideMark/>
          </w:tcPr>
          <w:p w14:paraId="424EADDE"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96.7%</w:t>
            </w:r>
          </w:p>
        </w:tc>
        <w:tc>
          <w:tcPr>
            <w:tcW w:w="0" w:type="auto"/>
            <w:noWrap/>
            <w:vAlign w:val="bottom"/>
            <w:hideMark/>
          </w:tcPr>
          <w:p w14:paraId="5F70EA00"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195,078.3</w:t>
            </w:r>
          </w:p>
        </w:tc>
        <w:tc>
          <w:tcPr>
            <w:tcW w:w="0" w:type="auto"/>
            <w:noWrap/>
            <w:vAlign w:val="bottom"/>
            <w:hideMark/>
          </w:tcPr>
          <w:p w14:paraId="09CDDF5D"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613,634.5</w:t>
            </w:r>
          </w:p>
        </w:tc>
        <w:tc>
          <w:tcPr>
            <w:tcW w:w="0" w:type="auto"/>
            <w:noWrap/>
            <w:hideMark/>
          </w:tcPr>
          <w:p w14:paraId="39FEB2B3"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noWrap/>
            <w:hideMark/>
          </w:tcPr>
          <w:p w14:paraId="7B1A548A"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75.1%</w:t>
            </w:r>
          </w:p>
        </w:tc>
        <w:tc>
          <w:tcPr>
            <w:tcW w:w="0" w:type="auto"/>
            <w:noWrap/>
            <w:vAlign w:val="bottom"/>
            <w:hideMark/>
          </w:tcPr>
          <w:p w14:paraId="3C2A385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51,215.4</w:t>
            </w:r>
          </w:p>
        </w:tc>
        <w:tc>
          <w:tcPr>
            <w:tcW w:w="0" w:type="auto"/>
            <w:noWrap/>
            <w:vAlign w:val="bottom"/>
            <w:hideMark/>
          </w:tcPr>
          <w:p w14:paraId="3ABFD4A5"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95,284.8</w:t>
            </w:r>
          </w:p>
        </w:tc>
      </w:tr>
      <w:tr w:rsidR="00CF210D" w:rsidRPr="00CF210D" w14:paraId="668C4B3E" w14:textId="77777777" w:rsidTr="006129E3">
        <w:trPr>
          <w:trHeight w:val="227"/>
          <w:jc w:val="center"/>
        </w:trPr>
        <w:tc>
          <w:tcPr>
            <w:tcW w:w="0" w:type="auto"/>
            <w:noWrap/>
            <w:vAlign w:val="center"/>
            <w:hideMark/>
          </w:tcPr>
          <w:p w14:paraId="7554E16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2004</w:t>
            </w:r>
          </w:p>
        </w:tc>
        <w:tc>
          <w:tcPr>
            <w:tcW w:w="0" w:type="auto"/>
            <w:noWrap/>
            <w:vAlign w:val="center"/>
            <w:hideMark/>
          </w:tcPr>
          <w:p w14:paraId="54579EB5"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97.9%</w:t>
            </w:r>
          </w:p>
        </w:tc>
        <w:tc>
          <w:tcPr>
            <w:tcW w:w="0" w:type="auto"/>
            <w:noWrap/>
            <w:vAlign w:val="bottom"/>
            <w:hideMark/>
          </w:tcPr>
          <w:p w14:paraId="4070567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214,628.4</w:t>
            </w:r>
          </w:p>
        </w:tc>
        <w:tc>
          <w:tcPr>
            <w:tcW w:w="0" w:type="auto"/>
            <w:noWrap/>
            <w:vAlign w:val="bottom"/>
            <w:hideMark/>
          </w:tcPr>
          <w:p w14:paraId="30B16BAB"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665,152.9</w:t>
            </w:r>
          </w:p>
        </w:tc>
        <w:tc>
          <w:tcPr>
            <w:tcW w:w="0" w:type="auto"/>
            <w:noWrap/>
            <w:hideMark/>
          </w:tcPr>
          <w:p w14:paraId="217C5C8F"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noWrap/>
            <w:hideMark/>
          </w:tcPr>
          <w:p w14:paraId="3AF7A0D5"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76.4%</w:t>
            </w:r>
          </w:p>
        </w:tc>
        <w:tc>
          <w:tcPr>
            <w:tcW w:w="0" w:type="auto"/>
            <w:noWrap/>
            <w:vAlign w:val="bottom"/>
            <w:hideMark/>
          </w:tcPr>
          <w:p w14:paraId="48E1DEC6"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68,316.1</w:t>
            </w:r>
          </w:p>
        </w:tc>
        <w:tc>
          <w:tcPr>
            <w:tcW w:w="0" w:type="auto"/>
            <w:noWrap/>
            <w:vAlign w:val="bottom"/>
            <w:hideMark/>
          </w:tcPr>
          <w:p w14:paraId="1C2C322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127,591.9</w:t>
            </w:r>
          </w:p>
        </w:tc>
      </w:tr>
      <w:tr w:rsidR="00CF210D" w:rsidRPr="00CF210D" w14:paraId="32F2A288" w14:textId="77777777" w:rsidTr="006129E3">
        <w:trPr>
          <w:trHeight w:val="227"/>
          <w:jc w:val="center"/>
        </w:trPr>
        <w:tc>
          <w:tcPr>
            <w:tcW w:w="0" w:type="auto"/>
            <w:noWrap/>
            <w:vAlign w:val="center"/>
            <w:hideMark/>
          </w:tcPr>
          <w:p w14:paraId="2F2F8442"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2007</w:t>
            </w:r>
          </w:p>
        </w:tc>
        <w:tc>
          <w:tcPr>
            <w:tcW w:w="0" w:type="auto"/>
            <w:noWrap/>
            <w:vAlign w:val="center"/>
            <w:hideMark/>
          </w:tcPr>
          <w:p w14:paraId="4CF19FAF"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97.7%</w:t>
            </w:r>
          </w:p>
        </w:tc>
        <w:tc>
          <w:tcPr>
            <w:tcW w:w="0" w:type="auto"/>
            <w:noWrap/>
            <w:vAlign w:val="bottom"/>
            <w:hideMark/>
          </w:tcPr>
          <w:p w14:paraId="6C87CFE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249,575.0</w:t>
            </w:r>
          </w:p>
        </w:tc>
        <w:tc>
          <w:tcPr>
            <w:tcW w:w="0" w:type="auto"/>
            <w:noWrap/>
            <w:vAlign w:val="bottom"/>
            <w:hideMark/>
          </w:tcPr>
          <w:p w14:paraId="313F5D6F"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751,170.0</w:t>
            </w:r>
          </w:p>
        </w:tc>
        <w:tc>
          <w:tcPr>
            <w:tcW w:w="0" w:type="auto"/>
            <w:noWrap/>
            <w:hideMark/>
          </w:tcPr>
          <w:p w14:paraId="66F02BB0"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noWrap/>
            <w:hideMark/>
          </w:tcPr>
          <w:p w14:paraId="26C8D9E7"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77%</w:t>
            </w:r>
          </w:p>
        </w:tc>
        <w:tc>
          <w:tcPr>
            <w:tcW w:w="0" w:type="auto"/>
            <w:noWrap/>
            <w:vAlign w:val="bottom"/>
            <w:hideMark/>
          </w:tcPr>
          <w:p w14:paraId="025C3A07"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75,732.6</w:t>
            </w:r>
          </w:p>
        </w:tc>
        <w:tc>
          <w:tcPr>
            <w:tcW w:w="0" w:type="auto"/>
            <w:noWrap/>
            <w:vAlign w:val="bottom"/>
            <w:hideMark/>
          </w:tcPr>
          <w:p w14:paraId="272AE07B"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141,503.0</w:t>
            </w:r>
          </w:p>
        </w:tc>
      </w:tr>
      <w:tr w:rsidR="00CF210D" w:rsidRPr="00CF210D" w14:paraId="1DA3EA65" w14:textId="77777777" w:rsidTr="006129E3">
        <w:trPr>
          <w:trHeight w:val="227"/>
          <w:jc w:val="center"/>
        </w:trPr>
        <w:tc>
          <w:tcPr>
            <w:tcW w:w="0" w:type="auto"/>
            <w:noWrap/>
            <w:vAlign w:val="center"/>
            <w:hideMark/>
          </w:tcPr>
          <w:p w14:paraId="21520FB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2010</w:t>
            </w:r>
          </w:p>
        </w:tc>
        <w:tc>
          <w:tcPr>
            <w:tcW w:w="0" w:type="auto"/>
            <w:noWrap/>
            <w:vAlign w:val="center"/>
            <w:hideMark/>
          </w:tcPr>
          <w:p w14:paraId="64312D20"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97.4%</w:t>
            </w:r>
          </w:p>
        </w:tc>
        <w:tc>
          <w:tcPr>
            <w:tcW w:w="0" w:type="auto"/>
            <w:noWrap/>
            <w:vAlign w:val="bottom"/>
            <w:hideMark/>
          </w:tcPr>
          <w:p w14:paraId="4D9D226E"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201,157.3</w:t>
            </w:r>
          </w:p>
        </w:tc>
        <w:tc>
          <w:tcPr>
            <w:tcW w:w="0" w:type="auto"/>
            <w:noWrap/>
            <w:vAlign w:val="bottom"/>
            <w:hideMark/>
          </w:tcPr>
          <w:p w14:paraId="203EAED4"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651,688.6</w:t>
            </w:r>
          </w:p>
        </w:tc>
        <w:tc>
          <w:tcPr>
            <w:tcW w:w="0" w:type="auto"/>
            <w:noWrap/>
            <w:hideMark/>
          </w:tcPr>
          <w:p w14:paraId="1FC5BED4"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noWrap/>
            <w:hideMark/>
          </w:tcPr>
          <w:p w14:paraId="00368D42"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74.9%</w:t>
            </w:r>
          </w:p>
        </w:tc>
        <w:tc>
          <w:tcPr>
            <w:tcW w:w="0" w:type="auto"/>
            <w:noWrap/>
            <w:vAlign w:val="bottom"/>
            <w:hideMark/>
          </w:tcPr>
          <w:p w14:paraId="47D5BFF8"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76,090.4</w:t>
            </w:r>
          </w:p>
        </w:tc>
        <w:tc>
          <w:tcPr>
            <w:tcW w:w="0" w:type="auto"/>
            <w:noWrap/>
            <w:vAlign w:val="bottom"/>
            <w:hideMark/>
          </w:tcPr>
          <w:p w14:paraId="6E326043"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139,622.5</w:t>
            </w:r>
          </w:p>
        </w:tc>
      </w:tr>
      <w:tr w:rsidR="00CF210D" w:rsidRPr="00CF210D" w14:paraId="02AEF24E" w14:textId="77777777" w:rsidTr="006129E3">
        <w:trPr>
          <w:trHeight w:val="227"/>
          <w:jc w:val="center"/>
        </w:trPr>
        <w:tc>
          <w:tcPr>
            <w:tcW w:w="0" w:type="auto"/>
            <w:noWrap/>
            <w:vAlign w:val="center"/>
            <w:hideMark/>
          </w:tcPr>
          <w:p w14:paraId="3463E881"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2013</w:t>
            </w:r>
          </w:p>
        </w:tc>
        <w:tc>
          <w:tcPr>
            <w:tcW w:w="0" w:type="auto"/>
            <w:noWrap/>
            <w:vAlign w:val="center"/>
            <w:hideMark/>
          </w:tcPr>
          <w:p w14:paraId="77DB5F19"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97.9%</w:t>
            </w:r>
          </w:p>
        </w:tc>
        <w:tc>
          <w:tcPr>
            <w:tcW w:w="0" w:type="auto"/>
            <w:noWrap/>
            <w:vAlign w:val="bottom"/>
            <w:hideMark/>
          </w:tcPr>
          <w:p w14:paraId="35DC31CD"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178,200.0</w:t>
            </w:r>
          </w:p>
        </w:tc>
        <w:tc>
          <w:tcPr>
            <w:tcW w:w="0" w:type="auto"/>
            <w:noWrap/>
            <w:vAlign w:val="bottom"/>
            <w:hideMark/>
          </w:tcPr>
          <w:p w14:paraId="5B6F58B7"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632,560.0</w:t>
            </w:r>
          </w:p>
        </w:tc>
        <w:tc>
          <w:tcPr>
            <w:tcW w:w="0" w:type="auto"/>
            <w:noWrap/>
            <w:hideMark/>
          </w:tcPr>
          <w:p w14:paraId="59AB5D1D" w14:textId="77777777" w:rsidR="00CF210D" w:rsidRPr="00CF210D" w:rsidRDefault="00CF210D" w:rsidP="00CF210D">
            <w:pPr>
              <w:spacing w:after="0" w:line="276" w:lineRule="auto"/>
              <w:ind w:firstLine="0"/>
              <w:jc w:val="left"/>
              <w:rPr>
                <w:rFonts w:ascii="Times New Roman" w:hAnsi="Times New Roman" w:cs="Times New Roman"/>
                <w:color w:val="000000" w:themeColor="text1"/>
                <w:sz w:val="20"/>
                <w:szCs w:val="20"/>
                <w:lang w:eastAsia="en-GB"/>
              </w:rPr>
            </w:pPr>
          </w:p>
        </w:tc>
        <w:tc>
          <w:tcPr>
            <w:tcW w:w="0" w:type="auto"/>
            <w:noWrap/>
            <w:hideMark/>
          </w:tcPr>
          <w:p w14:paraId="1E200C4F"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74.5%</w:t>
            </w:r>
          </w:p>
        </w:tc>
        <w:tc>
          <w:tcPr>
            <w:tcW w:w="0" w:type="auto"/>
            <w:noWrap/>
            <w:vAlign w:val="bottom"/>
            <w:hideMark/>
          </w:tcPr>
          <w:p w14:paraId="4E850652"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60,700.0</w:t>
            </w:r>
          </w:p>
        </w:tc>
        <w:tc>
          <w:tcPr>
            <w:tcW w:w="0" w:type="auto"/>
            <w:noWrap/>
            <w:vAlign w:val="bottom"/>
            <w:hideMark/>
          </w:tcPr>
          <w:p w14:paraId="60504689" w14:textId="77777777" w:rsidR="00CF210D" w:rsidRPr="00CF210D" w:rsidRDefault="00CF210D" w:rsidP="00CF210D">
            <w:pPr>
              <w:spacing w:after="0" w:line="276" w:lineRule="auto"/>
              <w:ind w:firstLine="0"/>
              <w:jc w:val="center"/>
              <w:rPr>
                <w:rFonts w:ascii="Times New Roman" w:hAnsi="Times New Roman" w:cs="Times New Roman"/>
                <w:color w:val="000000" w:themeColor="text1"/>
                <w:sz w:val="20"/>
                <w:szCs w:val="20"/>
                <w:lang w:eastAsia="en-GB"/>
              </w:rPr>
            </w:pPr>
            <w:r w:rsidRPr="00CF210D">
              <w:rPr>
                <w:rFonts w:ascii="Times New Roman" w:eastAsia="Times New Roman" w:hAnsi="Times New Roman" w:cs="Times New Roman"/>
                <w:color w:val="000000"/>
                <w:sz w:val="20"/>
                <w:szCs w:val="20"/>
                <w:lang w:eastAsia="en-GB"/>
              </w:rPr>
              <w:t>122,268.0</w:t>
            </w:r>
          </w:p>
        </w:tc>
      </w:tr>
      <w:tr w:rsidR="00CF210D" w:rsidRPr="00CF210D" w14:paraId="63193DBC" w14:textId="77777777" w:rsidTr="006129E3">
        <w:trPr>
          <w:trHeight w:val="227"/>
          <w:jc w:val="center"/>
        </w:trPr>
        <w:tc>
          <w:tcPr>
            <w:tcW w:w="0" w:type="auto"/>
            <w:gridSpan w:val="8"/>
            <w:noWrap/>
            <w:hideMark/>
          </w:tcPr>
          <w:p w14:paraId="0C924978" w14:textId="77777777" w:rsidR="00CF210D" w:rsidRPr="00CF210D" w:rsidRDefault="00CF210D" w:rsidP="00CF210D">
            <w:pPr>
              <w:spacing w:after="0" w:line="276" w:lineRule="auto"/>
              <w:ind w:firstLine="0"/>
              <w:jc w:val="left"/>
              <w:rPr>
                <w:rFonts w:ascii="Times New Roman" w:hAnsi="Times New Roman" w:cs="Times New Roman"/>
                <w:b/>
                <w:i/>
                <w:color w:val="000000" w:themeColor="text1"/>
                <w:sz w:val="20"/>
                <w:szCs w:val="20"/>
                <w:lang w:eastAsia="en-GB"/>
              </w:rPr>
            </w:pPr>
            <w:r w:rsidRPr="00CF210D">
              <w:rPr>
                <w:rFonts w:ascii="Times New Roman" w:eastAsia="Times New Roman" w:hAnsi="Times New Roman" w:cs="Times New Roman"/>
                <w:b/>
                <w:i/>
                <w:color w:val="000000"/>
                <w:sz w:val="20"/>
                <w:szCs w:val="20"/>
                <w:lang w:eastAsia="en-GB"/>
              </w:rPr>
              <w:t>Growth rate (percent)</w:t>
            </w:r>
          </w:p>
        </w:tc>
      </w:tr>
      <w:tr w:rsidR="00CF210D" w:rsidRPr="00CF210D" w14:paraId="0E959129" w14:textId="77777777" w:rsidTr="006129E3">
        <w:trPr>
          <w:trHeight w:val="227"/>
          <w:jc w:val="center"/>
        </w:trPr>
        <w:tc>
          <w:tcPr>
            <w:tcW w:w="0" w:type="auto"/>
            <w:noWrap/>
            <w:hideMark/>
          </w:tcPr>
          <w:p w14:paraId="5A624E85" w14:textId="77777777" w:rsidR="00CF210D" w:rsidRPr="00CF210D" w:rsidRDefault="00CF210D" w:rsidP="00CF210D">
            <w:pPr>
              <w:spacing w:after="0" w:line="276" w:lineRule="auto"/>
              <w:ind w:firstLine="0"/>
              <w:jc w:val="right"/>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1989-2013</w:t>
            </w:r>
          </w:p>
        </w:tc>
        <w:tc>
          <w:tcPr>
            <w:tcW w:w="0" w:type="auto"/>
            <w:noWrap/>
            <w:hideMark/>
          </w:tcPr>
          <w:p w14:paraId="086B3131"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3.4</w:t>
            </w:r>
          </w:p>
        </w:tc>
        <w:tc>
          <w:tcPr>
            <w:tcW w:w="0" w:type="auto"/>
            <w:noWrap/>
            <w:vAlign w:val="bottom"/>
            <w:hideMark/>
          </w:tcPr>
          <w:p w14:paraId="134AD55B"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20.5</w:t>
            </w:r>
          </w:p>
        </w:tc>
        <w:tc>
          <w:tcPr>
            <w:tcW w:w="0" w:type="auto"/>
            <w:noWrap/>
            <w:vAlign w:val="bottom"/>
            <w:hideMark/>
          </w:tcPr>
          <w:p w14:paraId="38E7D282"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53.7</w:t>
            </w:r>
          </w:p>
        </w:tc>
        <w:tc>
          <w:tcPr>
            <w:tcW w:w="0" w:type="auto"/>
            <w:noWrap/>
            <w:hideMark/>
          </w:tcPr>
          <w:p w14:paraId="3083A5E3"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p>
        </w:tc>
        <w:tc>
          <w:tcPr>
            <w:tcW w:w="0" w:type="auto"/>
            <w:noWrap/>
            <w:hideMark/>
          </w:tcPr>
          <w:p w14:paraId="457FB514"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3.0</w:t>
            </w:r>
          </w:p>
        </w:tc>
        <w:tc>
          <w:tcPr>
            <w:tcW w:w="0" w:type="auto"/>
            <w:noWrap/>
            <w:vAlign w:val="bottom"/>
            <w:hideMark/>
          </w:tcPr>
          <w:p w14:paraId="4F52A245"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123.9</w:t>
            </w:r>
          </w:p>
        </w:tc>
        <w:tc>
          <w:tcPr>
            <w:tcW w:w="0" w:type="auto"/>
            <w:noWrap/>
            <w:vAlign w:val="bottom"/>
            <w:hideMark/>
          </w:tcPr>
          <w:p w14:paraId="30282163"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87.2</w:t>
            </w:r>
          </w:p>
        </w:tc>
      </w:tr>
      <w:tr w:rsidR="00CF210D" w:rsidRPr="00CF210D" w14:paraId="615649FC" w14:textId="77777777" w:rsidTr="006129E3">
        <w:trPr>
          <w:trHeight w:val="227"/>
          <w:jc w:val="center"/>
        </w:trPr>
        <w:tc>
          <w:tcPr>
            <w:tcW w:w="0" w:type="auto"/>
            <w:noWrap/>
            <w:hideMark/>
          </w:tcPr>
          <w:p w14:paraId="1AEE7C3B" w14:textId="77777777" w:rsidR="00CF210D" w:rsidRPr="00CF210D" w:rsidRDefault="00CF210D" w:rsidP="00CF210D">
            <w:pPr>
              <w:spacing w:after="0" w:line="276" w:lineRule="auto"/>
              <w:ind w:firstLine="0"/>
              <w:jc w:val="right"/>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1989-2007</w:t>
            </w:r>
          </w:p>
        </w:tc>
        <w:tc>
          <w:tcPr>
            <w:tcW w:w="0" w:type="auto"/>
            <w:noWrap/>
            <w:hideMark/>
          </w:tcPr>
          <w:p w14:paraId="4A20AEF6"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3.2</w:t>
            </w:r>
          </w:p>
        </w:tc>
        <w:tc>
          <w:tcPr>
            <w:tcW w:w="0" w:type="auto"/>
            <w:noWrap/>
            <w:vAlign w:val="bottom"/>
            <w:hideMark/>
          </w:tcPr>
          <w:p w14:paraId="62E4F0CD"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68.8</w:t>
            </w:r>
          </w:p>
        </w:tc>
        <w:tc>
          <w:tcPr>
            <w:tcW w:w="0" w:type="auto"/>
            <w:noWrap/>
            <w:vAlign w:val="bottom"/>
            <w:hideMark/>
          </w:tcPr>
          <w:p w14:paraId="03F6D5B9"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82.5</w:t>
            </w:r>
          </w:p>
        </w:tc>
        <w:tc>
          <w:tcPr>
            <w:tcW w:w="0" w:type="auto"/>
            <w:noWrap/>
            <w:hideMark/>
          </w:tcPr>
          <w:p w14:paraId="2F71C73E"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p>
        </w:tc>
        <w:tc>
          <w:tcPr>
            <w:tcW w:w="0" w:type="auto"/>
            <w:noWrap/>
            <w:hideMark/>
          </w:tcPr>
          <w:p w14:paraId="3AF54F5E"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6.5</w:t>
            </w:r>
          </w:p>
        </w:tc>
        <w:tc>
          <w:tcPr>
            <w:tcW w:w="0" w:type="auto"/>
            <w:noWrap/>
            <w:vAlign w:val="bottom"/>
            <w:hideMark/>
          </w:tcPr>
          <w:p w14:paraId="6FF2ABAD"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179.3</w:t>
            </w:r>
          </w:p>
        </w:tc>
        <w:tc>
          <w:tcPr>
            <w:tcW w:w="0" w:type="auto"/>
            <w:noWrap/>
            <w:vAlign w:val="bottom"/>
            <w:hideMark/>
          </w:tcPr>
          <w:p w14:paraId="4BB10694"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116.6</w:t>
            </w:r>
          </w:p>
        </w:tc>
      </w:tr>
      <w:tr w:rsidR="00CF210D" w:rsidRPr="00CF210D" w14:paraId="053496E3" w14:textId="77777777" w:rsidTr="006129E3">
        <w:trPr>
          <w:trHeight w:val="227"/>
          <w:jc w:val="center"/>
        </w:trPr>
        <w:tc>
          <w:tcPr>
            <w:tcW w:w="0" w:type="auto"/>
            <w:tcBorders>
              <w:bottom w:val="single" w:sz="4" w:space="0" w:color="auto"/>
            </w:tcBorders>
            <w:noWrap/>
            <w:hideMark/>
          </w:tcPr>
          <w:p w14:paraId="466129CE" w14:textId="77777777" w:rsidR="00CF210D" w:rsidRPr="00CF210D" w:rsidRDefault="00CF210D" w:rsidP="00CF210D">
            <w:pPr>
              <w:spacing w:after="0" w:line="276" w:lineRule="auto"/>
              <w:ind w:firstLine="0"/>
              <w:jc w:val="right"/>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2007-2013</w:t>
            </w:r>
          </w:p>
        </w:tc>
        <w:tc>
          <w:tcPr>
            <w:tcW w:w="0" w:type="auto"/>
            <w:tcBorders>
              <w:bottom w:val="single" w:sz="4" w:space="0" w:color="auto"/>
            </w:tcBorders>
            <w:noWrap/>
            <w:hideMark/>
          </w:tcPr>
          <w:p w14:paraId="188D94D6"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0.2</w:t>
            </w:r>
          </w:p>
        </w:tc>
        <w:tc>
          <w:tcPr>
            <w:tcW w:w="0" w:type="auto"/>
            <w:tcBorders>
              <w:bottom w:val="single" w:sz="4" w:space="0" w:color="auto"/>
            </w:tcBorders>
            <w:noWrap/>
            <w:vAlign w:val="bottom"/>
            <w:hideMark/>
          </w:tcPr>
          <w:p w14:paraId="0A9396C9"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-28.6</w:t>
            </w:r>
          </w:p>
        </w:tc>
        <w:tc>
          <w:tcPr>
            <w:tcW w:w="0" w:type="auto"/>
            <w:tcBorders>
              <w:bottom w:val="single" w:sz="4" w:space="0" w:color="auto"/>
            </w:tcBorders>
            <w:noWrap/>
            <w:vAlign w:val="bottom"/>
            <w:hideMark/>
          </w:tcPr>
          <w:p w14:paraId="5B0C439B"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-15.8</w:t>
            </w:r>
          </w:p>
        </w:tc>
        <w:tc>
          <w:tcPr>
            <w:tcW w:w="0" w:type="auto"/>
            <w:tcBorders>
              <w:bottom w:val="single" w:sz="4" w:space="0" w:color="auto"/>
            </w:tcBorders>
            <w:noWrap/>
            <w:hideMark/>
          </w:tcPr>
          <w:p w14:paraId="008A800F"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p>
        </w:tc>
        <w:tc>
          <w:tcPr>
            <w:tcW w:w="0" w:type="auto"/>
            <w:tcBorders>
              <w:bottom w:val="single" w:sz="4" w:space="0" w:color="auto"/>
            </w:tcBorders>
            <w:noWrap/>
            <w:hideMark/>
          </w:tcPr>
          <w:p w14:paraId="5C5F5E65"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hAnsi="Times New Roman" w:cs="Times New Roman"/>
                <w:i/>
                <w:color w:val="000000" w:themeColor="text1"/>
                <w:sz w:val="20"/>
                <w:szCs w:val="20"/>
                <w:lang w:eastAsia="en-GB"/>
              </w:rPr>
              <w:t>-3.2</w:t>
            </w:r>
          </w:p>
        </w:tc>
        <w:tc>
          <w:tcPr>
            <w:tcW w:w="0" w:type="auto"/>
            <w:tcBorders>
              <w:bottom w:val="single" w:sz="4" w:space="0" w:color="auto"/>
            </w:tcBorders>
            <w:noWrap/>
            <w:vAlign w:val="bottom"/>
            <w:hideMark/>
          </w:tcPr>
          <w:p w14:paraId="51B52335"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-19.8</w:t>
            </w:r>
          </w:p>
        </w:tc>
        <w:tc>
          <w:tcPr>
            <w:tcW w:w="0" w:type="auto"/>
            <w:tcBorders>
              <w:bottom w:val="single" w:sz="4" w:space="0" w:color="auto"/>
            </w:tcBorders>
            <w:noWrap/>
            <w:vAlign w:val="bottom"/>
            <w:hideMark/>
          </w:tcPr>
          <w:p w14:paraId="2D147761" w14:textId="77777777" w:rsidR="00CF210D" w:rsidRPr="00CF210D" w:rsidRDefault="00CF210D" w:rsidP="00CF210D">
            <w:pPr>
              <w:spacing w:after="0" w:line="276" w:lineRule="auto"/>
              <w:ind w:firstLine="0"/>
              <w:jc w:val="center"/>
              <w:rPr>
                <w:rFonts w:ascii="Times New Roman" w:hAnsi="Times New Roman" w:cs="Times New Roman"/>
                <w:i/>
                <w:color w:val="000000" w:themeColor="text1"/>
                <w:sz w:val="20"/>
                <w:szCs w:val="20"/>
                <w:lang w:eastAsia="en-GB"/>
              </w:rPr>
            </w:pPr>
            <w:r w:rsidRPr="00CF210D">
              <w:rPr>
                <w:rFonts w:ascii="Times New Roman" w:eastAsia="Times New Roman" w:hAnsi="Times New Roman" w:cs="Times New Roman"/>
                <w:i/>
                <w:color w:val="000000"/>
                <w:sz w:val="20"/>
                <w:szCs w:val="20"/>
                <w:lang w:eastAsia="en-GB"/>
              </w:rPr>
              <w:t>-13.6</w:t>
            </w:r>
          </w:p>
        </w:tc>
      </w:tr>
    </w:tbl>
    <w:p w14:paraId="3F5DB913" w14:textId="77777777" w:rsidR="00CF210D" w:rsidRPr="00CF210D" w:rsidRDefault="00CF210D" w:rsidP="00CF210D">
      <w:pPr>
        <w:spacing w:line="276" w:lineRule="auto"/>
        <w:ind w:firstLine="0"/>
        <w:jc w:val="left"/>
        <w:rPr>
          <w:rFonts w:ascii="Times New Roman" w:hAnsi="Times New Roman" w:cs="Times New Roman"/>
          <w:sz w:val="20"/>
          <w:szCs w:val="20"/>
          <w:lang w:eastAsia="en-GB"/>
        </w:rPr>
      </w:pPr>
    </w:p>
    <w:tbl>
      <w:tblPr>
        <w:tblStyle w:val="TableGrid"/>
        <w:tblW w:w="15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913"/>
        <w:gridCol w:w="1096"/>
        <w:gridCol w:w="222"/>
        <w:gridCol w:w="913"/>
        <w:gridCol w:w="986"/>
        <w:gridCol w:w="222"/>
        <w:gridCol w:w="913"/>
        <w:gridCol w:w="1096"/>
        <w:gridCol w:w="222"/>
        <w:gridCol w:w="913"/>
        <w:gridCol w:w="986"/>
        <w:gridCol w:w="236"/>
        <w:gridCol w:w="899"/>
        <w:gridCol w:w="986"/>
        <w:gridCol w:w="222"/>
        <w:gridCol w:w="913"/>
        <w:gridCol w:w="1096"/>
        <w:gridCol w:w="222"/>
        <w:gridCol w:w="913"/>
        <w:gridCol w:w="1096"/>
      </w:tblGrid>
      <w:tr w:rsidR="00CF210D" w:rsidRPr="00CF210D" w14:paraId="1C28786E" w14:textId="77777777" w:rsidTr="006129E3">
        <w:trPr>
          <w:trHeight w:val="243"/>
          <w:jc w:val="center"/>
        </w:trPr>
        <w:tc>
          <w:tcPr>
            <w:tcW w:w="656" w:type="dxa"/>
            <w:tcBorders>
              <w:bottom w:val="single" w:sz="4" w:space="0" w:color="auto"/>
            </w:tcBorders>
            <w:vAlign w:val="center"/>
          </w:tcPr>
          <w:p w14:paraId="0991DE87" w14:textId="77777777" w:rsidR="00CF210D" w:rsidRPr="00CF210D" w:rsidRDefault="00CF210D" w:rsidP="00CF210D">
            <w:pPr>
              <w:spacing w:after="0" w:line="240" w:lineRule="auto"/>
              <w:ind w:firstLine="0"/>
              <w:jc w:val="left"/>
              <w:rPr>
                <w:rFonts w:ascii="Times New Roman" w:hAnsi="Times New Roman" w:cs="Times New Roman"/>
                <w:color w:val="000000" w:themeColor="text1"/>
                <w:sz w:val="20"/>
                <w:szCs w:val="20"/>
                <w:lang w:eastAsia="en-GB"/>
              </w:rPr>
            </w:pPr>
          </w:p>
        </w:tc>
        <w:tc>
          <w:tcPr>
            <w:tcW w:w="8482" w:type="dxa"/>
            <w:gridSpan w:val="11"/>
            <w:tcBorders>
              <w:bottom w:val="single" w:sz="4" w:space="0" w:color="auto"/>
            </w:tcBorders>
            <w:vAlign w:val="center"/>
          </w:tcPr>
          <w:p w14:paraId="3C12A59A" w14:textId="77777777" w:rsidR="00CF210D" w:rsidRPr="00CF210D" w:rsidRDefault="00CF210D" w:rsidP="00CF210D">
            <w:pPr>
              <w:spacing w:after="0" w:line="240" w:lineRule="auto"/>
              <w:ind w:firstLine="0"/>
              <w:jc w:val="center"/>
              <w:rPr>
                <w:rFonts w:ascii="Times New Roman" w:hAnsi="Times New Roman" w:cs="Times New Roman"/>
                <w:b/>
                <w:sz w:val="20"/>
                <w:szCs w:val="20"/>
                <w:lang w:eastAsia="en-GB"/>
              </w:rPr>
            </w:pPr>
            <w:r w:rsidRPr="00CF210D">
              <w:rPr>
                <w:rFonts w:ascii="Times New Roman" w:hAnsi="Times New Roman" w:cs="Times New Roman"/>
                <w:b/>
                <w:sz w:val="20"/>
                <w:szCs w:val="20"/>
                <w:lang w:eastAsia="en-GB"/>
              </w:rPr>
              <w:t>Non-financial assets</w:t>
            </w:r>
          </w:p>
        </w:tc>
        <w:tc>
          <w:tcPr>
            <w:tcW w:w="236" w:type="dxa"/>
            <w:vAlign w:val="center"/>
          </w:tcPr>
          <w:p w14:paraId="3267E681"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6347" w:type="dxa"/>
            <w:gridSpan w:val="8"/>
            <w:tcBorders>
              <w:bottom w:val="single" w:sz="4" w:space="0" w:color="auto"/>
            </w:tcBorders>
            <w:vAlign w:val="center"/>
          </w:tcPr>
          <w:p w14:paraId="5702A95F" w14:textId="77777777" w:rsidR="00CF210D" w:rsidRPr="00CF210D" w:rsidRDefault="00CF210D" w:rsidP="00CF210D">
            <w:pPr>
              <w:spacing w:after="0" w:line="240" w:lineRule="auto"/>
              <w:ind w:firstLine="0"/>
              <w:jc w:val="center"/>
              <w:rPr>
                <w:rFonts w:ascii="Times New Roman" w:hAnsi="Times New Roman" w:cs="Times New Roman"/>
                <w:b/>
                <w:sz w:val="20"/>
                <w:szCs w:val="20"/>
                <w:lang w:eastAsia="en-GB"/>
              </w:rPr>
            </w:pPr>
            <w:r w:rsidRPr="00CF210D">
              <w:rPr>
                <w:rFonts w:ascii="Times New Roman" w:hAnsi="Times New Roman" w:cs="Times New Roman"/>
                <w:b/>
                <w:sz w:val="20"/>
                <w:szCs w:val="20"/>
                <w:lang w:eastAsia="en-GB"/>
              </w:rPr>
              <w:t>Financial assets</w:t>
            </w:r>
          </w:p>
        </w:tc>
      </w:tr>
      <w:tr w:rsidR="00CF210D" w:rsidRPr="00CF210D" w14:paraId="043A15A7" w14:textId="77777777" w:rsidTr="006129E3">
        <w:trPr>
          <w:trHeight w:val="243"/>
          <w:jc w:val="center"/>
        </w:trPr>
        <w:tc>
          <w:tcPr>
            <w:tcW w:w="656" w:type="dxa"/>
            <w:tcBorders>
              <w:top w:val="single" w:sz="4" w:space="0" w:color="auto"/>
              <w:bottom w:val="single" w:sz="4" w:space="0" w:color="auto"/>
            </w:tcBorders>
            <w:vAlign w:val="center"/>
          </w:tcPr>
          <w:p w14:paraId="57A0E269" w14:textId="77777777" w:rsidR="00CF210D" w:rsidRPr="00CF210D" w:rsidRDefault="00CF210D" w:rsidP="00CF210D">
            <w:pPr>
              <w:spacing w:after="0" w:line="240" w:lineRule="auto"/>
              <w:ind w:firstLine="0"/>
              <w:jc w:val="left"/>
              <w:rPr>
                <w:rFonts w:ascii="Times New Roman" w:hAnsi="Times New Roman" w:cs="Times New Roman"/>
                <w:color w:val="000000" w:themeColor="text1"/>
                <w:sz w:val="20"/>
                <w:szCs w:val="20"/>
                <w:lang w:eastAsia="en-GB"/>
              </w:rPr>
            </w:pPr>
          </w:p>
        </w:tc>
        <w:tc>
          <w:tcPr>
            <w:tcW w:w="2009" w:type="dxa"/>
            <w:gridSpan w:val="2"/>
            <w:tcBorders>
              <w:top w:val="single" w:sz="4" w:space="0" w:color="auto"/>
              <w:bottom w:val="single" w:sz="4" w:space="0" w:color="auto"/>
            </w:tcBorders>
            <w:vAlign w:val="center"/>
          </w:tcPr>
          <w:p w14:paraId="521AB6CD"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Primary residence</w:t>
            </w:r>
          </w:p>
        </w:tc>
        <w:tc>
          <w:tcPr>
            <w:tcW w:w="222" w:type="dxa"/>
            <w:tcBorders>
              <w:top w:val="single" w:sz="4" w:space="0" w:color="auto"/>
              <w:bottom w:val="single" w:sz="4" w:space="0" w:color="auto"/>
            </w:tcBorders>
            <w:vAlign w:val="center"/>
          </w:tcPr>
          <w:p w14:paraId="65E3BC73"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1899" w:type="dxa"/>
            <w:gridSpan w:val="2"/>
            <w:tcBorders>
              <w:top w:val="single" w:sz="4" w:space="0" w:color="auto"/>
              <w:bottom w:val="single" w:sz="4" w:space="0" w:color="auto"/>
            </w:tcBorders>
            <w:vAlign w:val="center"/>
          </w:tcPr>
          <w:p w14:paraId="6CC169C8"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Other property</w:t>
            </w:r>
          </w:p>
        </w:tc>
        <w:tc>
          <w:tcPr>
            <w:tcW w:w="222" w:type="dxa"/>
            <w:tcBorders>
              <w:top w:val="single" w:sz="4" w:space="0" w:color="auto"/>
              <w:bottom w:val="single" w:sz="4" w:space="0" w:color="auto"/>
            </w:tcBorders>
            <w:vAlign w:val="center"/>
          </w:tcPr>
          <w:p w14:paraId="53040DF9"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009" w:type="dxa"/>
            <w:gridSpan w:val="2"/>
            <w:tcBorders>
              <w:top w:val="single" w:sz="4" w:space="0" w:color="auto"/>
              <w:bottom w:val="single" w:sz="4" w:space="0" w:color="auto"/>
            </w:tcBorders>
            <w:vAlign w:val="center"/>
          </w:tcPr>
          <w:p w14:paraId="5D98EE16"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Business equity</w:t>
            </w:r>
          </w:p>
        </w:tc>
        <w:tc>
          <w:tcPr>
            <w:tcW w:w="222" w:type="dxa"/>
            <w:tcBorders>
              <w:top w:val="single" w:sz="4" w:space="0" w:color="auto"/>
              <w:bottom w:val="single" w:sz="4" w:space="0" w:color="auto"/>
            </w:tcBorders>
            <w:vAlign w:val="center"/>
          </w:tcPr>
          <w:p w14:paraId="4EF299A8"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1899" w:type="dxa"/>
            <w:gridSpan w:val="2"/>
            <w:tcBorders>
              <w:top w:val="single" w:sz="4" w:space="0" w:color="auto"/>
              <w:bottom w:val="single" w:sz="4" w:space="0" w:color="auto"/>
            </w:tcBorders>
            <w:vAlign w:val="center"/>
          </w:tcPr>
          <w:p w14:paraId="4BFDAFCD"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Vehicles and other non-financial</w:t>
            </w:r>
          </w:p>
        </w:tc>
        <w:tc>
          <w:tcPr>
            <w:tcW w:w="236" w:type="dxa"/>
            <w:vAlign w:val="center"/>
          </w:tcPr>
          <w:p w14:paraId="5E4E2948"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1885" w:type="dxa"/>
            <w:gridSpan w:val="2"/>
            <w:tcBorders>
              <w:top w:val="single" w:sz="4" w:space="0" w:color="auto"/>
              <w:bottom w:val="single" w:sz="4" w:space="0" w:color="auto"/>
            </w:tcBorders>
            <w:vAlign w:val="center"/>
          </w:tcPr>
          <w:p w14:paraId="779298E1"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Transaction accounts</w:t>
            </w:r>
          </w:p>
        </w:tc>
        <w:tc>
          <w:tcPr>
            <w:tcW w:w="222" w:type="dxa"/>
            <w:tcBorders>
              <w:top w:val="single" w:sz="4" w:space="0" w:color="auto"/>
              <w:bottom w:val="single" w:sz="4" w:space="0" w:color="auto"/>
            </w:tcBorders>
            <w:vAlign w:val="center"/>
          </w:tcPr>
          <w:p w14:paraId="4DFFD4E4"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009" w:type="dxa"/>
            <w:gridSpan w:val="2"/>
            <w:tcBorders>
              <w:top w:val="single" w:sz="4" w:space="0" w:color="auto"/>
              <w:bottom w:val="single" w:sz="4" w:space="0" w:color="auto"/>
            </w:tcBorders>
            <w:vAlign w:val="center"/>
          </w:tcPr>
          <w:p w14:paraId="6A97110F"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Financial investment assets</w:t>
            </w:r>
          </w:p>
        </w:tc>
        <w:tc>
          <w:tcPr>
            <w:tcW w:w="222" w:type="dxa"/>
            <w:tcBorders>
              <w:top w:val="single" w:sz="4" w:space="0" w:color="auto"/>
              <w:bottom w:val="single" w:sz="4" w:space="0" w:color="auto"/>
            </w:tcBorders>
            <w:vAlign w:val="center"/>
          </w:tcPr>
          <w:p w14:paraId="40764B4F"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009" w:type="dxa"/>
            <w:gridSpan w:val="2"/>
            <w:tcBorders>
              <w:top w:val="single" w:sz="4" w:space="0" w:color="auto"/>
              <w:bottom w:val="single" w:sz="4" w:space="0" w:color="auto"/>
            </w:tcBorders>
            <w:vAlign w:val="center"/>
          </w:tcPr>
          <w:p w14:paraId="1533EDE5"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Retirement and insurance assets</w:t>
            </w:r>
          </w:p>
        </w:tc>
      </w:tr>
      <w:tr w:rsidR="00CF210D" w:rsidRPr="00CF210D" w14:paraId="67AB16C1" w14:textId="77777777" w:rsidTr="006129E3">
        <w:trPr>
          <w:trHeight w:val="243"/>
          <w:jc w:val="center"/>
        </w:trPr>
        <w:tc>
          <w:tcPr>
            <w:tcW w:w="656" w:type="dxa"/>
            <w:tcBorders>
              <w:top w:val="single" w:sz="4" w:space="0" w:color="auto"/>
            </w:tcBorders>
            <w:vAlign w:val="center"/>
          </w:tcPr>
          <w:p w14:paraId="435D68A2" w14:textId="77777777" w:rsidR="00CF210D" w:rsidRPr="00CF210D" w:rsidRDefault="00CF210D" w:rsidP="00CF210D">
            <w:pPr>
              <w:spacing w:after="0" w:line="240" w:lineRule="auto"/>
              <w:ind w:firstLine="0"/>
              <w:jc w:val="left"/>
              <w:rPr>
                <w:rFonts w:ascii="Times New Roman" w:hAnsi="Times New Roman" w:cs="Times New Roman"/>
                <w:color w:val="000000" w:themeColor="text1"/>
                <w:sz w:val="20"/>
                <w:szCs w:val="20"/>
                <w:lang w:eastAsia="en-GB"/>
              </w:rPr>
            </w:pPr>
          </w:p>
        </w:tc>
        <w:tc>
          <w:tcPr>
            <w:tcW w:w="913" w:type="dxa"/>
            <w:tcBorders>
              <w:top w:val="single" w:sz="4" w:space="0" w:color="auto"/>
            </w:tcBorders>
          </w:tcPr>
          <w:p w14:paraId="7183D4D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096" w:type="dxa"/>
            <w:tcBorders>
              <w:top w:val="single" w:sz="4" w:space="0" w:color="auto"/>
            </w:tcBorders>
          </w:tcPr>
          <w:p w14:paraId="6988E23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22" w:type="dxa"/>
            <w:tcBorders>
              <w:top w:val="single" w:sz="4" w:space="0" w:color="auto"/>
            </w:tcBorders>
          </w:tcPr>
          <w:p w14:paraId="435C4FE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tcBorders>
              <w:top w:val="single" w:sz="4" w:space="0" w:color="auto"/>
            </w:tcBorders>
          </w:tcPr>
          <w:p w14:paraId="4771E93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986" w:type="dxa"/>
            <w:tcBorders>
              <w:top w:val="single" w:sz="4" w:space="0" w:color="auto"/>
            </w:tcBorders>
          </w:tcPr>
          <w:p w14:paraId="780BF74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22" w:type="dxa"/>
            <w:tcBorders>
              <w:top w:val="single" w:sz="4" w:space="0" w:color="auto"/>
            </w:tcBorders>
          </w:tcPr>
          <w:p w14:paraId="7E1B6AD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tcBorders>
              <w:top w:val="single" w:sz="4" w:space="0" w:color="auto"/>
            </w:tcBorders>
          </w:tcPr>
          <w:p w14:paraId="7CDF801D"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096" w:type="dxa"/>
            <w:tcBorders>
              <w:top w:val="single" w:sz="4" w:space="0" w:color="auto"/>
            </w:tcBorders>
          </w:tcPr>
          <w:p w14:paraId="2542E50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22" w:type="dxa"/>
            <w:tcBorders>
              <w:top w:val="single" w:sz="4" w:space="0" w:color="auto"/>
            </w:tcBorders>
          </w:tcPr>
          <w:p w14:paraId="1259073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tcBorders>
              <w:top w:val="single" w:sz="4" w:space="0" w:color="auto"/>
            </w:tcBorders>
          </w:tcPr>
          <w:p w14:paraId="7C75F83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986" w:type="dxa"/>
            <w:tcBorders>
              <w:top w:val="single" w:sz="4" w:space="0" w:color="auto"/>
            </w:tcBorders>
          </w:tcPr>
          <w:p w14:paraId="54BFEA6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36" w:type="dxa"/>
          </w:tcPr>
          <w:p w14:paraId="619194C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tcBorders>
              <w:top w:val="single" w:sz="4" w:space="0" w:color="auto"/>
            </w:tcBorders>
          </w:tcPr>
          <w:p w14:paraId="2905FBE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986" w:type="dxa"/>
            <w:tcBorders>
              <w:top w:val="single" w:sz="4" w:space="0" w:color="auto"/>
            </w:tcBorders>
          </w:tcPr>
          <w:p w14:paraId="659C88D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22" w:type="dxa"/>
            <w:tcBorders>
              <w:top w:val="single" w:sz="4" w:space="0" w:color="auto"/>
            </w:tcBorders>
          </w:tcPr>
          <w:p w14:paraId="413A1FA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tcBorders>
              <w:top w:val="single" w:sz="4" w:space="0" w:color="auto"/>
            </w:tcBorders>
          </w:tcPr>
          <w:p w14:paraId="6DDD466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096" w:type="dxa"/>
            <w:tcBorders>
              <w:top w:val="single" w:sz="4" w:space="0" w:color="auto"/>
            </w:tcBorders>
          </w:tcPr>
          <w:p w14:paraId="5CE387A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22" w:type="dxa"/>
            <w:tcBorders>
              <w:top w:val="single" w:sz="4" w:space="0" w:color="auto"/>
            </w:tcBorders>
          </w:tcPr>
          <w:p w14:paraId="1FD728F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tcBorders>
              <w:top w:val="single" w:sz="4" w:space="0" w:color="auto"/>
            </w:tcBorders>
          </w:tcPr>
          <w:p w14:paraId="1C4C7BA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096" w:type="dxa"/>
            <w:tcBorders>
              <w:top w:val="single" w:sz="4" w:space="0" w:color="auto"/>
            </w:tcBorders>
          </w:tcPr>
          <w:p w14:paraId="3D2FA3C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r>
      <w:tr w:rsidR="00CF210D" w:rsidRPr="00CF210D" w14:paraId="7F7300A5" w14:textId="77777777" w:rsidTr="006129E3">
        <w:trPr>
          <w:trHeight w:val="243"/>
          <w:jc w:val="center"/>
        </w:trPr>
        <w:tc>
          <w:tcPr>
            <w:tcW w:w="656" w:type="dxa"/>
            <w:vAlign w:val="center"/>
          </w:tcPr>
          <w:p w14:paraId="2994E7EB"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1989</w:t>
            </w:r>
          </w:p>
        </w:tc>
        <w:tc>
          <w:tcPr>
            <w:tcW w:w="913" w:type="dxa"/>
            <w:vAlign w:val="bottom"/>
          </w:tcPr>
          <w:p w14:paraId="5091FB3C"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63.9%</w:t>
            </w:r>
          </w:p>
        </w:tc>
        <w:tc>
          <w:tcPr>
            <w:tcW w:w="1096" w:type="dxa"/>
            <w:vAlign w:val="bottom"/>
          </w:tcPr>
          <w:p w14:paraId="0B6016F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129,548.5</w:t>
            </w:r>
          </w:p>
        </w:tc>
        <w:tc>
          <w:tcPr>
            <w:tcW w:w="222" w:type="dxa"/>
          </w:tcPr>
          <w:p w14:paraId="005E10B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33B34605"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20.3%</w:t>
            </w:r>
          </w:p>
        </w:tc>
        <w:tc>
          <w:tcPr>
            <w:tcW w:w="986" w:type="dxa"/>
            <w:vAlign w:val="bottom"/>
          </w:tcPr>
          <w:p w14:paraId="7F9200F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55,040.2</w:t>
            </w:r>
          </w:p>
        </w:tc>
        <w:tc>
          <w:tcPr>
            <w:tcW w:w="222" w:type="dxa"/>
          </w:tcPr>
          <w:p w14:paraId="1F3CC39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7928AEC1"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13.3%</w:t>
            </w:r>
          </w:p>
        </w:tc>
        <w:tc>
          <w:tcPr>
            <w:tcW w:w="1096" w:type="dxa"/>
            <w:vAlign w:val="bottom"/>
          </w:tcPr>
          <w:p w14:paraId="28C50AB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76,833.3</w:t>
            </w:r>
          </w:p>
        </w:tc>
        <w:tc>
          <w:tcPr>
            <w:tcW w:w="222" w:type="dxa"/>
          </w:tcPr>
          <w:p w14:paraId="2A38D7D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61BCFFE9"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84.5%</w:t>
            </w:r>
          </w:p>
        </w:tc>
        <w:tc>
          <w:tcPr>
            <w:tcW w:w="986" w:type="dxa"/>
            <w:vAlign w:val="bottom"/>
          </w:tcPr>
          <w:p w14:paraId="2AB27F5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21,958.5</w:t>
            </w:r>
          </w:p>
        </w:tc>
        <w:tc>
          <w:tcPr>
            <w:tcW w:w="236" w:type="dxa"/>
          </w:tcPr>
          <w:p w14:paraId="1CCAE89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vAlign w:val="bottom"/>
          </w:tcPr>
          <w:p w14:paraId="2F49E27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85.6%</w:t>
            </w:r>
          </w:p>
        </w:tc>
        <w:tc>
          <w:tcPr>
            <w:tcW w:w="986" w:type="dxa"/>
            <w:vAlign w:val="bottom"/>
          </w:tcPr>
          <w:p w14:paraId="4081C18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23,699.7</w:t>
            </w:r>
          </w:p>
        </w:tc>
        <w:tc>
          <w:tcPr>
            <w:tcW w:w="222" w:type="dxa"/>
          </w:tcPr>
          <w:p w14:paraId="4CE93646"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29D3EF0D"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52.8%</w:t>
            </w:r>
          </w:p>
        </w:tc>
        <w:tc>
          <w:tcPr>
            <w:tcW w:w="1096" w:type="dxa"/>
            <w:vAlign w:val="bottom"/>
          </w:tcPr>
          <w:p w14:paraId="42869479"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69,824.5</w:t>
            </w:r>
          </w:p>
        </w:tc>
        <w:tc>
          <w:tcPr>
            <w:tcW w:w="222" w:type="dxa"/>
          </w:tcPr>
          <w:p w14:paraId="3FFABC20"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110FED1F"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53.5%</w:t>
            </w:r>
          </w:p>
        </w:tc>
        <w:tc>
          <w:tcPr>
            <w:tcW w:w="1096" w:type="dxa"/>
            <w:vAlign w:val="bottom"/>
          </w:tcPr>
          <w:p w14:paraId="2B087B68"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34,587.2</w:t>
            </w:r>
          </w:p>
        </w:tc>
      </w:tr>
      <w:tr w:rsidR="00CF210D" w:rsidRPr="00CF210D" w14:paraId="089710DA" w14:textId="77777777" w:rsidTr="006129E3">
        <w:trPr>
          <w:trHeight w:val="243"/>
          <w:jc w:val="center"/>
        </w:trPr>
        <w:tc>
          <w:tcPr>
            <w:tcW w:w="656" w:type="dxa"/>
            <w:vAlign w:val="center"/>
          </w:tcPr>
          <w:p w14:paraId="79ECBF2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1992</w:t>
            </w:r>
          </w:p>
        </w:tc>
        <w:tc>
          <w:tcPr>
            <w:tcW w:w="913" w:type="dxa"/>
            <w:vAlign w:val="bottom"/>
          </w:tcPr>
          <w:p w14:paraId="0A6E869A"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63.9%</w:t>
            </w:r>
          </w:p>
        </w:tc>
        <w:tc>
          <w:tcPr>
            <w:tcW w:w="1096" w:type="dxa"/>
            <w:vAlign w:val="bottom"/>
          </w:tcPr>
          <w:p w14:paraId="4D2E7B6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119,031.7</w:t>
            </w:r>
          </w:p>
        </w:tc>
        <w:tc>
          <w:tcPr>
            <w:tcW w:w="222" w:type="dxa"/>
          </w:tcPr>
          <w:p w14:paraId="0B41779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699491EC"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19.4%</w:t>
            </w:r>
          </w:p>
        </w:tc>
        <w:tc>
          <w:tcPr>
            <w:tcW w:w="986" w:type="dxa"/>
            <w:vAlign w:val="bottom"/>
          </w:tcPr>
          <w:p w14:paraId="03AEF6E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49,134.2</w:t>
            </w:r>
          </w:p>
        </w:tc>
        <w:tc>
          <w:tcPr>
            <w:tcW w:w="222" w:type="dxa"/>
          </w:tcPr>
          <w:p w14:paraId="6A43ED6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4AF6E281"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14.4%</w:t>
            </w:r>
          </w:p>
        </w:tc>
        <w:tc>
          <w:tcPr>
            <w:tcW w:w="1096" w:type="dxa"/>
            <w:vAlign w:val="bottom"/>
          </w:tcPr>
          <w:p w14:paraId="7C5C4C2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66,814.2</w:t>
            </w:r>
          </w:p>
        </w:tc>
        <w:tc>
          <w:tcPr>
            <w:tcW w:w="222" w:type="dxa"/>
          </w:tcPr>
          <w:p w14:paraId="7BE22D1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2EE98D2D"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86.4%</w:t>
            </w:r>
          </w:p>
        </w:tc>
        <w:tc>
          <w:tcPr>
            <w:tcW w:w="986" w:type="dxa"/>
            <w:vAlign w:val="bottom"/>
          </w:tcPr>
          <w:p w14:paraId="50D9B08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18,174.0</w:t>
            </w:r>
          </w:p>
        </w:tc>
        <w:tc>
          <w:tcPr>
            <w:tcW w:w="236" w:type="dxa"/>
          </w:tcPr>
          <w:p w14:paraId="4A55A87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vAlign w:val="bottom"/>
          </w:tcPr>
          <w:p w14:paraId="532DE33B"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86.9%</w:t>
            </w:r>
          </w:p>
        </w:tc>
        <w:tc>
          <w:tcPr>
            <w:tcW w:w="986" w:type="dxa"/>
            <w:vAlign w:val="bottom"/>
          </w:tcPr>
          <w:p w14:paraId="2273392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20,365.1</w:t>
            </w:r>
          </w:p>
        </w:tc>
        <w:tc>
          <w:tcPr>
            <w:tcW w:w="222" w:type="dxa"/>
          </w:tcPr>
          <w:p w14:paraId="39639A01"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3D17EB3C"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50.5%</w:t>
            </w:r>
          </w:p>
        </w:tc>
        <w:tc>
          <w:tcPr>
            <w:tcW w:w="1096" w:type="dxa"/>
            <w:vAlign w:val="bottom"/>
          </w:tcPr>
          <w:p w14:paraId="59A83297"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59,867.7</w:t>
            </w:r>
          </w:p>
        </w:tc>
        <w:tc>
          <w:tcPr>
            <w:tcW w:w="222" w:type="dxa"/>
          </w:tcPr>
          <w:p w14:paraId="24A9A3DF"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1B0073C3"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55.7%</w:t>
            </w:r>
          </w:p>
        </w:tc>
        <w:tc>
          <w:tcPr>
            <w:tcW w:w="1096" w:type="dxa"/>
            <w:vAlign w:val="bottom"/>
          </w:tcPr>
          <w:p w14:paraId="7B65B9D5"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37,372.1</w:t>
            </w:r>
          </w:p>
        </w:tc>
      </w:tr>
      <w:tr w:rsidR="00CF210D" w:rsidRPr="00CF210D" w14:paraId="6A4EA8AE" w14:textId="77777777" w:rsidTr="006129E3">
        <w:trPr>
          <w:trHeight w:val="259"/>
          <w:jc w:val="center"/>
        </w:trPr>
        <w:tc>
          <w:tcPr>
            <w:tcW w:w="656" w:type="dxa"/>
            <w:vAlign w:val="center"/>
          </w:tcPr>
          <w:p w14:paraId="266E210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1995</w:t>
            </w:r>
          </w:p>
        </w:tc>
        <w:tc>
          <w:tcPr>
            <w:tcW w:w="913" w:type="dxa"/>
            <w:vAlign w:val="bottom"/>
          </w:tcPr>
          <w:p w14:paraId="69F625B1"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64.7%</w:t>
            </w:r>
          </w:p>
        </w:tc>
        <w:tc>
          <w:tcPr>
            <w:tcW w:w="1096" w:type="dxa"/>
            <w:vAlign w:val="bottom"/>
          </w:tcPr>
          <w:p w14:paraId="2310E5D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117,289.4</w:t>
            </w:r>
          </w:p>
        </w:tc>
        <w:tc>
          <w:tcPr>
            <w:tcW w:w="222" w:type="dxa"/>
          </w:tcPr>
          <w:p w14:paraId="5A4D800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6A367FF6"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18.0%</w:t>
            </w:r>
          </w:p>
        </w:tc>
        <w:tc>
          <w:tcPr>
            <w:tcW w:w="986" w:type="dxa"/>
            <w:vAlign w:val="bottom"/>
          </w:tcPr>
          <w:p w14:paraId="47D7E94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39,075.9</w:t>
            </w:r>
          </w:p>
        </w:tc>
        <w:tc>
          <w:tcPr>
            <w:tcW w:w="222" w:type="dxa"/>
          </w:tcPr>
          <w:p w14:paraId="411CBAE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063C2584"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12.8%</w:t>
            </w:r>
          </w:p>
        </w:tc>
        <w:tc>
          <w:tcPr>
            <w:tcW w:w="1096" w:type="dxa"/>
            <w:vAlign w:val="bottom"/>
          </w:tcPr>
          <w:p w14:paraId="4C77DF6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68,570.1</w:t>
            </w:r>
          </w:p>
        </w:tc>
        <w:tc>
          <w:tcPr>
            <w:tcW w:w="222" w:type="dxa"/>
          </w:tcPr>
          <w:p w14:paraId="2DC1E02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01C06C45"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84.9%</w:t>
            </w:r>
          </w:p>
        </w:tc>
        <w:tc>
          <w:tcPr>
            <w:tcW w:w="986" w:type="dxa"/>
            <w:vAlign w:val="bottom"/>
          </w:tcPr>
          <w:p w14:paraId="4E06467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23,061.7</w:t>
            </w:r>
          </w:p>
        </w:tc>
        <w:tc>
          <w:tcPr>
            <w:tcW w:w="236" w:type="dxa"/>
          </w:tcPr>
          <w:p w14:paraId="61CA344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vAlign w:val="bottom"/>
          </w:tcPr>
          <w:p w14:paraId="25453C20"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87.4%</w:t>
            </w:r>
          </w:p>
        </w:tc>
        <w:tc>
          <w:tcPr>
            <w:tcW w:w="986" w:type="dxa"/>
            <w:vAlign w:val="bottom"/>
          </w:tcPr>
          <w:p w14:paraId="6C205C6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20,109.0</w:t>
            </w:r>
          </w:p>
        </w:tc>
        <w:tc>
          <w:tcPr>
            <w:tcW w:w="222" w:type="dxa"/>
          </w:tcPr>
          <w:p w14:paraId="3085F83F"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1E91431C"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50.5%</w:t>
            </w:r>
          </w:p>
        </w:tc>
        <w:tc>
          <w:tcPr>
            <w:tcW w:w="1096" w:type="dxa"/>
            <w:vAlign w:val="bottom"/>
          </w:tcPr>
          <w:p w14:paraId="45C841D1"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73,612.2</w:t>
            </w:r>
          </w:p>
        </w:tc>
        <w:tc>
          <w:tcPr>
            <w:tcW w:w="222" w:type="dxa"/>
          </w:tcPr>
          <w:p w14:paraId="2E91D50E"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2BA743AB"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58.6%</w:t>
            </w:r>
          </w:p>
        </w:tc>
        <w:tc>
          <w:tcPr>
            <w:tcW w:w="1096" w:type="dxa"/>
            <w:vAlign w:val="bottom"/>
          </w:tcPr>
          <w:p w14:paraId="4ADBB8D5"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51,207.3</w:t>
            </w:r>
          </w:p>
        </w:tc>
      </w:tr>
      <w:tr w:rsidR="00CF210D" w:rsidRPr="00CF210D" w14:paraId="2DC61CE0" w14:textId="77777777" w:rsidTr="006129E3">
        <w:trPr>
          <w:trHeight w:val="243"/>
          <w:jc w:val="center"/>
        </w:trPr>
        <w:tc>
          <w:tcPr>
            <w:tcW w:w="656" w:type="dxa"/>
            <w:vAlign w:val="center"/>
          </w:tcPr>
          <w:p w14:paraId="66AA0B3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1998</w:t>
            </w:r>
          </w:p>
        </w:tc>
        <w:tc>
          <w:tcPr>
            <w:tcW w:w="913" w:type="dxa"/>
            <w:vAlign w:val="bottom"/>
          </w:tcPr>
          <w:p w14:paraId="247D9F1E"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66.3%</w:t>
            </w:r>
          </w:p>
        </w:tc>
        <w:tc>
          <w:tcPr>
            <w:tcW w:w="1096" w:type="dxa"/>
            <w:vAlign w:val="bottom"/>
          </w:tcPr>
          <w:p w14:paraId="024DFCB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135,598.0</w:t>
            </w:r>
          </w:p>
        </w:tc>
        <w:tc>
          <w:tcPr>
            <w:tcW w:w="222" w:type="dxa"/>
          </w:tcPr>
          <w:p w14:paraId="04E4E8E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5CC69E89"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18.6%</w:t>
            </w:r>
          </w:p>
        </w:tc>
        <w:tc>
          <w:tcPr>
            <w:tcW w:w="986" w:type="dxa"/>
            <w:vAlign w:val="bottom"/>
          </w:tcPr>
          <w:p w14:paraId="4ABCD15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47,030.3</w:t>
            </w:r>
          </w:p>
        </w:tc>
        <w:tc>
          <w:tcPr>
            <w:tcW w:w="222" w:type="dxa"/>
          </w:tcPr>
          <w:p w14:paraId="48B7D08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4EC756F5"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12.7%</w:t>
            </w:r>
          </w:p>
        </w:tc>
        <w:tc>
          <w:tcPr>
            <w:tcW w:w="1096" w:type="dxa"/>
            <w:vAlign w:val="bottom"/>
          </w:tcPr>
          <w:p w14:paraId="505FCA4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82,554.2</w:t>
            </w:r>
          </w:p>
        </w:tc>
        <w:tc>
          <w:tcPr>
            <w:tcW w:w="222" w:type="dxa"/>
          </w:tcPr>
          <w:p w14:paraId="05DFAE0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71243122"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83.5%</w:t>
            </w:r>
          </w:p>
        </w:tc>
        <w:tc>
          <w:tcPr>
            <w:tcW w:w="986" w:type="dxa"/>
            <w:vAlign w:val="bottom"/>
          </w:tcPr>
          <w:p w14:paraId="147DE97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23,200.1</w:t>
            </w:r>
          </w:p>
        </w:tc>
        <w:tc>
          <w:tcPr>
            <w:tcW w:w="236" w:type="dxa"/>
          </w:tcPr>
          <w:p w14:paraId="3D71C39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vAlign w:val="bottom"/>
          </w:tcPr>
          <w:p w14:paraId="506A018D"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90.6%</w:t>
            </w:r>
          </w:p>
        </w:tc>
        <w:tc>
          <w:tcPr>
            <w:tcW w:w="986" w:type="dxa"/>
            <w:vAlign w:val="bottom"/>
          </w:tcPr>
          <w:p w14:paraId="0DCA5BD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22,496.2</w:t>
            </w:r>
          </w:p>
        </w:tc>
        <w:tc>
          <w:tcPr>
            <w:tcW w:w="222" w:type="dxa"/>
          </w:tcPr>
          <w:p w14:paraId="2730E905"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1A682FF9"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51.9%</w:t>
            </w:r>
          </w:p>
        </w:tc>
        <w:tc>
          <w:tcPr>
            <w:tcW w:w="1096" w:type="dxa"/>
            <w:vAlign w:val="bottom"/>
          </w:tcPr>
          <w:p w14:paraId="2A051E0D"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109,483.4</w:t>
            </w:r>
          </w:p>
        </w:tc>
        <w:tc>
          <w:tcPr>
            <w:tcW w:w="222" w:type="dxa"/>
          </w:tcPr>
          <w:p w14:paraId="215EB436"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49344D24"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59.7%</w:t>
            </w:r>
          </w:p>
        </w:tc>
        <w:tc>
          <w:tcPr>
            <w:tcW w:w="1096" w:type="dxa"/>
            <w:vAlign w:val="bottom"/>
          </w:tcPr>
          <w:p w14:paraId="76802987"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67,641.3</w:t>
            </w:r>
          </w:p>
        </w:tc>
      </w:tr>
      <w:tr w:rsidR="00CF210D" w:rsidRPr="00CF210D" w14:paraId="04FBFD94" w14:textId="77777777" w:rsidTr="006129E3">
        <w:trPr>
          <w:trHeight w:val="243"/>
          <w:jc w:val="center"/>
        </w:trPr>
        <w:tc>
          <w:tcPr>
            <w:tcW w:w="656" w:type="dxa"/>
            <w:vAlign w:val="center"/>
          </w:tcPr>
          <w:p w14:paraId="244E888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2001</w:t>
            </w:r>
          </w:p>
        </w:tc>
        <w:tc>
          <w:tcPr>
            <w:tcW w:w="913" w:type="dxa"/>
            <w:vAlign w:val="bottom"/>
          </w:tcPr>
          <w:p w14:paraId="73D883FF"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67.7%</w:t>
            </w:r>
          </w:p>
        </w:tc>
        <w:tc>
          <w:tcPr>
            <w:tcW w:w="1096" w:type="dxa"/>
            <w:vAlign w:val="bottom"/>
          </w:tcPr>
          <w:p w14:paraId="544CCF7D"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166,489.2</w:t>
            </w:r>
          </w:p>
        </w:tc>
        <w:tc>
          <w:tcPr>
            <w:tcW w:w="222" w:type="dxa"/>
          </w:tcPr>
          <w:p w14:paraId="21C0C00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7A92DF25"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16.8%</w:t>
            </w:r>
          </w:p>
        </w:tc>
        <w:tc>
          <w:tcPr>
            <w:tcW w:w="986" w:type="dxa"/>
            <w:vAlign w:val="bottom"/>
          </w:tcPr>
          <w:p w14:paraId="6F87872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57,899.3</w:t>
            </w:r>
          </w:p>
        </w:tc>
        <w:tc>
          <w:tcPr>
            <w:tcW w:w="222" w:type="dxa"/>
          </w:tcPr>
          <w:p w14:paraId="3D58AE9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0E2FE04F"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13.6%</w:t>
            </w:r>
          </w:p>
        </w:tc>
        <w:tc>
          <w:tcPr>
            <w:tcW w:w="1096" w:type="dxa"/>
            <w:vAlign w:val="bottom"/>
          </w:tcPr>
          <w:p w14:paraId="5DBCE24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101,399.2</w:t>
            </w:r>
          </w:p>
        </w:tc>
        <w:tc>
          <w:tcPr>
            <w:tcW w:w="222" w:type="dxa"/>
          </w:tcPr>
          <w:p w14:paraId="3242BF9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45BD34B0"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85.5%</w:t>
            </w:r>
          </w:p>
        </w:tc>
        <w:tc>
          <w:tcPr>
            <w:tcW w:w="986" w:type="dxa"/>
            <w:vAlign w:val="bottom"/>
          </w:tcPr>
          <w:p w14:paraId="069B113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26,507.6</w:t>
            </w:r>
          </w:p>
        </w:tc>
        <w:tc>
          <w:tcPr>
            <w:tcW w:w="236" w:type="dxa"/>
          </w:tcPr>
          <w:p w14:paraId="05EF42B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vAlign w:val="bottom"/>
          </w:tcPr>
          <w:p w14:paraId="46DE5B7D"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91.4%</w:t>
            </w:r>
          </w:p>
        </w:tc>
        <w:tc>
          <w:tcPr>
            <w:tcW w:w="986" w:type="dxa"/>
            <w:vAlign w:val="bottom"/>
          </w:tcPr>
          <w:p w14:paraId="5B68A66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30,218.7</w:t>
            </w:r>
          </w:p>
        </w:tc>
        <w:tc>
          <w:tcPr>
            <w:tcW w:w="222" w:type="dxa"/>
          </w:tcPr>
          <w:p w14:paraId="58C5592C"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25FAC1F4"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51.7%</w:t>
            </w:r>
          </w:p>
        </w:tc>
        <w:tc>
          <w:tcPr>
            <w:tcW w:w="1096" w:type="dxa"/>
            <w:vAlign w:val="bottom"/>
          </w:tcPr>
          <w:p w14:paraId="1FEF86BC"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142,242.2</w:t>
            </w:r>
          </w:p>
        </w:tc>
        <w:tc>
          <w:tcPr>
            <w:tcW w:w="222" w:type="dxa"/>
          </w:tcPr>
          <w:p w14:paraId="43108CA6"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6CF0988A"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61.6%</w:t>
            </w:r>
          </w:p>
        </w:tc>
        <w:tc>
          <w:tcPr>
            <w:tcW w:w="1096" w:type="dxa"/>
            <w:vAlign w:val="bottom"/>
          </w:tcPr>
          <w:p w14:paraId="6518D6F9"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88,878.3</w:t>
            </w:r>
          </w:p>
        </w:tc>
      </w:tr>
      <w:tr w:rsidR="00CF210D" w:rsidRPr="00CF210D" w14:paraId="6BFC0E0D" w14:textId="77777777" w:rsidTr="006129E3">
        <w:trPr>
          <w:trHeight w:val="243"/>
          <w:jc w:val="center"/>
        </w:trPr>
        <w:tc>
          <w:tcPr>
            <w:tcW w:w="656" w:type="dxa"/>
            <w:vAlign w:val="center"/>
          </w:tcPr>
          <w:p w14:paraId="523BD88D"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2004</w:t>
            </w:r>
          </w:p>
        </w:tc>
        <w:tc>
          <w:tcPr>
            <w:tcW w:w="913" w:type="dxa"/>
            <w:vAlign w:val="bottom"/>
          </w:tcPr>
          <w:p w14:paraId="5CEF857E"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69.1%</w:t>
            </w:r>
          </w:p>
        </w:tc>
        <w:tc>
          <w:tcPr>
            <w:tcW w:w="1096" w:type="dxa"/>
            <w:vAlign w:val="bottom"/>
          </w:tcPr>
          <w:p w14:paraId="6BE11EAB"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214,661.2</w:t>
            </w:r>
          </w:p>
        </w:tc>
        <w:tc>
          <w:tcPr>
            <w:tcW w:w="222" w:type="dxa"/>
          </w:tcPr>
          <w:p w14:paraId="3662758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7A440CDD"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18.1%</w:t>
            </w:r>
          </w:p>
        </w:tc>
        <w:tc>
          <w:tcPr>
            <w:tcW w:w="986" w:type="dxa"/>
            <w:vAlign w:val="bottom"/>
          </w:tcPr>
          <w:p w14:paraId="1FAE836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73,819.9</w:t>
            </w:r>
          </w:p>
        </w:tc>
        <w:tc>
          <w:tcPr>
            <w:tcW w:w="222" w:type="dxa"/>
          </w:tcPr>
          <w:p w14:paraId="04F3EFD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1D44FAC0"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13.3%</w:t>
            </w:r>
          </w:p>
        </w:tc>
        <w:tc>
          <w:tcPr>
            <w:tcW w:w="1096" w:type="dxa"/>
            <w:vAlign w:val="bottom"/>
          </w:tcPr>
          <w:p w14:paraId="7A5463F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110,033.5</w:t>
            </w:r>
          </w:p>
        </w:tc>
        <w:tc>
          <w:tcPr>
            <w:tcW w:w="222" w:type="dxa"/>
          </w:tcPr>
          <w:p w14:paraId="128B571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0697EF56"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87.0%</w:t>
            </w:r>
          </w:p>
        </w:tc>
        <w:tc>
          <w:tcPr>
            <w:tcW w:w="986" w:type="dxa"/>
            <w:vAlign w:val="bottom"/>
          </w:tcPr>
          <w:p w14:paraId="0DC566A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28,196.4</w:t>
            </w:r>
          </w:p>
        </w:tc>
        <w:tc>
          <w:tcPr>
            <w:tcW w:w="236" w:type="dxa"/>
          </w:tcPr>
          <w:p w14:paraId="68FFAED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vAlign w:val="bottom"/>
          </w:tcPr>
          <w:p w14:paraId="33E270D4"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91.3%</w:t>
            </w:r>
          </w:p>
        </w:tc>
        <w:tc>
          <w:tcPr>
            <w:tcW w:w="986" w:type="dxa"/>
            <w:vAlign w:val="bottom"/>
          </w:tcPr>
          <w:p w14:paraId="110F33E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31,268.0</w:t>
            </w:r>
          </w:p>
        </w:tc>
        <w:tc>
          <w:tcPr>
            <w:tcW w:w="222" w:type="dxa"/>
          </w:tcPr>
          <w:p w14:paraId="0F4627CB"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11713D30"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49.9%</w:t>
            </w:r>
          </w:p>
        </w:tc>
        <w:tc>
          <w:tcPr>
            <w:tcW w:w="1096" w:type="dxa"/>
            <w:vAlign w:val="bottom"/>
          </w:tcPr>
          <w:p w14:paraId="404514E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122,852.6</w:t>
            </w:r>
          </w:p>
        </w:tc>
        <w:tc>
          <w:tcPr>
            <w:tcW w:w="222" w:type="dxa"/>
          </w:tcPr>
          <w:p w14:paraId="353EEFA7"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4A7CB36F"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58.4%</w:t>
            </w:r>
          </w:p>
        </w:tc>
        <w:tc>
          <w:tcPr>
            <w:tcW w:w="1096" w:type="dxa"/>
            <w:vAlign w:val="bottom"/>
          </w:tcPr>
          <w:p w14:paraId="2CFC7407"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84,321.3</w:t>
            </w:r>
          </w:p>
        </w:tc>
      </w:tr>
      <w:tr w:rsidR="00CF210D" w:rsidRPr="00CF210D" w14:paraId="028234F1" w14:textId="77777777" w:rsidTr="006129E3">
        <w:trPr>
          <w:trHeight w:val="243"/>
          <w:jc w:val="center"/>
        </w:trPr>
        <w:tc>
          <w:tcPr>
            <w:tcW w:w="656" w:type="dxa"/>
            <w:vAlign w:val="center"/>
          </w:tcPr>
          <w:p w14:paraId="3FB3FCF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2007</w:t>
            </w:r>
          </w:p>
        </w:tc>
        <w:tc>
          <w:tcPr>
            <w:tcW w:w="913" w:type="dxa"/>
            <w:vAlign w:val="bottom"/>
          </w:tcPr>
          <w:p w14:paraId="76FB5289"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68.6%</w:t>
            </w:r>
          </w:p>
        </w:tc>
        <w:tc>
          <w:tcPr>
            <w:tcW w:w="1096" w:type="dxa"/>
            <w:vAlign w:val="bottom"/>
          </w:tcPr>
          <w:p w14:paraId="229A395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238,572.0</w:t>
            </w:r>
          </w:p>
        </w:tc>
        <w:tc>
          <w:tcPr>
            <w:tcW w:w="222" w:type="dxa"/>
          </w:tcPr>
          <w:p w14:paraId="1195D9D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3CD2681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19.0%</w:t>
            </w:r>
          </w:p>
        </w:tc>
        <w:tc>
          <w:tcPr>
            <w:tcW w:w="986" w:type="dxa"/>
            <w:vAlign w:val="bottom"/>
          </w:tcPr>
          <w:p w14:paraId="6EF01E8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81,964.9</w:t>
            </w:r>
          </w:p>
        </w:tc>
        <w:tc>
          <w:tcPr>
            <w:tcW w:w="222" w:type="dxa"/>
          </w:tcPr>
          <w:p w14:paraId="0CD041F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2C80670B"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13.6%</w:t>
            </w:r>
          </w:p>
        </w:tc>
        <w:tc>
          <w:tcPr>
            <w:tcW w:w="1096" w:type="dxa"/>
            <w:vAlign w:val="bottom"/>
          </w:tcPr>
          <w:p w14:paraId="54FDEC8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146,287.8</w:t>
            </w:r>
          </w:p>
        </w:tc>
        <w:tc>
          <w:tcPr>
            <w:tcW w:w="222" w:type="dxa"/>
          </w:tcPr>
          <w:p w14:paraId="2C69027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538F7062"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87.7%</w:t>
            </w:r>
          </w:p>
        </w:tc>
        <w:tc>
          <w:tcPr>
            <w:tcW w:w="986" w:type="dxa"/>
            <w:vAlign w:val="bottom"/>
          </w:tcPr>
          <w:p w14:paraId="40D7367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27,038.9</w:t>
            </w:r>
          </w:p>
        </w:tc>
        <w:tc>
          <w:tcPr>
            <w:tcW w:w="236" w:type="dxa"/>
          </w:tcPr>
          <w:p w14:paraId="1B507AE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vAlign w:val="bottom"/>
          </w:tcPr>
          <w:p w14:paraId="798787F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92.1%</w:t>
            </w:r>
          </w:p>
        </w:tc>
        <w:tc>
          <w:tcPr>
            <w:tcW w:w="986" w:type="dxa"/>
            <w:vAlign w:val="bottom"/>
          </w:tcPr>
          <w:p w14:paraId="5F781AB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28,051.6</w:t>
            </w:r>
          </w:p>
        </w:tc>
        <w:tc>
          <w:tcPr>
            <w:tcW w:w="222" w:type="dxa"/>
          </w:tcPr>
          <w:p w14:paraId="1DA5043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5E9EAA5C"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47.5%</w:t>
            </w:r>
          </w:p>
        </w:tc>
        <w:tc>
          <w:tcPr>
            <w:tcW w:w="1096" w:type="dxa"/>
            <w:vAlign w:val="bottom"/>
          </w:tcPr>
          <w:p w14:paraId="07FA6E1B"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131,388.2</w:t>
            </w:r>
          </w:p>
        </w:tc>
        <w:tc>
          <w:tcPr>
            <w:tcW w:w="222" w:type="dxa"/>
          </w:tcPr>
          <w:p w14:paraId="2D5EBDC1"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26A25494"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60.8%</w:t>
            </w:r>
          </w:p>
        </w:tc>
        <w:tc>
          <w:tcPr>
            <w:tcW w:w="1096" w:type="dxa"/>
            <w:vAlign w:val="bottom"/>
          </w:tcPr>
          <w:p w14:paraId="3C9385D6"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97,866.7</w:t>
            </w:r>
          </w:p>
        </w:tc>
      </w:tr>
      <w:tr w:rsidR="00CF210D" w:rsidRPr="00CF210D" w14:paraId="2E87EAD7" w14:textId="77777777" w:rsidTr="006129E3">
        <w:trPr>
          <w:trHeight w:val="243"/>
          <w:jc w:val="center"/>
        </w:trPr>
        <w:tc>
          <w:tcPr>
            <w:tcW w:w="656" w:type="dxa"/>
            <w:vAlign w:val="center"/>
          </w:tcPr>
          <w:p w14:paraId="5835BEF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2010</w:t>
            </w:r>
          </w:p>
        </w:tc>
        <w:tc>
          <w:tcPr>
            <w:tcW w:w="913" w:type="dxa"/>
            <w:vAlign w:val="bottom"/>
          </w:tcPr>
          <w:p w14:paraId="20ECEE05"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67.3%</w:t>
            </w:r>
          </w:p>
        </w:tc>
        <w:tc>
          <w:tcPr>
            <w:tcW w:w="1096" w:type="dxa"/>
            <w:vAlign w:val="bottom"/>
          </w:tcPr>
          <w:p w14:paraId="3C73F4D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193,185.9</w:t>
            </w:r>
          </w:p>
        </w:tc>
        <w:tc>
          <w:tcPr>
            <w:tcW w:w="222" w:type="dxa"/>
          </w:tcPr>
          <w:p w14:paraId="4784600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3C63CAEC"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18.6%</w:t>
            </w:r>
          </w:p>
        </w:tc>
        <w:tc>
          <w:tcPr>
            <w:tcW w:w="986" w:type="dxa"/>
            <w:vAlign w:val="bottom"/>
          </w:tcPr>
          <w:p w14:paraId="5B6CA14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72,726.9</w:t>
            </w:r>
          </w:p>
        </w:tc>
        <w:tc>
          <w:tcPr>
            <w:tcW w:w="222" w:type="dxa"/>
          </w:tcPr>
          <w:p w14:paraId="717480C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1D7C4308"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13.2%</w:t>
            </w:r>
          </w:p>
        </w:tc>
        <w:tc>
          <w:tcPr>
            <w:tcW w:w="1096" w:type="dxa"/>
            <w:vAlign w:val="bottom"/>
          </w:tcPr>
          <w:p w14:paraId="4324585B"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113,705.2</w:t>
            </w:r>
          </w:p>
        </w:tc>
        <w:tc>
          <w:tcPr>
            <w:tcW w:w="222" w:type="dxa"/>
          </w:tcPr>
          <w:p w14:paraId="645E7BB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vAlign w:val="bottom"/>
          </w:tcPr>
          <w:p w14:paraId="17BD0176"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87.2%</w:t>
            </w:r>
          </w:p>
        </w:tc>
        <w:tc>
          <w:tcPr>
            <w:tcW w:w="986" w:type="dxa"/>
            <w:vAlign w:val="bottom"/>
          </w:tcPr>
          <w:p w14:paraId="48EDC78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25,647.8</w:t>
            </w:r>
          </w:p>
        </w:tc>
        <w:tc>
          <w:tcPr>
            <w:tcW w:w="236" w:type="dxa"/>
          </w:tcPr>
          <w:p w14:paraId="650BB68B"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vAlign w:val="bottom"/>
          </w:tcPr>
          <w:p w14:paraId="0D66D70E"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92.5%</w:t>
            </w:r>
          </w:p>
        </w:tc>
        <w:tc>
          <w:tcPr>
            <w:tcW w:w="986" w:type="dxa"/>
            <w:vAlign w:val="bottom"/>
          </w:tcPr>
          <w:p w14:paraId="3D54DE6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32,809.1</w:t>
            </w:r>
          </w:p>
        </w:tc>
        <w:tc>
          <w:tcPr>
            <w:tcW w:w="222" w:type="dxa"/>
          </w:tcPr>
          <w:p w14:paraId="7BE5A0C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33553647"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39.8%</w:t>
            </w:r>
          </w:p>
        </w:tc>
        <w:tc>
          <w:tcPr>
            <w:tcW w:w="1096" w:type="dxa"/>
            <w:vAlign w:val="bottom"/>
          </w:tcPr>
          <w:p w14:paraId="671008BF"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112,817.8</w:t>
            </w:r>
          </w:p>
        </w:tc>
        <w:tc>
          <w:tcPr>
            <w:tcW w:w="222" w:type="dxa"/>
          </w:tcPr>
          <w:p w14:paraId="6D2C881C"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vAlign w:val="bottom"/>
          </w:tcPr>
          <w:p w14:paraId="606E9C9F"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57.6%</w:t>
            </w:r>
          </w:p>
        </w:tc>
        <w:tc>
          <w:tcPr>
            <w:tcW w:w="1096" w:type="dxa"/>
            <w:vAlign w:val="bottom"/>
          </w:tcPr>
          <w:p w14:paraId="0E7B62BF"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100,795.9</w:t>
            </w:r>
          </w:p>
        </w:tc>
      </w:tr>
      <w:tr w:rsidR="00CF210D" w:rsidRPr="00CF210D" w14:paraId="0201EBE5" w14:textId="77777777" w:rsidTr="006129E3">
        <w:trPr>
          <w:trHeight w:val="243"/>
          <w:jc w:val="center"/>
        </w:trPr>
        <w:tc>
          <w:tcPr>
            <w:tcW w:w="656" w:type="dxa"/>
            <w:tcBorders>
              <w:bottom w:val="single" w:sz="4" w:space="0" w:color="auto"/>
            </w:tcBorders>
            <w:vAlign w:val="center"/>
          </w:tcPr>
          <w:p w14:paraId="2F490F73" w14:textId="77777777" w:rsidR="00CF210D" w:rsidRPr="00CF210D" w:rsidRDefault="00CF210D" w:rsidP="00CF210D">
            <w:pPr>
              <w:spacing w:after="0" w:line="240" w:lineRule="auto"/>
              <w:ind w:firstLine="0"/>
              <w:jc w:val="left"/>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2013</w:t>
            </w:r>
          </w:p>
        </w:tc>
        <w:tc>
          <w:tcPr>
            <w:tcW w:w="913" w:type="dxa"/>
            <w:tcBorders>
              <w:bottom w:val="single" w:sz="4" w:space="0" w:color="auto"/>
            </w:tcBorders>
            <w:vAlign w:val="bottom"/>
          </w:tcPr>
          <w:p w14:paraId="20E28459"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65.2%</w:t>
            </w:r>
          </w:p>
        </w:tc>
        <w:tc>
          <w:tcPr>
            <w:tcW w:w="1096" w:type="dxa"/>
            <w:tcBorders>
              <w:bottom w:val="single" w:sz="4" w:space="0" w:color="auto"/>
            </w:tcBorders>
            <w:vAlign w:val="bottom"/>
          </w:tcPr>
          <w:p w14:paraId="2CFC0E7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174,658.3</w:t>
            </w:r>
          </w:p>
        </w:tc>
        <w:tc>
          <w:tcPr>
            <w:tcW w:w="222" w:type="dxa"/>
            <w:tcBorders>
              <w:bottom w:val="single" w:sz="4" w:space="0" w:color="auto"/>
            </w:tcBorders>
          </w:tcPr>
          <w:p w14:paraId="5CC2E32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tcBorders>
              <w:bottom w:val="single" w:sz="4" w:space="0" w:color="auto"/>
            </w:tcBorders>
            <w:vAlign w:val="bottom"/>
          </w:tcPr>
          <w:p w14:paraId="3B917B21"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17.5%</w:t>
            </w:r>
          </w:p>
        </w:tc>
        <w:tc>
          <w:tcPr>
            <w:tcW w:w="986" w:type="dxa"/>
            <w:tcBorders>
              <w:bottom w:val="single" w:sz="4" w:space="0" w:color="auto"/>
            </w:tcBorders>
            <w:vAlign w:val="bottom"/>
          </w:tcPr>
          <w:p w14:paraId="572D75A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62,413.3</w:t>
            </w:r>
          </w:p>
        </w:tc>
        <w:tc>
          <w:tcPr>
            <w:tcW w:w="222" w:type="dxa"/>
            <w:tcBorders>
              <w:bottom w:val="single" w:sz="4" w:space="0" w:color="auto"/>
            </w:tcBorders>
          </w:tcPr>
          <w:p w14:paraId="0607919D"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tcBorders>
              <w:bottom w:val="single" w:sz="4" w:space="0" w:color="auto"/>
            </w:tcBorders>
            <w:vAlign w:val="bottom"/>
          </w:tcPr>
          <w:p w14:paraId="6B69F6DE"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11.7%</w:t>
            </w:r>
          </w:p>
        </w:tc>
        <w:tc>
          <w:tcPr>
            <w:tcW w:w="1096" w:type="dxa"/>
            <w:tcBorders>
              <w:bottom w:val="single" w:sz="4" w:space="0" w:color="auto"/>
            </w:tcBorders>
            <w:vAlign w:val="bottom"/>
          </w:tcPr>
          <w:p w14:paraId="5B30A3C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112,348.7</w:t>
            </w:r>
          </w:p>
        </w:tc>
        <w:tc>
          <w:tcPr>
            <w:tcW w:w="222" w:type="dxa"/>
            <w:tcBorders>
              <w:bottom w:val="single" w:sz="4" w:space="0" w:color="auto"/>
            </w:tcBorders>
          </w:tcPr>
          <w:p w14:paraId="7406D56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913" w:type="dxa"/>
            <w:tcBorders>
              <w:bottom w:val="single" w:sz="4" w:space="0" w:color="auto"/>
            </w:tcBorders>
            <w:vAlign w:val="bottom"/>
          </w:tcPr>
          <w:p w14:paraId="45353299"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86.7%</w:t>
            </w:r>
          </w:p>
        </w:tc>
        <w:tc>
          <w:tcPr>
            <w:tcW w:w="986" w:type="dxa"/>
            <w:tcBorders>
              <w:bottom w:val="single" w:sz="4" w:space="0" w:color="auto"/>
            </w:tcBorders>
            <w:vAlign w:val="bottom"/>
          </w:tcPr>
          <w:p w14:paraId="24E2E65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24,641.7</w:t>
            </w:r>
          </w:p>
        </w:tc>
        <w:tc>
          <w:tcPr>
            <w:tcW w:w="236" w:type="dxa"/>
          </w:tcPr>
          <w:p w14:paraId="2FAB210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899" w:type="dxa"/>
            <w:tcBorders>
              <w:bottom w:val="single" w:sz="4" w:space="0" w:color="auto"/>
            </w:tcBorders>
            <w:vAlign w:val="bottom"/>
          </w:tcPr>
          <w:p w14:paraId="531F9EDA"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93.2%</w:t>
            </w:r>
          </w:p>
        </w:tc>
        <w:tc>
          <w:tcPr>
            <w:tcW w:w="986" w:type="dxa"/>
            <w:tcBorders>
              <w:bottom w:val="single" w:sz="4" w:space="0" w:color="auto"/>
            </w:tcBorders>
            <w:vAlign w:val="bottom"/>
          </w:tcPr>
          <w:p w14:paraId="7F1DF4B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34,390.7</w:t>
            </w:r>
          </w:p>
        </w:tc>
        <w:tc>
          <w:tcPr>
            <w:tcW w:w="222" w:type="dxa"/>
            <w:tcBorders>
              <w:bottom w:val="single" w:sz="4" w:space="0" w:color="auto"/>
            </w:tcBorders>
          </w:tcPr>
          <w:p w14:paraId="3B41594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tcBorders>
              <w:bottom w:val="single" w:sz="4" w:space="0" w:color="auto"/>
            </w:tcBorders>
            <w:vAlign w:val="bottom"/>
          </w:tcPr>
          <w:p w14:paraId="550A17E9"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35.9%</w:t>
            </w:r>
          </w:p>
        </w:tc>
        <w:tc>
          <w:tcPr>
            <w:tcW w:w="1096" w:type="dxa"/>
            <w:tcBorders>
              <w:bottom w:val="single" w:sz="4" w:space="0" w:color="auto"/>
            </w:tcBorders>
            <w:vAlign w:val="bottom"/>
          </w:tcPr>
          <w:p w14:paraId="7F4424CD"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116,100.2</w:t>
            </w:r>
          </w:p>
        </w:tc>
        <w:tc>
          <w:tcPr>
            <w:tcW w:w="222" w:type="dxa"/>
            <w:tcBorders>
              <w:bottom w:val="single" w:sz="4" w:space="0" w:color="auto"/>
            </w:tcBorders>
          </w:tcPr>
          <w:p w14:paraId="7444C089"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913" w:type="dxa"/>
            <w:tcBorders>
              <w:bottom w:val="single" w:sz="4" w:space="0" w:color="auto"/>
            </w:tcBorders>
            <w:vAlign w:val="bottom"/>
          </w:tcPr>
          <w:p w14:paraId="0C9B2F8C"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56.5%</w:t>
            </w:r>
          </w:p>
        </w:tc>
        <w:tc>
          <w:tcPr>
            <w:tcW w:w="1096" w:type="dxa"/>
            <w:tcBorders>
              <w:bottom w:val="single" w:sz="4" w:space="0" w:color="auto"/>
            </w:tcBorders>
            <w:vAlign w:val="bottom"/>
          </w:tcPr>
          <w:p w14:paraId="387BD75D"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108,007.2</w:t>
            </w:r>
          </w:p>
        </w:tc>
      </w:tr>
    </w:tbl>
    <w:p w14:paraId="1EC37341" w14:textId="68DE166E" w:rsidR="00CF210D" w:rsidRDefault="00CF210D" w:rsidP="00CF210D">
      <w:pPr>
        <w:spacing w:after="0" w:line="240" w:lineRule="auto"/>
        <w:ind w:firstLine="0"/>
        <w:jc w:val="left"/>
        <w:rPr>
          <w:rFonts w:ascii="Times New Roman" w:hAnsi="Times New Roman" w:cs="Times New Roman"/>
          <w:sz w:val="24"/>
          <w:lang w:eastAsia="en-GB"/>
        </w:rPr>
      </w:pPr>
    </w:p>
    <w:p w14:paraId="2B0F79DD" w14:textId="77777777" w:rsidR="002B6AE1" w:rsidRPr="00CF210D" w:rsidRDefault="002B6AE1" w:rsidP="00CF210D">
      <w:pPr>
        <w:spacing w:after="0" w:line="240" w:lineRule="auto"/>
        <w:ind w:firstLine="0"/>
        <w:jc w:val="left"/>
        <w:rPr>
          <w:rFonts w:ascii="Times New Roman" w:hAnsi="Times New Roman" w:cs="Times New Roman"/>
          <w:sz w:val="24"/>
          <w:lang w:eastAsia="en-GB"/>
        </w:rPr>
      </w:pPr>
    </w:p>
    <w:tbl>
      <w:tblPr>
        <w:tblStyle w:val="TableGrid"/>
        <w:tblW w:w="15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914"/>
        <w:gridCol w:w="1345"/>
        <w:gridCol w:w="244"/>
        <w:gridCol w:w="1030"/>
        <w:gridCol w:w="1214"/>
        <w:gridCol w:w="244"/>
        <w:gridCol w:w="1030"/>
        <w:gridCol w:w="1243"/>
        <w:gridCol w:w="244"/>
        <w:gridCol w:w="1030"/>
        <w:gridCol w:w="1119"/>
        <w:gridCol w:w="244"/>
        <w:gridCol w:w="1030"/>
        <w:gridCol w:w="1233"/>
        <w:gridCol w:w="244"/>
        <w:gridCol w:w="1030"/>
        <w:gridCol w:w="1226"/>
      </w:tblGrid>
      <w:tr w:rsidR="00CF210D" w:rsidRPr="00CF210D" w14:paraId="1024AF80" w14:textId="77777777" w:rsidTr="006129E3">
        <w:trPr>
          <w:trHeight w:val="227"/>
          <w:jc w:val="center"/>
        </w:trPr>
        <w:tc>
          <w:tcPr>
            <w:tcW w:w="946" w:type="dxa"/>
            <w:tcBorders>
              <w:bottom w:val="single" w:sz="4" w:space="0" w:color="auto"/>
            </w:tcBorders>
            <w:vAlign w:val="center"/>
          </w:tcPr>
          <w:p w14:paraId="4B294DE5" w14:textId="77777777" w:rsidR="00CF210D" w:rsidRPr="00CF210D" w:rsidRDefault="00CF210D" w:rsidP="00CF210D">
            <w:pPr>
              <w:spacing w:after="0" w:line="240" w:lineRule="auto"/>
              <w:ind w:firstLine="0"/>
              <w:jc w:val="left"/>
              <w:rPr>
                <w:rFonts w:ascii="Times New Roman" w:hAnsi="Times New Roman" w:cs="Times New Roman"/>
                <w:color w:val="000000" w:themeColor="text1"/>
                <w:sz w:val="20"/>
                <w:szCs w:val="20"/>
                <w:lang w:eastAsia="en-GB"/>
              </w:rPr>
            </w:pPr>
          </w:p>
        </w:tc>
        <w:tc>
          <w:tcPr>
            <w:tcW w:w="4747" w:type="dxa"/>
            <w:gridSpan w:val="5"/>
            <w:tcBorders>
              <w:bottom w:val="single" w:sz="4" w:space="0" w:color="auto"/>
            </w:tcBorders>
            <w:vAlign w:val="center"/>
          </w:tcPr>
          <w:p w14:paraId="0A9E2D66" w14:textId="77777777" w:rsidR="00CF210D" w:rsidRPr="00CF210D" w:rsidRDefault="00CF210D" w:rsidP="00CF210D">
            <w:pPr>
              <w:spacing w:after="0" w:line="240" w:lineRule="auto"/>
              <w:ind w:firstLine="0"/>
              <w:jc w:val="center"/>
              <w:rPr>
                <w:rFonts w:ascii="Times New Roman" w:hAnsi="Times New Roman" w:cs="Times New Roman"/>
                <w:b/>
                <w:sz w:val="20"/>
                <w:szCs w:val="20"/>
                <w:lang w:eastAsia="en-GB"/>
              </w:rPr>
            </w:pPr>
            <w:r w:rsidRPr="00CF210D">
              <w:rPr>
                <w:rFonts w:ascii="Times New Roman" w:hAnsi="Times New Roman" w:cs="Times New Roman"/>
                <w:b/>
                <w:sz w:val="20"/>
                <w:szCs w:val="20"/>
                <w:lang w:eastAsia="en-GB"/>
              </w:rPr>
              <w:t>Secured debt</w:t>
            </w:r>
          </w:p>
        </w:tc>
        <w:tc>
          <w:tcPr>
            <w:tcW w:w="244" w:type="dxa"/>
            <w:vAlign w:val="center"/>
          </w:tcPr>
          <w:p w14:paraId="71406869"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7173" w:type="dxa"/>
            <w:gridSpan w:val="8"/>
            <w:tcBorders>
              <w:bottom w:val="single" w:sz="4" w:space="0" w:color="auto"/>
            </w:tcBorders>
            <w:vAlign w:val="center"/>
          </w:tcPr>
          <w:p w14:paraId="4EF2737D" w14:textId="77777777" w:rsidR="00CF210D" w:rsidRPr="00CF210D" w:rsidRDefault="00CF210D" w:rsidP="00CF210D">
            <w:pPr>
              <w:spacing w:after="0" w:line="240" w:lineRule="auto"/>
              <w:ind w:firstLine="0"/>
              <w:jc w:val="center"/>
              <w:rPr>
                <w:rFonts w:ascii="Times New Roman" w:hAnsi="Times New Roman" w:cs="Times New Roman"/>
                <w:b/>
                <w:sz w:val="20"/>
                <w:szCs w:val="20"/>
                <w:lang w:eastAsia="en-GB"/>
              </w:rPr>
            </w:pPr>
            <w:r w:rsidRPr="00CF210D">
              <w:rPr>
                <w:rFonts w:ascii="Times New Roman" w:hAnsi="Times New Roman" w:cs="Times New Roman"/>
                <w:b/>
                <w:sz w:val="20"/>
                <w:szCs w:val="20"/>
                <w:lang w:eastAsia="en-GB"/>
              </w:rPr>
              <w:t>Unsecured debt</w:t>
            </w:r>
          </w:p>
        </w:tc>
        <w:tc>
          <w:tcPr>
            <w:tcW w:w="244" w:type="dxa"/>
            <w:vAlign w:val="center"/>
          </w:tcPr>
          <w:p w14:paraId="46455941"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256" w:type="dxa"/>
            <w:gridSpan w:val="2"/>
            <w:tcBorders>
              <w:bottom w:val="single" w:sz="4" w:space="0" w:color="auto"/>
            </w:tcBorders>
            <w:vAlign w:val="center"/>
          </w:tcPr>
          <w:p w14:paraId="6D7DDA18" w14:textId="77777777" w:rsidR="00CF210D" w:rsidRPr="00CF210D" w:rsidRDefault="00CF210D" w:rsidP="00CF210D">
            <w:pPr>
              <w:spacing w:after="0" w:line="240" w:lineRule="auto"/>
              <w:ind w:firstLine="0"/>
              <w:jc w:val="center"/>
              <w:rPr>
                <w:rFonts w:ascii="Times New Roman" w:hAnsi="Times New Roman" w:cs="Times New Roman"/>
                <w:b/>
                <w:sz w:val="20"/>
                <w:szCs w:val="20"/>
                <w:lang w:eastAsia="en-GB"/>
              </w:rPr>
            </w:pPr>
            <w:r w:rsidRPr="00CF210D">
              <w:rPr>
                <w:rFonts w:ascii="Times New Roman" w:hAnsi="Times New Roman" w:cs="Times New Roman"/>
                <w:b/>
                <w:sz w:val="20"/>
                <w:szCs w:val="20"/>
                <w:lang w:eastAsia="en-GB"/>
              </w:rPr>
              <w:t>Other</w:t>
            </w:r>
          </w:p>
        </w:tc>
      </w:tr>
      <w:tr w:rsidR="00CF210D" w:rsidRPr="00CF210D" w14:paraId="4E7DB6BD" w14:textId="77777777" w:rsidTr="006129E3">
        <w:trPr>
          <w:trHeight w:val="227"/>
          <w:jc w:val="center"/>
        </w:trPr>
        <w:tc>
          <w:tcPr>
            <w:tcW w:w="946" w:type="dxa"/>
            <w:tcBorders>
              <w:top w:val="single" w:sz="4" w:space="0" w:color="auto"/>
              <w:bottom w:val="single" w:sz="4" w:space="0" w:color="auto"/>
            </w:tcBorders>
            <w:vAlign w:val="center"/>
          </w:tcPr>
          <w:p w14:paraId="6A6D80D0" w14:textId="77777777" w:rsidR="00CF210D" w:rsidRPr="00CF210D" w:rsidRDefault="00CF210D" w:rsidP="00CF210D">
            <w:pPr>
              <w:spacing w:after="0" w:line="240" w:lineRule="auto"/>
              <w:ind w:firstLine="0"/>
              <w:jc w:val="left"/>
              <w:rPr>
                <w:rFonts w:ascii="Times New Roman" w:hAnsi="Times New Roman" w:cs="Times New Roman"/>
                <w:color w:val="000000" w:themeColor="text1"/>
                <w:sz w:val="20"/>
                <w:szCs w:val="20"/>
                <w:lang w:eastAsia="en-GB"/>
              </w:rPr>
            </w:pPr>
          </w:p>
        </w:tc>
        <w:tc>
          <w:tcPr>
            <w:tcW w:w="2259" w:type="dxa"/>
            <w:gridSpan w:val="2"/>
            <w:tcBorders>
              <w:top w:val="single" w:sz="4" w:space="0" w:color="auto"/>
              <w:bottom w:val="single" w:sz="4" w:space="0" w:color="auto"/>
            </w:tcBorders>
            <w:vAlign w:val="center"/>
          </w:tcPr>
          <w:p w14:paraId="05F39810"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By primary residence</w:t>
            </w:r>
          </w:p>
        </w:tc>
        <w:tc>
          <w:tcPr>
            <w:tcW w:w="244" w:type="dxa"/>
            <w:tcBorders>
              <w:top w:val="single" w:sz="4" w:space="0" w:color="auto"/>
              <w:bottom w:val="single" w:sz="4" w:space="0" w:color="auto"/>
            </w:tcBorders>
            <w:vAlign w:val="center"/>
          </w:tcPr>
          <w:p w14:paraId="6D1D51E3"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244" w:type="dxa"/>
            <w:gridSpan w:val="2"/>
            <w:tcBorders>
              <w:top w:val="single" w:sz="4" w:space="0" w:color="auto"/>
              <w:bottom w:val="single" w:sz="4" w:space="0" w:color="auto"/>
            </w:tcBorders>
            <w:vAlign w:val="center"/>
          </w:tcPr>
          <w:p w14:paraId="18DB5486"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By other property</w:t>
            </w:r>
          </w:p>
        </w:tc>
        <w:tc>
          <w:tcPr>
            <w:tcW w:w="244" w:type="dxa"/>
            <w:vAlign w:val="center"/>
          </w:tcPr>
          <w:p w14:paraId="31465140"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273" w:type="dxa"/>
            <w:gridSpan w:val="2"/>
            <w:tcBorders>
              <w:top w:val="single" w:sz="4" w:space="0" w:color="auto"/>
              <w:bottom w:val="single" w:sz="4" w:space="0" w:color="auto"/>
            </w:tcBorders>
            <w:vAlign w:val="center"/>
          </w:tcPr>
          <w:p w14:paraId="71A7E368"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Instalment debt</w:t>
            </w:r>
          </w:p>
        </w:tc>
        <w:tc>
          <w:tcPr>
            <w:tcW w:w="244" w:type="dxa"/>
            <w:tcBorders>
              <w:top w:val="single" w:sz="4" w:space="0" w:color="auto"/>
              <w:bottom w:val="single" w:sz="4" w:space="0" w:color="auto"/>
            </w:tcBorders>
            <w:vAlign w:val="center"/>
          </w:tcPr>
          <w:p w14:paraId="50CC00D8"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149" w:type="dxa"/>
            <w:gridSpan w:val="2"/>
            <w:tcBorders>
              <w:top w:val="single" w:sz="4" w:space="0" w:color="auto"/>
              <w:bottom w:val="single" w:sz="4" w:space="0" w:color="auto"/>
            </w:tcBorders>
            <w:vAlign w:val="center"/>
          </w:tcPr>
          <w:p w14:paraId="3D49463F"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Credit card balances</w:t>
            </w:r>
          </w:p>
        </w:tc>
        <w:tc>
          <w:tcPr>
            <w:tcW w:w="244" w:type="dxa"/>
            <w:tcBorders>
              <w:top w:val="single" w:sz="4" w:space="0" w:color="auto"/>
              <w:bottom w:val="single" w:sz="4" w:space="0" w:color="auto"/>
            </w:tcBorders>
            <w:vAlign w:val="center"/>
          </w:tcPr>
          <w:p w14:paraId="3F18A851"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263" w:type="dxa"/>
            <w:gridSpan w:val="2"/>
            <w:tcBorders>
              <w:top w:val="single" w:sz="4" w:space="0" w:color="auto"/>
              <w:bottom w:val="single" w:sz="4" w:space="0" w:color="auto"/>
            </w:tcBorders>
            <w:vAlign w:val="center"/>
          </w:tcPr>
          <w:p w14:paraId="2FFE0591"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Other unsecured lines of credit</w:t>
            </w:r>
          </w:p>
        </w:tc>
        <w:tc>
          <w:tcPr>
            <w:tcW w:w="244" w:type="dxa"/>
            <w:vAlign w:val="center"/>
          </w:tcPr>
          <w:p w14:paraId="3F2852DC"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p>
        </w:tc>
        <w:tc>
          <w:tcPr>
            <w:tcW w:w="2256" w:type="dxa"/>
            <w:gridSpan w:val="2"/>
            <w:tcBorders>
              <w:top w:val="single" w:sz="4" w:space="0" w:color="auto"/>
              <w:bottom w:val="single" w:sz="4" w:space="0" w:color="auto"/>
            </w:tcBorders>
            <w:vAlign w:val="center"/>
          </w:tcPr>
          <w:p w14:paraId="08FF8AD5"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sz w:val="20"/>
                <w:szCs w:val="20"/>
                <w:lang w:eastAsia="en-GB"/>
              </w:rPr>
              <w:t>Other debt</w:t>
            </w:r>
          </w:p>
        </w:tc>
      </w:tr>
      <w:tr w:rsidR="00CF210D" w:rsidRPr="00CF210D" w14:paraId="02A3E029" w14:textId="77777777" w:rsidTr="006129E3">
        <w:trPr>
          <w:trHeight w:val="227"/>
          <w:jc w:val="center"/>
        </w:trPr>
        <w:tc>
          <w:tcPr>
            <w:tcW w:w="946" w:type="dxa"/>
            <w:tcBorders>
              <w:top w:val="single" w:sz="4" w:space="0" w:color="auto"/>
            </w:tcBorders>
            <w:vAlign w:val="center"/>
          </w:tcPr>
          <w:p w14:paraId="47D854B0" w14:textId="77777777" w:rsidR="00CF210D" w:rsidRPr="00CF210D" w:rsidRDefault="00CF210D" w:rsidP="00CF210D">
            <w:pPr>
              <w:spacing w:after="0" w:line="240" w:lineRule="auto"/>
              <w:ind w:firstLine="0"/>
              <w:jc w:val="left"/>
              <w:rPr>
                <w:rFonts w:ascii="Times New Roman" w:hAnsi="Times New Roman" w:cs="Times New Roman"/>
                <w:color w:val="000000" w:themeColor="text1"/>
                <w:sz w:val="20"/>
                <w:szCs w:val="20"/>
                <w:lang w:eastAsia="en-GB"/>
              </w:rPr>
            </w:pPr>
          </w:p>
        </w:tc>
        <w:tc>
          <w:tcPr>
            <w:tcW w:w="914" w:type="dxa"/>
            <w:tcBorders>
              <w:top w:val="single" w:sz="4" w:space="0" w:color="auto"/>
            </w:tcBorders>
          </w:tcPr>
          <w:p w14:paraId="5135D09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345" w:type="dxa"/>
            <w:tcBorders>
              <w:top w:val="single" w:sz="4" w:space="0" w:color="auto"/>
            </w:tcBorders>
          </w:tcPr>
          <w:p w14:paraId="188FCC8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44" w:type="dxa"/>
            <w:tcBorders>
              <w:top w:val="single" w:sz="4" w:space="0" w:color="auto"/>
            </w:tcBorders>
          </w:tcPr>
          <w:p w14:paraId="5FA54BAD"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tcBorders>
              <w:top w:val="single" w:sz="4" w:space="0" w:color="auto"/>
            </w:tcBorders>
          </w:tcPr>
          <w:p w14:paraId="63550B6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214" w:type="dxa"/>
            <w:tcBorders>
              <w:top w:val="single" w:sz="4" w:space="0" w:color="auto"/>
            </w:tcBorders>
          </w:tcPr>
          <w:p w14:paraId="50A278C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44" w:type="dxa"/>
          </w:tcPr>
          <w:p w14:paraId="040063C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tcBorders>
              <w:top w:val="single" w:sz="4" w:space="0" w:color="auto"/>
            </w:tcBorders>
          </w:tcPr>
          <w:p w14:paraId="1DFFA77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243" w:type="dxa"/>
            <w:tcBorders>
              <w:top w:val="single" w:sz="4" w:space="0" w:color="auto"/>
            </w:tcBorders>
          </w:tcPr>
          <w:p w14:paraId="73C7B36D"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44" w:type="dxa"/>
            <w:tcBorders>
              <w:top w:val="single" w:sz="4" w:space="0" w:color="auto"/>
            </w:tcBorders>
          </w:tcPr>
          <w:p w14:paraId="4F3B55D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tcBorders>
              <w:top w:val="single" w:sz="4" w:space="0" w:color="auto"/>
            </w:tcBorders>
          </w:tcPr>
          <w:p w14:paraId="3258A25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119" w:type="dxa"/>
            <w:tcBorders>
              <w:top w:val="single" w:sz="4" w:space="0" w:color="auto"/>
            </w:tcBorders>
          </w:tcPr>
          <w:p w14:paraId="0D580AB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44" w:type="dxa"/>
            <w:tcBorders>
              <w:top w:val="single" w:sz="4" w:space="0" w:color="auto"/>
            </w:tcBorders>
          </w:tcPr>
          <w:p w14:paraId="05A0E48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tcBorders>
              <w:top w:val="single" w:sz="4" w:space="0" w:color="auto"/>
            </w:tcBorders>
          </w:tcPr>
          <w:p w14:paraId="086BF02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233" w:type="dxa"/>
            <w:tcBorders>
              <w:top w:val="single" w:sz="4" w:space="0" w:color="auto"/>
            </w:tcBorders>
          </w:tcPr>
          <w:p w14:paraId="2FE8CB3B"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c>
          <w:tcPr>
            <w:tcW w:w="244" w:type="dxa"/>
          </w:tcPr>
          <w:p w14:paraId="10C95FB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tcBorders>
              <w:top w:val="single" w:sz="4" w:space="0" w:color="auto"/>
            </w:tcBorders>
          </w:tcPr>
          <w:p w14:paraId="1869BBA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Holders</w:t>
            </w:r>
          </w:p>
        </w:tc>
        <w:tc>
          <w:tcPr>
            <w:tcW w:w="1226" w:type="dxa"/>
            <w:tcBorders>
              <w:top w:val="single" w:sz="4" w:space="0" w:color="auto"/>
            </w:tcBorders>
          </w:tcPr>
          <w:p w14:paraId="2B51F80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hAnsi="Times New Roman" w:cs="Times New Roman"/>
                <w:sz w:val="20"/>
                <w:szCs w:val="20"/>
                <w:lang w:eastAsia="en-GB"/>
              </w:rPr>
              <w:t>Mean</w:t>
            </w:r>
          </w:p>
        </w:tc>
      </w:tr>
      <w:tr w:rsidR="00CF210D" w:rsidRPr="00CF210D" w14:paraId="73571BD5" w14:textId="77777777" w:rsidTr="006129E3">
        <w:trPr>
          <w:trHeight w:val="227"/>
          <w:jc w:val="center"/>
        </w:trPr>
        <w:tc>
          <w:tcPr>
            <w:tcW w:w="946" w:type="dxa"/>
            <w:vAlign w:val="center"/>
          </w:tcPr>
          <w:p w14:paraId="63DB354C"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1989</w:t>
            </w:r>
          </w:p>
        </w:tc>
        <w:tc>
          <w:tcPr>
            <w:tcW w:w="914" w:type="dxa"/>
            <w:vAlign w:val="bottom"/>
          </w:tcPr>
          <w:p w14:paraId="6B988B7C"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39.5%</w:t>
            </w:r>
          </w:p>
        </w:tc>
        <w:tc>
          <w:tcPr>
            <w:tcW w:w="1345" w:type="dxa"/>
            <w:vAlign w:val="bottom"/>
          </w:tcPr>
          <w:p w14:paraId="562C13F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44,827.6</w:t>
            </w:r>
          </w:p>
        </w:tc>
        <w:tc>
          <w:tcPr>
            <w:tcW w:w="244" w:type="dxa"/>
          </w:tcPr>
          <w:p w14:paraId="74062D8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2C0CEB6F"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5.2%</w:t>
            </w:r>
          </w:p>
        </w:tc>
        <w:tc>
          <w:tcPr>
            <w:tcW w:w="1214" w:type="dxa"/>
            <w:vAlign w:val="bottom"/>
          </w:tcPr>
          <w:p w14:paraId="06B0CA1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5,016.6</w:t>
            </w:r>
          </w:p>
        </w:tc>
        <w:tc>
          <w:tcPr>
            <w:tcW w:w="244" w:type="dxa"/>
          </w:tcPr>
          <w:p w14:paraId="4745496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481E53C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49.4%</w:t>
            </w:r>
          </w:p>
        </w:tc>
        <w:tc>
          <w:tcPr>
            <w:tcW w:w="1243" w:type="dxa"/>
            <w:vAlign w:val="bottom"/>
          </w:tcPr>
          <w:p w14:paraId="4E80E53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10,878.6</w:t>
            </w:r>
          </w:p>
        </w:tc>
        <w:tc>
          <w:tcPr>
            <w:tcW w:w="244" w:type="dxa"/>
          </w:tcPr>
          <w:p w14:paraId="41E551DB"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15821C39"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39.7%</w:t>
            </w:r>
          </w:p>
        </w:tc>
        <w:tc>
          <w:tcPr>
            <w:tcW w:w="1119" w:type="dxa"/>
            <w:vAlign w:val="bottom"/>
          </w:tcPr>
          <w:p w14:paraId="3B816C2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1,873.0</w:t>
            </w:r>
          </w:p>
        </w:tc>
        <w:tc>
          <w:tcPr>
            <w:tcW w:w="244" w:type="dxa"/>
          </w:tcPr>
          <w:p w14:paraId="6F1E1B6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710D5FEE"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3.2%</w:t>
            </w:r>
          </w:p>
        </w:tc>
        <w:tc>
          <w:tcPr>
            <w:tcW w:w="1233" w:type="dxa"/>
            <w:vAlign w:val="bottom"/>
          </w:tcPr>
          <w:p w14:paraId="29262BDE"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1,209.7</w:t>
            </w:r>
          </w:p>
        </w:tc>
        <w:tc>
          <w:tcPr>
            <w:tcW w:w="244" w:type="dxa"/>
          </w:tcPr>
          <w:p w14:paraId="386DA79C"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61C3DBD8"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6.7%</w:t>
            </w:r>
          </w:p>
        </w:tc>
        <w:tc>
          <w:tcPr>
            <w:tcW w:w="1226" w:type="dxa"/>
            <w:vAlign w:val="bottom"/>
          </w:tcPr>
          <w:p w14:paraId="31D5D4F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1,516.0</w:t>
            </w:r>
          </w:p>
        </w:tc>
      </w:tr>
      <w:tr w:rsidR="00CF210D" w:rsidRPr="00CF210D" w14:paraId="38F14EAA" w14:textId="77777777" w:rsidTr="006129E3">
        <w:trPr>
          <w:trHeight w:val="227"/>
          <w:jc w:val="center"/>
        </w:trPr>
        <w:tc>
          <w:tcPr>
            <w:tcW w:w="946" w:type="dxa"/>
            <w:vAlign w:val="center"/>
          </w:tcPr>
          <w:p w14:paraId="6FD3A500"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1992</w:t>
            </w:r>
          </w:p>
        </w:tc>
        <w:tc>
          <w:tcPr>
            <w:tcW w:w="914" w:type="dxa"/>
            <w:vAlign w:val="bottom"/>
          </w:tcPr>
          <w:p w14:paraId="256DDD20"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39.1%</w:t>
            </w:r>
          </w:p>
        </w:tc>
        <w:tc>
          <w:tcPr>
            <w:tcW w:w="1345" w:type="dxa"/>
            <w:vAlign w:val="bottom"/>
          </w:tcPr>
          <w:p w14:paraId="02C8CC4D"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50,468.0</w:t>
            </w:r>
          </w:p>
        </w:tc>
        <w:tc>
          <w:tcPr>
            <w:tcW w:w="244" w:type="dxa"/>
          </w:tcPr>
          <w:p w14:paraId="6C5257D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2E02052B"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5.7%</w:t>
            </w:r>
          </w:p>
        </w:tc>
        <w:tc>
          <w:tcPr>
            <w:tcW w:w="1214" w:type="dxa"/>
            <w:vAlign w:val="bottom"/>
          </w:tcPr>
          <w:p w14:paraId="1E8D167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7,181.3</w:t>
            </w:r>
          </w:p>
        </w:tc>
        <w:tc>
          <w:tcPr>
            <w:tcW w:w="244" w:type="dxa"/>
          </w:tcPr>
          <w:p w14:paraId="25A3B6E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14ABEC46"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46.0%</w:t>
            </w:r>
          </w:p>
        </w:tc>
        <w:tc>
          <w:tcPr>
            <w:tcW w:w="1243" w:type="dxa"/>
            <w:vAlign w:val="bottom"/>
          </w:tcPr>
          <w:p w14:paraId="2293E9B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7,954.7</w:t>
            </w:r>
          </w:p>
        </w:tc>
        <w:tc>
          <w:tcPr>
            <w:tcW w:w="244" w:type="dxa"/>
          </w:tcPr>
          <w:p w14:paraId="1F78B78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75250DBB"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43.7%</w:t>
            </w:r>
          </w:p>
        </w:tc>
        <w:tc>
          <w:tcPr>
            <w:tcW w:w="1119" w:type="dxa"/>
            <w:vAlign w:val="bottom"/>
          </w:tcPr>
          <w:p w14:paraId="298CA36A"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2,242.5</w:t>
            </w:r>
          </w:p>
        </w:tc>
        <w:tc>
          <w:tcPr>
            <w:tcW w:w="244" w:type="dxa"/>
          </w:tcPr>
          <w:p w14:paraId="1365E351"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46CE4AAE"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2.4%</w:t>
            </w:r>
          </w:p>
        </w:tc>
        <w:tc>
          <w:tcPr>
            <w:tcW w:w="1233" w:type="dxa"/>
            <w:vAlign w:val="bottom"/>
          </w:tcPr>
          <w:p w14:paraId="7313CE26"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584.0</w:t>
            </w:r>
          </w:p>
        </w:tc>
        <w:tc>
          <w:tcPr>
            <w:tcW w:w="244" w:type="dxa"/>
          </w:tcPr>
          <w:p w14:paraId="59D878F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60A4C08B"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8.4%</w:t>
            </w:r>
          </w:p>
        </w:tc>
        <w:tc>
          <w:tcPr>
            <w:tcW w:w="1226" w:type="dxa"/>
            <w:vAlign w:val="bottom"/>
          </w:tcPr>
          <w:p w14:paraId="2B7B6C2A"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1,706.1</w:t>
            </w:r>
          </w:p>
        </w:tc>
      </w:tr>
      <w:tr w:rsidR="00CF210D" w:rsidRPr="00CF210D" w14:paraId="34D72AD7" w14:textId="77777777" w:rsidTr="006129E3">
        <w:trPr>
          <w:trHeight w:val="227"/>
          <w:jc w:val="center"/>
        </w:trPr>
        <w:tc>
          <w:tcPr>
            <w:tcW w:w="946" w:type="dxa"/>
            <w:vAlign w:val="center"/>
          </w:tcPr>
          <w:p w14:paraId="1C63AD92"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1995</w:t>
            </w:r>
          </w:p>
        </w:tc>
        <w:tc>
          <w:tcPr>
            <w:tcW w:w="914" w:type="dxa"/>
            <w:vAlign w:val="bottom"/>
          </w:tcPr>
          <w:p w14:paraId="37067D6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41.0%</w:t>
            </w:r>
          </w:p>
        </w:tc>
        <w:tc>
          <w:tcPr>
            <w:tcW w:w="1345" w:type="dxa"/>
            <w:vAlign w:val="bottom"/>
          </w:tcPr>
          <w:p w14:paraId="0F05973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53,949.1</w:t>
            </w:r>
          </w:p>
        </w:tc>
        <w:tc>
          <w:tcPr>
            <w:tcW w:w="244" w:type="dxa"/>
          </w:tcPr>
          <w:p w14:paraId="6486AE5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1DDAEA2B"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4.8%</w:t>
            </w:r>
          </w:p>
        </w:tc>
        <w:tc>
          <w:tcPr>
            <w:tcW w:w="1214" w:type="dxa"/>
            <w:vAlign w:val="bottom"/>
          </w:tcPr>
          <w:p w14:paraId="72562DB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5,830.5</w:t>
            </w:r>
          </w:p>
        </w:tc>
        <w:tc>
          <w:tcPr>
            <w:tcW w:w="244" w:type="dxa"/>
          </w:tcPr>
          <w:p w14:paraId="6F23B05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47321B08"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46.0%</w:t>
            </w:r>
          </w:p>
        </w:tc>
        <w:tc>
          <w:tcPr>
            <w:tcW w:w="1243" w:type="dxa"/>
            <w:vAlign w:val="bottom"/>
          </w:tcPr>
          <w:p w14:paraId="6843D8B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8,838.7</w:t>
            </w:r>
          </w:p>
        </w:tc>
        <w:tc>
          <w:tcPr>
            <w:tcW w:w="244" w:type="dxa"/>
          </w:tcPr>
          <w:p w14:paraId="0DDF053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3FD88D36"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47.3%</w:t>
            </w:r>
          </w:p>
        </w:tc>
        <w:tc>
          <w:tcPr>
            <w:tcW w:w="1119" w:type="dxa"/>
            <w:vAlign w:val="bottom"/>
          </w:tcPr>
          <w:p w14:paraId="71AE363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2,878.5</w:t>
            </w:r>
          </w:p>
        </w:tc>
        <w:tc>
          <w:tcPr>
            <w:tcW w:w="244" w:type="dxa"/>
          </w:tcPr>
          <w:p w14:paraId="4362E7DF"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446634A5"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1.9%</w:t>
            </w:r>
          </w:p>
        </w:tc>
        <w:tc>
          <w:tcPr>
            <w:tcW w:w="1233" w:type="dxa"/>
            <w:vAlign w:val="bottom"/>
          </w:tcPr>
          <w:p w14:paraId="1FFE8798"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422.7</w:t>
            </w:r>
          </w:p>
        </w:tc>
        <w:tc>
          <w:tcPr>
            <w:tcW w:w="244" w:type="dxa"/>
          </w:tcPr>
          <w:p w14:paraId="02A48A0B"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7D5087D5"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8.5%</w:t>
            </w:r>
          </w:p>
        </w:tc>
        <w:tc>
          <w:tcPr>
            <w:tcW w:w="1226" w:type="dxa"/>
            <w:vAlign w:val="bottom"/>
          </w:tcPr>
          <w:p w14:paraId="1577ED4C"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2,111.8</w:t>
            </w:r>
          </w:p>
        </w:tc>
      </w:tr>
      <w:tr w:rsidR="00CF210D" w:rsidRPr="00CF210D" w14:paraId="5D3A1BF4" w14:textId="77777777" w:rsidTr="006129E3">
        <w:trPr>
          <w:trHeight w:val="227"/>
          <w:jc w:val="center"/>
        </w:trPr>
        <w:tc>
          <w:tcPr>
            <w:tcW w:w="946" w:type="dxa"/>
            <w:vAlign w:val="center"/>
          </w:tcPr>
          <w:p w14:paraId="3D9356B8"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1998</w:t>
            </w:r>
          </w:p>
        </w:tc>
        <w:tc>
          <w:tcPr>
            <w:tcW w:w="914" w:type="dxa"/>
            <w:vAlign w:val="bottom"/>
          </w:tcPr>
          <w:p w14:paraId="587297CD"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43.1%</w:t>
            </w:r>
          </w:p>
        </w:tc>
        <w:tc>
          <w:tcPr>
            <w:tcW w:w="1345" w:type="dxa"/>
            <w:vAlign w:val="bottom"/>
          </w:tcPr>
          <w:p w14:paraId="3F366DD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64,633.1</w:t>
            </w:r>
          </w:p>
        </w:tc>
        <w:tc>
          <w:tcPr>
            <w:tcW w:w="244" w:type="dxa"/>
          </w:tcPr>
          <w:p w14:paraId="262086D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48E155EC"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5.0%</w:t>
            </w:r>
          </w:p>
        </w:tc>
        <w:tc>
          <w:tcPr>
            <w:tcW w:w="1214" w:type="dxa"/>
            <w:vAlign w:val="bottom"/>
          </w:tcPr>
          <w:p w14:paraId="07AA0F9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6,840.6</w:t>
            </w:r>
          </w:p>
        </w:tc>
        <w:tc>
          <w:tcPr>
            <w:tcW w:w="244" w:type="dxa"/>
          </w:tcPr>
          <w:p w14:paraId="2224A09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7231BC69"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43.8%</w:t>
            </w:r>
          </w:p>
        </w:tc>
        <w:tc>
          <w:tcPr>
            <w:tcW w:w="1243" w:type="dxa"/>
            <w:vAlign w:val="bottom"/>
          </w:tcPr>
          <w:p w14:paraId="7915F62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12,025.3</w:t>
            </w:r>
          </w:p>
        </w:tc>
        <w:tc>
          <w:tcPr>
            <w:tcW w:w="244" w:type="dxa"/>
          </w:tcPr>
          <w:p w14:paraId="5A908F6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76DB4C65"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44.1%</w:t>
            </w:r>
          </w:p>
        </w:tc>
        <w:tc>
          <w:tcPr>
            <w:tcW w:w="1119" w:type="dxa"/>
            <w:vAlign w:val="bottom"/>
          </w:tcPr>
          <w:p w14:paraId="560EABF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3,508.3</w:t>
            </w:r>
          </w:p>
        </w:tc>
        <w:tc>
          <w:tcPr>
            <w:tcW w:w="244" w:type="dxa"/>
          </w:tcPr>
          <w:p w14:paraId="0BE6E9BC"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34A19914"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2.3%</w:t>
            </w:r>
          </w:p>
        </w:tc>
        <w:tc>
          <w:tcPr>
            <w:tcW w:w="1233" w:type="dxa"/>
            <w:vAlign w:val="bottom"/>
          </w:tcPr>
          <w:p w14:paraId="367A6E8E"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302.2</w:t>
            </w:r>
          </w:p>
        </w:tc>
        <w:tc>
          <w:tcPr>
            <w:tcW w:w="244" w:type="dxa"/>
          </w:tcPr>
          <w:p w14:paraId="11F012B5"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420A6A6B"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8.8%</w:t>
            </w:r>
          </w:p>
        </w:tc>
        <w:tc>
          <w:tcPr>
            <w:tcW w:w="1226" w:type="dxa"/>
            <w:vAlign w:val="bottom"/>
          </w:tcPr>
          <w:p w14:paraId="24A15B59"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3,385.9</w:t>
            </w:r>
          </w:p>
        </w:tc>
      </w:tr>
      <w:tr w:rsidR="00CF210D" w:rsidRPr="00CF210D" w14:paraId="607FADF1" w14:textId="77777777" w:rsidTr="006129E3">
        <w:trPr>
          <w:trHeight w:val="227"/>
          <w:jc w:val="center"/>
        </w:trPr>
        <w:tc>
          <w:tcPr>
            <w:tcW w:w="946" w:type="dxa"/>
            <w:vAlign w:val="center"/>
          </w:tcPr>
          <w:p w14:paraId="194F4971"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2001</w:t>
            </w:r>
          </w:p>
        </w:tc>
        <w:tc>
          <w:tcPr>
            <w:tcW w:w="914" w:type="dxa"/>
            <w:vAlign w:val="bottom"/>
          </w:tcPr>
          <w:p w14:paraId="11C139D0"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44.6%</w:t>
            </w:r>
          </w:p>
        </w:tc>
        <w:tc>
          <w:tcPr>
            <w:tcW w:w="1345" w:type="dxa"/>
            <w:vAlign w:val="bottom"/>
          </w:tcPr>
          <w:p w14:paraId="3CD3982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71,679.9</w:t>
            </w:r>
          </w:p>
        </w:tc>
        <w:tc>
          <w:tcPr>
            <w:tcW w:w="244" w:type="dxa"/>
          </w:tcPr>
          <w:p w14:paraId="1C812E3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22D5EAB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4.6%</w:t>
            </w:r>
          </w:p>
        </w:tc>
        <w:tc>
          <w:tcPr>
            <w:tcW w:w="1214" w:type="dxa"/>
            <w:vAlign w:val="bottom"/>
          </w:tcPr>
          <w:p w14:paraId="039A2AF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5,904.9</w:t>
            </w:r>
          </w:p>
        </w:tc>
        <w:tc>
          <w:tcPr>
            <w:tcW w:w="244" w:type="dxa"/>
          </w:tcPr>
          <w:p w14:paraId="4C6E762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44B7BA1E"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45.2%</w:t>
            </w:r>
          </w:p>
        </w:tc>
        <w:tc>
          <w:tcPr>
            <w:tcW w:w="1243" w:type="dxa"/>
            <w:vAlign w:val="bottom"/>
          </w:tcPr>
          <w:p w14:paraId="576BE5B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11,781.0</w:t>
            </w:r>
          </w:p>
        </w:tc>
        <w:tc>
          <w:tcPr>
            <w:tcW w:w="244" w:type="dxa"/>
          </w:tcPr>
          <w:p w14:paraId="61588EF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1D72AD99"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44.4%</w:t>
            </w:r>
          </w:p>
        </w:tc>
        <w:tc>
          <w:tcPr>
            <w:tcW w:w="1119" w:type="dxa"/>
            <w:vAlign w:val="bottom"/>
          </w:tcPr>
          <w:p w14:paraId="537A7BB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3,211.2</w:t>
            </w:r>
          </w:p>
        </w:tc>
        <w:tc>
          <w:tcPr>
            <w:tcW w:w="244" w:type="dxa"/>
          </w:tcPr>
          <w:p w14:paraId="1CE8A047"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23598F3F"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1.5%</w:t>
            </w:r>
          </w:p>
        </w:tc>
        <w:tc>
          <w:tcPr>
            <w:tcW w:w="1233" w:type="dxa"/>
            <w:vAlign w:val="bottom"/>
          </w:tcPr>
          <w:p w14:paraId="3DD93A5B"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483.3</w:t>
            </w:r>
          </w:p>
        </w:tc>
        <w:tc>
          <w:tcPr>
            <w:tcW w:w="244" w:type="dxa"/>
          </w:tcPr>
          <w:p w14:paraId="51A08010"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155DB8D6"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7.2%</w:t>
            </w:r>
          </w:p>
        </w:tc>
        <w:tc>
          <w:tcPr>
            <w:tcW w:w="1226" w:type="dxa"/>
            <w:vAlign w:val="bottom"/>
          </w:tcPr>
          <w:p w14:paraId="4788A71C"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2,224.5</w:t>
            </w:r>
          </w:p>
        </w:tc>
      </w:tr>
      <w:tr w:rsidR="00CF210D" w:rsidRPr="00CF210D" w14:paraId="6DEBDE63" w14:textId="77777777" w:rsidTr="006129E3">
        <w:trPr>
          <w:trHeight w:val="227"/>
          <w:jc w:val="center"/>
        </w:trPr>
        <w:tc>
          <w:tcPr>
            <w:tcW w:w="946" w:type="dxa"/>
            <w:vAlign w:val="center"/>
          </w:tcPr>
          <w:p w14:paraId="1D40EF6A"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2004</w:t>
            </w:r>
          </w:p>
        </w:tc>
        <w:tc>
          <w:tcPr>
            <w:tcW w:w="914" w:type="dxa"/>
            <w:vAlign w:val="bottom"/>
          </w:tcPr>
          <w:p w14:paraId="5F2D6875"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47.9%</w:t>
            </w:r>
          </w:p>
        </w:tc>
        <w:tc>
          <w:tcPr>
            <w:tcW w:w="1345" w:type="dxa"/>
            <w:vAlign w:val="bottom"/>
          </w:tcPr>
          <w:p w14:paraId="6C0D3E1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95,774.1</w:t>
            </w:r>
          </w:p>
        </w:tc>
        <w:tc>
          <w:tcPr>
            <w:tcW w:w="244" w:type="dxa"/>
          </w:tcPr>
          <w:p w14:paraId="5315217F"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6CB2F740"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4.0%</w:t>
            </w:r>
          </w:p>
        </w:tc>
        <w:tc>
          <w:tcPr>
            <w:tcW w:w="1214" w:type="dxa"/>
            <w:vAlign w:val="bottom"/>
          </w:tcPr>
          <w:p w14:paraId="28C4449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11,086.3</w:t>
            </w:r>
          </w:p>
        </w:tc>
        <w:tc>
          <w:tcPr>
            <w:tcW w:w="244" w:type="dxa"/>
          </w:tcPr>
          <w:p w14:paraId="0C8835E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608827EB"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46.0%</w:t>
            </w:r>
          </w:p>
        </w:tc>
        <w:tc>
          <w:tcPr>
            <w:tcW w:w="1243" w:type="dxa"/>
            <w:vAlign w:val="bottom"/>
          </w:tcPr>
          <w:p w14:paraId="6270562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13,930.6</w:t>
            </w:r>
          </w:p>
        </w:tc>
        <w:tc>
          <w:tcPr>
            <w:tcW w:w="244" w:type="dxa"/>
          </w:tcPr>
          <w:p w14:paraId="0AA5488C"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01DCCF72"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46.2%</w:t>
            </w:r>
          </w:p>
        </w:tc>
        <w:tc>
          <w:tcPr>
            <w:tcW w:w="1119" w:type="dxa"/>
            <w:vAlign w:val="bottom"/>
          </w:tcPr>
          <w:p w14:paraId="0F0EFED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3,826.5</w:t>
            </w:r>
          </w:p>
        </w:tc>
        <w:tc>
          <w:tcPr>
            <w:tcW w:w="244" w:type="dxa"/>
          </w:tcPr>
          <w:p w14:paraId="4D524675"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6865DFA0"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1.6%</w:t>
            </w:r>
          </w:p>
        </w:tc>
        <w:tc>
          <w:tcPr>
            <w:tcW w:w="1233" w:type="dxa"/>
            <w:vAlign w:val="bottom"/>
          </w:tcPr>
          <w:p w14:paraId="2740F743"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915.6</w:t>
            </w:r>
          </w:p>
        </w:tc>
        <w:tc>
          <w:tcPr>
            <w:tcW w:w="244" w:type="dxa"/>
          </w:tcPr>
          <w:p w14:paraId="025A7BAB"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6446F6AE"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7.6%</w:t>
            </w:r>
          </w:p>
        </w:tc>
        <w:tc>
          <w:tcPr>
            <w:tcW w:w="1226" w:type="dxa"/>
            <w:vAlign w:val="bottom"/>
          </w:tcPr>
          <w:p w14:paraId="11726DD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2,058.8</w:t>
            </w:r>
          </w:p>
        </w:tc>
      </w:tr>
      <w:tr w:rsidR="00CF210D" w:rsidRPr="00CF210D" w14:paraId="592658B5" w14:textId="77777777" w:rsidTr="006129E3">
        <w:trPr>
          <w:trHeight w:val="227"/>
          <w:jc w:val="center"/>
        </w:trPr>
        <w:tc>
          <w:tcPr>
            <w:tcW w:w="946" w:type="dxa"/>
            <w:vAlign w:val="center"/>
          </w:tcPr>
          <w:p w14:paraId="0CBF78A6"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2007</w:t>
            </w:r>
          </w:p>
        </w:tc>
        <w:tc>
          <w:tcPr>
            <w:tcW w:w="914" w:type="dxa"/>
            <w:vAlign w:val="bottom"/>
          </w:tcPr>
          <w:p w14:paraId="2884355F"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48.7%</w:t>
            </w:r>
          </w:p>
        </w:tc>
        <w:tc>
          <w:tcPr>
            <w:tcW w:w="1345" w:type="dxa"/>
            <w:vAlign w:val="bottom"/>
          </w:tcPr>
          <w:p w14:paraId="730058C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105,610.6</w:t>
            </w:r>
          </w:p>
        </w:tc>
        <w:tc>
          <w:tcPr>
            <w:tcW w:w="244" w:type="dxa"/>
          </w:tcPr>
          <w:p w14:paraId="6F5A86E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7EF67088"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5.5%</w:t>
            </w:r>
          </w:p>
        </w:tc>
        <w:tc>
          <w:tcPr>
            <w:tcW w:w="1214" w:type="dxa"/>
            <w:vAlign w:val="bottom"/>
          </w:tcPr>
          <w:p w14:paraId="4F48142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14,359.6</w:t>
            </w:r>
          </w:p>
        </w:tc>
        <w:tc>
          <w:tcPr>
            <w:tcW w:w="244" w:type="dxa"/>
          </w:tcPr>
          <w:p w14:paraId="1B3A1B0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1F2B7C84"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46.9%</w:t>
            </w:r>
          </w:p>
        </w:tc>
        <w:tc>
          <w:tcPr>
            <w:tcW w:w="1243" w:type="dxa"/>
            <w:vAlign w:val="bottom"/>
          </w:tcPr>
          <w:p w14:paraId="6254846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14,478.1</w:t>
            </w:r>
          </w:p>
        </w:tc>
        <w:tc>
          <w:tcPr>
            <w:tcW w:w="244" w:type="dxa"/>
          </w:tcPr>
          <w:p w14:paraId="5F695DC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68408C9D"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46.1%</w:t>
            </w:r>
          </w:p>
        </w:tc>
        <w:tc>
          <w:tcPr>
            <w:tcW w:w="1119" w:type="dxa"/>
            <w:vAlign w:val="bottom"/>
          </w:tcPr>
          <w:p w14:paraId="0F5F48A4"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4,922.0</w:t>
            </w:r>
          </w:p>
        </w:tc>
        <w:tc>
          <w:tcPr>
            <w:tcW w:w="244" w:type="dxa"/>
          </w:tcPr>
          <w:p w14:paraId="55727ABE"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23DBA996"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1.7%</w:t>
            </w:r>
          </w:p>
        </w:tc>
        <w:tc>
          <w:tcPr>
            <w:tcW w:w="1233" w:type="dxa"/>
            <w:vAlign w:val="bottom"/>
          </w:tcPr>
          <w:p w14:paraId="3D059BCF"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606.6</w:t>
            </w:r>
          </w:p>
        </w:tc>
        <w:tc>
          <w:tcPr>
            <w:tcW w:w="244" w:type="dxa"/>
          </w:tcPr>
          <w:p w14:paraId="1B373682"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3032D8B1"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6.8%</w:t>
            </w:r>
          </w:p>
        </w:tc>
        <w:tc>
          <w:tcPr>
            <w:tcW w:w="1226" w:type="dxa"/>
            <w:vAlign w:val="bottom"/>
          </w:tcPr>
          <w:p w14:paraId="29AFD25F"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1,526.1</w:t>
            </w:r>
          </w:p>
        </w:tc>
      </w:tr>
      <w:tr w:rsidR="00CF210D" w:rsidRPr="00CF210D" w14:paraId="5A36F82F" w14:textId="77777777" w:rsidTr="006129E3">
        <w:trPr>
          <w:trHeight w:val="227"/>
          <w:jc w:val="center"/>
        </w:trPr>
        <w:tc>
          <w:tcPr>
            <w:tcW w:w="946" w:type="dxa"/>
            <w:vAlign w:val="center"/>
          </w:tcPr>
          <w:p w14:paraId="2F25FB8F" w14:textId="77777777" w:rsidR="00CF210D" w:rsidRPr="00CF210D" w:rsidRDefault="00CF210D" w:rsidP="00CF210D">
            <w:pPr>
              <w:spacing w:after="0" w:line="240" w:lineRule="auto"/>
              <w:ind w:firstLine="0"/>
              <w:jc w:val="center"/>
              <w:rPr>
                <w:rFonts w:ascii="Times New Roman" w:hAnsi="Times New Roman" w:cs="Times New Roman"/>
                <w:sz w:val="20"/>
                <w:szCs w:val="20"/>
                <w:lang w:eastAsia="en-GB"/>
              </w:rPr>
            </w:pPr>
            <w:r w:rsidRPr="00CF210D">
              <w:rPr>
                <w:rFonts w:ascii="Times New Roman" w:hAnsi="Times New Roman" w:cs="Times New Roman"/>
                <w:color w:val="000000" w:themeColor="text1"/>
                <w:sz w:val="20"/>
                <w:szCs w:val="20"/>
                <w:lang w:eastAsia="en-GB"/>
              </w:rPr>
              <w:t>2010</w:t>
            </w:r>
          </w:p>
        </w:tc>
        <w:tc>
          <w:tcPr>
            <w:tcW w:w="914" w:type="dxa"/>
            <w:vAlign w:val="bottom"/>
          </w:tcPr>
          <w:p w14:paraId="5F3074B0"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47.0%</w:t>
            </w:r>
          </w:p>
        </w:tc>
        <w:tc>
          <w:tcPr>
            <w:tcW w:w="1345" w:type="dxa"/>
            <w:vAlign w:val="bottom"/>
          </w:tcPr>
          <w:p w14:paraId="60F978AD"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103,540.5</w:t>
            </w:r>
          </w:p>
        </w:tc>
        <w:tc>
          <w:tcPr>
            <w:tcW w:w="244" w:type="dxa"/>
          </w:tcPr>
          <w:p w14:paraId="5D975E8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131297DF"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5.4%</w:t>
            </w:r>
          </w:p>
        </w:tc>
        <w:tc>
          <w:tcPr>
            <w:tcW w:w="1214" w:type="dxa"/>
            <w:vAlign w:val="bottom"/>
          </w:tcPr>
          <w:p w14:paraId="4B590148"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13,651.4</w:t>
            </w:r>
          </w:p>
        </w:tc>
        <w:tc>
          <w:tcPr>
            <w:tcW w:w="244" w:type="dxa"/>
          </w:tcPr>
          <w:p w14:paraId="3092F4A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10BFBDA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46.4%</w:t>
            </w:r>
          </w:p>
        </w:tc>
        <w:tc>
          <w:tcPr>
            <w:tcW w:w="1243" w:type="dxa"/>
            <w:vAlign w:val="bottom"/>
          </w:tcPr>
          <w:p w14:paraId="26DB5822"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15,566.9</w:t>
            </w:r>
          </w:p>
        </w:tc>
        <w:tc>
          <w:tcPr>
            <w:tcW w:w="244" w:type="dxa"/>
          </w:tcPr>
          <w:p w14:paraId="47D0C720"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vAlign w:val="bottom"/>
          </w:tcPr>
          <w:p w14:paraId="2F73E800"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39.4%</w:t>
            </w:r>
          </w:p>
        </w:tc>
        <w:tc>
          <w:tcPr>
            <w:tcW w:w="1119" w:type="dxa"/>
            <w:vAlign w:val="bottom"/>
          </w:tcPr>
          <w:p w14:paraId="0C980585"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3,991.7</w:t>
            </w:r>
          </w:p>
        </w:tc>
        <w:tc>
          <w:tcPr>
            <w:tcW w:w="244" w:type="dxa"/>
          </w:tcPr>
          <w:p w14:paraId="3F1877AA"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28B37F03"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2.1%</w:t>
            </w:r>
          </w:p>
        </w:tc>
        <w:tc>
          <w:tcPr>
            <w:tcW w:w="1233" w:type="dxa"/>
            <w:vAlign w:val="bottom"/>
          </w:tcPr>
          <w:p w14:paraId="091C7028"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1,409.4</w:t>
            </w:r>
          </w:p>
        </w:tc>
        <w:tc>
          <w:tcPr>
            <w:tcW w:w="244" w:type="dxa"/>
          </w:tcPr>
          <w:p w14:paraId="23076EBF"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vAlign w:val="bottom"/>
          </w:tcPr>
          <w:p w14:paraId="6F306269"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6.4%</w:t>
            </w:r>
          </w:p>
        </w:tc>
        <w:tc>
          <w:tcPr>
            <w:tcW w:w="1226" w:type="dxa"/>
            <w:vAlign w:val="bottom"/>
          </w:tcPr>
          <w:p w14:paraId="2E3C4BDC"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1,462.6</w:t>
            </w:r>
          </w:p>
        </w:tc>
      </w:tr>
      <w:tr w:rsidR="00CF210D" w:rsidRPr="00CF210D" w14:paraId="65E4FEA1" w14:textId="77777777" w:rsidTr="006129E3">
        <w:trPr>
          <w:trHeight w:val="227"/>
          <w:jc w:val="center"/>
        </w:trPr>
        <w:tc>
          <w:tcPr>
            <w:tcW w:w="946" w:type="dxa"/>
            <w:tcBorders>
              <w:bottom w:val="single" w:sz="4" w:space="0" w:color="auto"/>
            </w:tcBorders>
            <w:vAlign w:val="center"/>
          </w:tcPr>
          <w:p w14:paraId="09DC04EF" w14:textId="77777777" w:rsidR="00CF210D" w:rsidRPr="00CF210D" w:rsidRDefault="00CF210D" w:rsidP="00CF210D">
            <w:pPr>
              <w:spacing w:after="0" w:line="240" w:lineRule="auto"/>
              <w:ind w:firstLine="0"/>
              <w:jc w:val="center"/>
              <w:rPr>
                <w:rFonts w:ascii="Times New Roman" w:hAnsi="Times New Roman" w:cs="Times New Roman"/>
                <w:color w:val="000000" w:themeColor="text1"/>
                <w:sz w:val="20"/>
                <w:szCs w:val="20"/>
                <w:lang w:eastAsia="en-GB"/>
              </w:rPr>
            </w:pPr>
            <w:r w:rsidRPr="00CF210D">
              <w:rPr>
                <w:rFonts w:ascii="Times New Roman" w:hAnsi="Times New Roman" w:cs="Times New Roman"/>
                <w:color w:val="000000" w:themeColor="text1"/>
                <w:sz w:val="20"/>
                <w:szCs w:val="20"/>
                <w:lang w:eastAsia="en-GB"/>
              </w:rPr>
              <w:t>2013</w:t>
            </w:r>
          </w:p>
        </w:tc>
        <w:tc>
          <w:tcPr>
            <w:tcW w:w="914" w:type="dxa"/>
            <w:tcBorders>
              <w:bottom w:val="single" w:sz="4" w:space="0" w:color="auto"/>
            </w:tcBorders>
            <w:vAlign w:val="bottom"/>
          </w:tcPr>
          <w:p w14:paraId="58B600D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42.9%</w:t>
            </w:r>
          </w:p>
        </w:tc>
        <w:tc>
          <w:tcPr>
            <w:tcW w:w="1345" w:type="dxa"/>
            <w:tcBorders>
              <w:bottom w:val="single" w:sz="4" w:space="0" w:color="auto"/>
            </w:tcBorders>
            <w:vAlign w:val="bottom"/>
          </w:tcPr>
          <w:p w14:paraId="594B24E6"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90,180.1</w:t>
            </w:r>
          </w:p>
        </w:tc>
        <w:tc>
          <w:tcPr>
            <w:tcW w:w="244" w:type="dxa"/>
            <w:tcBorders>
              <w:bottom w:val="single" w:sz="4" w:space="0" w:color="auto"/>
            </w:tcBorders>
          </w:tcPr>
          <w:p w14:paraId="32D381DE"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tcBorders>
              <w:bottom w:val="single" w:sz="4" w:space="0" w:color="auto"/>
            </w:tcBorders>
            <w:vAlign w:val="bottom"/>
          </w:tcPr>
          <w:p w14:paraId="7729F437"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5.3%</w:t>
            </w:r>
          </w:p>
        </w:tc>
        <w:tc>
          <w:tcPr>
            <w:tcW w:w="1214" w:type="dxa"/>
            <w:tcBorders>
              <w:bottom w:val="single" w:sz="4" w:space="0" w:color="auto"/>
            </w:tcBorders>
            <w:vAlign w:val="bottom"/>
          </w:tcPr>
          <w:p w14:paraId="1F8AE8A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10,987.6</w:t>
            </w:r>
          </w:p>
        </w:tc>
        <w:tc>
          <w:tcPr>
            <w:tcW w:w="244" w:type="dxa"/>
          </w:tcPr>
          <w:p w14:paraId="2F0B2BB3"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tcBorders>
              <w:bottom w:val="single" w:sz="4" w:space="0" w:color="auto"/>
            </w:tcBorders>
            <w:vAlign w:val="bottom"/>
          </w:tcPr>
          <w:p w14:paraId="5A98493E"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47.2%</w:t>
            </w:r>
          </w:p>
        </w:tc>
        <w:tc>
          <w:tcPr>
            <w:tcW w:w="1243" w:type="dxa"/>
            <w:tcBorders>
              <w:bottom w:val="single" w:sz="4" w:space="0" w:color="auto"/>
            </w:tcBorders>
            <w:vAlign w:val="bottom"/>
          </w:tcPr>
          <w:p w14:paraId="1F3EB9D9"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15,999.4</w:t>
            </w:r>
          </w:p>
        </w:tc>
        <w:tc>
          <w:tcPr>
            <w:tcW w:w="244" w:type="dxa"/>
            <w:tcBorders>
              <w:bottom w:val="single" w:sz="4" w:space="0" w:color="auto"/>
            </w:tcBorders>
          </w:tcPr>
          <w:p w14:paraId="446C8A01"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p>
        </w:tc>
        <w:tc>
          <w:tcPr>
            <w:tcW w:w="1030" w:type="dxa"/>
            <w:tcBorders>
              <w:bottom w:val="single" w:sz="4" w:space="0" w:color="auto"/>
            </w:tcBorders>
            <w:vAlign w:val="bottom"/>
          </w:tcPr>
          <w:p w14:paraId="12F72FD8" w14:textId="77777777" w:rsidR="00CF210D" w:rsidRPr="00CF210D" w:rsidRDefault="00CF210D" w:rsidP="00CF210D">
            <w:pPr>
              <w:spacing w:after="0" w:line="240" w:lineRule="auto"/>
              <w:ind w:firstLine="0"/>
              <w:jc w:val="righ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38.1%</w:t>
            </w:r>
          </w:p>
        </w:tc>
        <w:tc>
          <w:tcPr>
            <w:tcW w:w="1119" w:type="dxa"/>
            <w:tcBorders>
              <w:bottom w:val="single" w:sz="4" w:space="0" w:color="auto"/>
            </w:tcBorders>
            <w:vAlign w:val="bottom"/>
          </w:tcPr>
          <w:p w14:paraId="2FF31F07" w14:textId="77777777" w:rsidR="00CF210D" w:rsidRPr="00CF210D" w:rsidRDefault="00CF210D" w:rsidP="00CF210D">
            <w:pPr>
              <w:spacing w:after="0" w:line="240" w:lineRule="auto"/>
              <w:ind w:firstLine="0"/>
              <w:jc w:val="left"/>
              <w:rPr>
                <w:rFonts w:ascii="Times New Roman" w:hAnsi="Times New Roman" w:cs="Times New Roman"/>
                <w:sz w:val="20"/>
                <w:szCs w:val="20"/>
                <w:lang w:eastAsia="en-GB"/>
              </w:rPr>
            </w:pPr>
            <w:r w:rsidRPr="00CF210D">
              <w:rPr>
                <w:rFonts w:ascii="Times New Roman" w:eastAsia="Times New Roman" w:hAnsi="Times New Roman" w:cs="Times New Roman"/>
                <w:color w:val="000000"/>
                <w:sz w:val="20"/>
                <w:szCs w:val="20"/>
                <w:lang w:eastAsia="en-GB"/>
              </w:rPr>
              <w:t>2,931.6</w:t>
            </w:r>
          </w:p>
        </w:tc>
        <w:tc>
          <w:tcPr>
            <w:tcW w:w="244" w:type="dxa"/>
            <w:tcBorders>
              <w:bottom w:val="single" w:sz="4" w:space="0" w:color="auto"/>
            </w:tcBorders>
          </w:tcPr>
          <w:p w14:paraId="1CFA13CE"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tcBorders>
              <w:bottom w:val="single" w:sz="4" w:space="0" w:color="auto"/>
            </w:tcBorders>
            <w:vAlign w:val="bottom"/>
          </w:tcPr>
          <w:p w14:paraId="40D68B85"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1.9%</w:t>
            </w:r>
          </w:p>
        </w:tc>
        <w:tc>
          <w:tcPr>
            <w:tcW w:w="1233" w:type="dxa"/>
            <w:tcBorders>
              <w:bottom w:val="single" w:sz="4" w:space="0" w:color="auto"/>
            </w:tcBorders>
            <w:vAlign w:val="bottom"/>
          </w:tcPr>
          <w:p w14:paraId="01B34450"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880.9</w:t>
            </w:r>
          </w:p>
        </w:tc>
        <w:tc>
          <w:tcPr>
            <w:tcW w:w="244" w:type="dxa"/>
          </w:tcPr>
          <w:p w14:paraId="5550601E"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p>
        </w:tc>
        <w:tc>
          <w:tcPr>
            <w:tcW w:w="1030" w:type="dxa"/>
            <w:tcBorders>
              <w:bottom w:val="single" w:sz="4" w:space="0" w:color="auto"/>
            </w:tcBorders>
            <w:vAlign w:val="bottom"/>
          </w:tcPr>
          <w:p w14:paraId="07843B71" w14:textId="77777777" w:rsidR="00CF210D" w:rsidRPr="00CF210D" w:rsidRDefault="00CF210D" w:rsidP="00CF210D">
            <w:pPr>
              <w:spacing w:after="0" w:line="240" w:lineRule="auto"/>
              <w:ind w:firstLine="0"/>
              <w:jc w:val="righ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6.6%</w:t>
            </w:r>
          </w:p>
        </w:tc>
        <w:tc>
          <w:tcPr>
            <w:tcW w:w="1226" w:type="dxa"/>
            <w:tcBorders>
              <w:bottom w:val="single" w:sz="4" w:space="0" w:color="auto"/>
            </w:tcBorders>
            <w:vAlign w:val="bottom"/>
          </w:tcPr>
          <w:p w14:paraId="76E90EAD" w14:textId="77777777" w:rsidR="00CF210D" w:rsidRPr="00CF210D" w:rsidRDefault="00CF210D" w:rsidP="00CF210D">
            <w:pPr>
              <w:spacing w:after="0" w:line="240" w:lineRule="auto"/>
              <w:ind w:firstLine="0"/>
              <w:jc w:val="left"/>
              <w:rPr>
                <w:rFonts w:ascii="Times New Roman" w:eastAsia="Times New Roman" w:hAnsi="Times New Roman" w:cs="Times New Roman"/>
                <w:color w:val="000000"/>
                <w:sz w:val="20"/>
                <w:szCs w:val="20"/>
                <w:lang w:eastAsia="en-GB"/>
              </w:rPr>
            </w:pPr>
            <w:r w:rsidRPr="00CF210D">
              <w:rPr>
                <w:rFonts w:ascii="Times New Roman" w:eastAsia="Times New Roman" w:hAnsi="Times New Roman" w:cs="Times New Roman"/>
                <w:color w:val="000000"/>
                <w:sz w:val="20"/>
                <w:szCs w:val="20"/>
                <w:lang w:eastAsia="en-GB"/>
              </w:rPr>
              <w:t>1,288.4</w:t>
            </w:r>
          </w:p>
        </w:tc>
      </w:tr>
    </w:tbl>
    <w:p w14:paraId="224F25F4" w14:textId="773FCFCA" w:rsidR="00CF210D" w:rsidRPr="00CF210D" w:rsidRDefault="00CF210D" w:rsidP="00CF210D">
      <w:pPr>
        <w:spacing w:after="0" w:line="240" w:lineRule="auto"/>
        <w:ind w:firstLine="0"/>
        <w:jc w:val="center"/>
        <w:rPr>
          <w:rFonts w:ascii="Times New Roman" w:hAnsi="Times New Roman" w:cs="Times New Roman"/>
          <w:sz w:val="20"/>
          <w:szCs w:val="20"/>
          <w:lang w:eastAsia="en-GB"/>
        </w:rPr>
        <w:sectPr w:rsidR="00CF210D" w:rsidRPr="00CF210D" w:rsidSect="00CF210D">
          <w:pgSz w:w="16840" w:h="11900" w:orient="landscape"/>
          <w:pgMar w:top="1440" w:right="1440" w:bottom="1440" w:left="1440" w:header="708" w:footer="708" w:gutter="0"/>
          <w:cols w:space="708"/>
          <w:docGrid w:linePitch="360"/>
        </w:sectPr>
      </w:pPr>
      <w:r w:rsidRPr="00CF210D">
        <w:rPr>
          <w:rFonts w:ascii="Times New Roman" w:hAnsi="Times New Roman" w:cs="Times New Roman"/>
          <w:b/>
          <w:sz w:val="20"/>
          <w:szCs w:val="20"/>
          <w:lang w:eastAsia="en-GB"/>
        </w:rPr>
        <w:t>Note</w:t>
      </w:r>
      <w:r w:rsidRPr="00CF210D">
        <w:rPr>
          <w:rFonts w:ascii="Times New Roman" w:hAnsi="Times New Roman" w:cs="Times New Roman"/>
          <w:sz w:val="20"/>
          <w:szCs w:val="20"/>
          <w:lang w:eastAsia="en-GB"/>
        </w:rPr>
        <w:t>: All median and mean values in 2013 USD. Holders represents the proportion of all households holding asset or debt. All values are conditional on holding assets or debt.</w:t>
      </w:r>
    </w:p>
    <w:p w14:paraId="66C30D21" w14:textId="7DFC0C21" w:rsidR="00710DF5" w:rsidRDefault="00710DF5" w:rsidP="00710DF5">
      <w:pPr>
        <w:pStyle w:val="MyHeading1C"/>
        <w:rPr>
          <w:lang w:eastAsia="en-GB"/>
        </w:rPr>
      </w:pPr>
      <w:bookmarkStart w:id="5" w:name="_Toc496875174"/>
      <w:r>
        <w:rPr>
          <w:lang w:eastAsia="en-GB"/>
        </w:rPr>
        <w:lastRenderedPageBreak/>
        <w:t xml:space="preserve">Appendix </w:t>
      </w:r>
      <w:r w:rsidR="003F40CD">
        <w:rPr>
          <w:lang w:eastAsia="en-GB"/>
        </w:rPr>
        <w:t>B</w:t>
      </w:r>
    </w:p>
    <w:p w14:paraId="3C8AF3BA" w14:textId="5797EAAD" w:rsidR="00710DF5" w:rsidRPr="00CF210D" w:rsidRDefault="00710DF5" w:rsidP="00710DF5">
      <w:pPr>
        <w:spacing w:after="200" w:line="240" w:lineRule="auto"/>
        <w:ind w:firstLine="0"/>
        <w:jc w:val="left"/>
        <w:rPr>
          <w:rFonts w:ascii="Times New Roman" w:hAnsi="Times New Roman" w:cs="Times New Roman"/>
          <w:sz w:val="22"/>
          <w:lang w:eastAsia="en-GB"/>
        </w:rPr>
      </w:pPr>
      <w:r w:rsidRPr="002B6AE1">
        <w:rPr>
          <w:rFonts w:ascii="Times New Roman" w:hAnsi="Times New Roman" w:cs="Times New Roman"/>
          <w:b/>
          <w:sz w:val="22"/>
          <w:lang w:eastAsia="en-GB"/>
        </w:rPr>
        <w:t xml:space="preserve">Table </w:t>
      </w:r>
      <w:r w:rsidR="003F40CD" w:rsidRPr="002B6AE1">
        <w:rPr>
          <w:rFonts w:ascii="Times New Roman" w:hAnsi="Times New Roman" w:cs="Times New Roman"/>
          <w:b/>
          <w:sz w:val="22"/>
          <w:lang w:eastAsia="en-GB"/>
        </w:rPr>
        <w:t>B</w:t>
      </w:r>
      <w:r w:rsidRPr="002B6AE1">
        <w:rPr>
          <w:rFonts w:ascii="Times New Roman" w:hAnsi="Times New Roman" w:cs="Times New Roman"/>
          <w:b/>
          <w:sz w:val="22"/>
          <w:lang w:eastAsia="en-GB"/>
        </w:rPr>
        <w:fldChar w:fldCharType="begin"/>
      </w:r>
      <w:r w:rsidRPr="002B6AE1">
        <w:rPr>
          <w:rFonts w:ascii="Times New Roman" w:hAnsi="Times New Roman" w:cs="Times New Roman"/>
          <w:b/>
          <w:sz w:val="22"/>
          <w:lang w:eastAsia="en-GB"/>
        </w:rPr>
        <w:instrText xml:space="preserve"> SEQ Table </w:instrText>
      </w:r>
      <w:r w:rsidR="00CF210D" w:rsidRPr="002B6AE1">
        <w:rPr>
          <w:rFonts w:ascii="Times New Roman" w:hAnsi="Times New Roman" w:cs="Times New Roman"/>
          <w:b/>
          <w:sz w:val="22"/>
          <w:lang w:eastAsia="en-GB"/>
        </w:rPr>
        <w:instrText xml:space="preserve">\r1 </w:instrText>
      </w:r>
      <w:r w:rsidRPr="002B6AE1">
        <w:rPr>
          <w:rFonts w:ascii="Times New Roman" w:hAnsi="Times New Roman" w:cs="Times New Roman"/>
          <w:b/>
          <w:sz w:val="22"/>
          <w:lang w:eastAsia="en-GB"/>
        </w:rPr>
        <w:instrText xml:space="preserve">\* ARABIC </w:instrText>
      </w:r>
      <w:r w:rsidRPr="002B6AE1">
        <w:rPr>
          <w:rFonts w:ascii="Times New Roman" w:hAnsi="Times New Roman" w:cs="Times New Roman"/>
          <w:b/>
          <w:sz w:val="22"/>
          <w:lang w:eastAsia="en-GB"/>
        </w:rPr>
        <w:fldChar w:fldCharType="separate"/>
      </w:r>
      <w:r w:rsidR="00C12154" w:rsidRPr="002B6AE1">
        <w:rPr>
          <w:rFonts w:ascii="Times New Roman" w:hAnsi="Times New Roman" w:cs="Times New Roman"/>
          <w:b/>
          <w:noProof/>
          <w:sz w:val="22"/>
          <w:lang w:eastAsia="en-GB"/>
        </w:rPr>
        <w:t>1</w:t>
      </w:r>
      <w:r w:rsidRPr="002B6AE1">
        <w:rPr>
          <w:rFonts w:ascii="Times New Roman" w:hAnsi="Times New Roman" w:cs="Times New Roman"/>
          <w:b/>
          <w:sz w:val="22"/>
          <w:lang w:eastAsia="en-GB"/>
        </w:rPr>
        <w:fldChar w:fldCharType="end"/>
      </w:r>
      <w:r w:rsidRPr="00CF210D">
        <w:rPr>
          <w:rFonts w:ascii="Times New Roman" w:hAnsi="Times New Roman" w:cs="Times New Roman"/>
          <w:sz w:val="22"/>
          <w:lang w:eastAsia="en-GB"/>
        </w:rPr>
        <w:t xml:space="preserve"> Descriptive statistics of the linear regression model variables</w:t>
      </w:r>
      <w:bookmarkEnd w:id="5"/>
      <w:r w:rsidRPr="00CF210D">
        <w:rPr>
          <w:rFonts w:ascii="Times New Roman" w:hAnsi="Times New Roman" w:cs="Times New Roman"/>
          <w:sz w:val="22"/>
          <w:lang w:eastAsia="en-GB"/>
        </w:rPr>
        <w:t xml:space="preserve"> </w:t>
      </w:r>
    </w:p>
    <w:tbl>
      <w:tblPr>
        <w:tblW w:w="9340" w:type="dxa"/>
        <w:jc w:val="center"/>
        <w:tblLook w:val="04A0" w:firstRow="1" w:lastRow="0" w:firstColumn="1" w:lastColumn="0" w:noHBand="0" w:noVBand="1"/>
      </w:tblPr>
      <w:tblGrid>
        <w:gridCol w:w="3604"/>
        <w:gridCol w:w="1402"/>
        <w:gridCol w:w="885"/>
        <w:gridCol w:w="1097"/>
        <w:gridCol w:w="1158"/>
        <w:gridCol w:w="1194"/>
      </w:tblGrid>
      <w:tr w:rsidR="00710DF5" w:rsidRPr="003C1F10" w14:paraId="6C9478F3" w14:textId="77777777" w:rsidTr="00CE723E">
        <w:trPr>
          <w:trHeight w:val="320"/>
          <w:jc w:val="center"/>
        </w:trPr>
        <w:tc>
          <w:tcPr>
            <w:tcW w:w="3604" w:type="dxa"/>
            <w:tcBorders>
              <w:top w:val="nil"/>
              <w:left w:val="nil"/>
              <w:bottom w:val="single" w:sz="4" w:space="0" w:color="auto"/>
              <w:right w:val="nil"/>
            </w:tcBorders>
            <w:shd w:val="clear" w:color="auto" w:fill="auto"/>
            <w:noWrap/>
            <w:vAlign w:val="bottom"/>
            <w:hideMark/>
          </w:tcPr>
          <w:p w14:paraId="39B4EC41" w14:textId="77777777" w:rsidR="00710DF5" w:rsidRPr="003C1F10" w:rsidRDefault="00710DF5" w:rsidP="00710DF5">
            <w:pPr>
              <w:spacing w:after="0" w:line="240" w:lineRule="auto"/>
              <w:ind w:firstLine="0"/>
              <w:jc w:val="center"/>
              <w:rPr>
                <w:rFonts w:ascii="Times New Roman" w:eastAsia="Times New Roman" w:hAnsi="Times New Roman" w:cs="Times New Roman"/>
                <w:b/>
                <w:color w:val="000000"/>
                <w:sz w:val="20"/>
                <w:szCs w:val="20"/>
                <w:lang w:eastAsia="en-GB"/>
              </w:rPr>
            </w:pPr>
            <w:r w:rsidRPr="003C1F10">
              <w:rPr>
                <w:rFonts w:ascii="Times New Roman" w:eastAsia="Times New Roman" w:hAnsi="Times New Roman" w:cs="Times New Roman"/>
                <w:b/>
                <w:color w:val="000000"/>
                <w:sz w:val="20"/>
                <w:szCs w:val="20"/>
                <w:lang w:eastAsia="en-GB"/>
              </w:rPr>
              <w:t>Variable</w:t>
            </w:r>
          </w:p>
        </w:tc>
        <w:tc>
          <w:tcPr>
            <w:tcW w:w="1402" w:type="dxa"/>
            <w:tcBorders>
              <w:top w:val="nil"/>
              <w:left w:val="nil"/>
              <w:bottom w:val="single" w:sz="4" w:space="0" w:color="auto"/>
              <w:right w:val="nil"/>
            </w:tcBorders>
            <w:shd w:val="clear" w:color="auto" w:fill="auto"/>
            <w:noWrap/>
            <w:vAlign w:val="bottom"/>
            <w:hideMark/>
          </w:tcPr>
          <w:p w14:paraId="6CD8509A" w14:textId="77777777" w:rsidR="00710DF5" w:rsidRPr="003C1F10" w:rsidRDefault="00710DF5" w:rsidP="00710DF5">
            <w:pPr>
              <w:spacing w:after="0" w:line="240" w:lineRule="auto"/>
              <w:ind w:firstLine="0"/>
              <w:jc w:val="center"/>
              <w:rPr>
                <w:rFonts w:ascii="Times New Roman" w:eastAsia="Times New Roman" w:hAnsi="Times New Roman" w:cs="Times New Roman"/>
                <w:b/>
                <w:color w:val="000000"/>
                <w:sz w:val="20"/>
                <w:szCs w:val="20"/>
                <w:lang w:eastAsia="en-GB"/>
              </w:rPr>
            </w:pPr>
            <w:r w:rsidRPr="003C1F10">
              <w:rPr>
                <w:rFonts w:ascii="Times New Roman" w:eastAsia="Times New Roman" w:hAnsi="Times New Roman" w:cs="Times New Roman"/>
                <w:b/>
                <w:color w:val="000000"/>
                <w:sz w:val="20"/>
                <w:szCs w:val="20"/>
                <w:lang w:eastAsia="en-GB"/>
              </w:rPr>
              <w:t>Number of observations</w:t>
            </w:r>
          </w:p>
        </w:tc>
        <w:tc>
          <w:tcPr>
            <w:tcW w:w="885" w:type="dxa"/>
            <w:tcBorders>
              <w:top w:val="nil"/>
              <w:left w:val="nil"/>
              <w:bottom w:val="single" w:sz="4" w:space="0" w:color="auto"/>
              <w:right w:val="nil"/>
            </w:tcBorders>
            <w:shd w:val="clear" w:color="auto" w:fill="auto"/>
            <w:noWrap/>
            <w:vAlign w:val="bottom"/>
            <w:hideMark/>
          </w:tcPr>
          <w:p w14:paraId="41991FBA" w14:textId="77777777" w:rsidR="00710DF5" w:rsidRPr="003C1F10" w:rsidRDefault="00710DF5" w:rsidP="00710DF5">
            <w:pPr>
              <w:spacing w:after="0" w:line="240" w:lineRule="auto"/>
              <w:ind w:firstLine="0"/>
              <w:jc w:val="center"/>
              <w:rPr>
                <w:rFonts w:ascii="Times New Roman" w:eastAsia="Times New Roman" w:hAnsi="Times New Roman" w:cs="Times New Roman"/>
                <w:b/>
                <w:color w:val="000000"/>
                <w:sz w:val="20"/>
                <w:szCs w:val="20"/>
                <w:lang w:eastAsia="en-GB"/>
              </w:rPr>
            </w:pPr>
            <w:r w:rsidRPr="003C1F10">
              <w:rPr>
                <w:rFonts w:ascii="Times New Roman" w:eastAsia="Times New Roman" w:hAnsi="Times New Roman" w:cs="Times New Roman"/>
                <w:b/>
                <w:color w:val="000000"/>
                <w:sz w:val="20"/>
                <w:szCs w:val="20"/>
                <w:lang w:eastAsia="en-GB"/>
              </w:rPr>
              <w:t>Mean</w:t>
            </w:r>
          </w:p>
        </w:tc>
        <w:tc>
          <w:tcPr>
            <w:tcW w:w="1097" w:type="dxa"/>
            <w:tcBorders>
              <w:top w:val="nil"/>
              <w:left w:val="nil"/>
              <w:bottom w:val="single" w:sz="4" w:space="0" w:color="auto"/>
              <w:right w:val="nil"/>
            </w:tcBorders>
            <w:shd w:val="clear" w:color="auto" w:fill="auto"/>
            <w:noWrap/>
            <w:vAlign w:val="bottom"/>
            <w:hideMark/>
          </w:tcPr>
          <w:p w14:paraId="2A62FF1C" w14:textId="77777777" w:rsidR="00710DF5" w:rsidRPr="003C1F10" w:rsidRDefault="00710DF5" w:rsidP="00710DF5">
            <w:pPr>
              <w:spacing w:after="0" w:line="240" w:lineRule="auto"/>
              <w:ind w:firstLine="0"/>
              <w:jc w:val="center"/>
              <w:rPr>
                <w:rFonts w:ascii="Times New Roman" w:eastAsia="Times New Roman" w:hAnsi="Times New Roman" w:cs="Times New Roman"/>
                <w:b/>
                <w:color w:val="000000"/>
                <w:sz w:val="20"/>
                <w:szCs w:val="20"/>
                <w:lang w:eastAsia="en-GB"/>
              </w:rPr>
            </w:pPr>
            <w:r w:rsidRPr="003C1F10">
              <w:rPr>
                <w:rFonts w:ascii="Times New Roman" w:eastAsia="Times New Roman" w:hAnsi="Times New Roman" w:cs="Times New Roman"/>
                <w:b/>
                <w:color w:val="000000"/>
                <w:sz w:val="20"/>
                <w:szCs w:val="20"/>
                <w:lang w:eastAsia="en-GB"/>
              </w:rPr>
              <w:t>Standard deviation</w:t>
            </w:r>
          </w:p>
        </w:tc>
        <w:tc>
          <w:tcPr>
            <w:tcW w:w="1158" w:type="dxa"/>
            <w:tcBorders>
              <w:top w:val="nil"/>
              <w:left w:val="nil"/>
              <w:bottom w:val="single" w:sz="4" w:space="0" w:color="auto"/>
              <w:right w:val="nil"/>
            </w:tcBorders>
            <w:shd w:val="clear" w:color="auto" w:fill="auto"/>
            <w:noWrap/>
            <w:vAlign w:val="bottom"/>
            <w:hideMark/>
          </w:tcPr>
          <w:p w14:paraId="32E19529" w14:textId="77777777" w:rsidR="00710DF5" w:rsidRPr="003C1F10" w:rsidRDefault="00710DF5" w:rsidP="00710DF5">
            <w:pPr>
              <w:spacing w:after="0" w:line="240" w:lineRule="auto"/>
              <w:ind w:firstLine="0"/>
              <w:jc w:val="center"/>
              <w:rPr>
                <w:rFonts w:ascii="Times New Roman" w:eastAsia="Times New Roman" w:hAnsi="Times New Roman" w:cs="Times New Roman"/>
                <w:b/>
                <w:color w:val="000000"/>
                <w:sz w:val="20"/>
                <w:szCs w:val="20"/>
                <w:lang w:eastAsia="en-GB"/>
              </w:rPr>
            </w:pPr>
            <w:r w:rsidRPr="003C1F10">
              <w:rPr>
                <w:rFonts w:ascii="Times New Roman" w:eastAsia="Times New Roman" w:hAnsi="Times New Roman" w:cs="Times New Roman"/>
                <w:b/>
                <w:color w:val="000000"/>
                <w:sz w:val="20"/>
                <w:szCs w:val="20"/>
                <w:lang w:eastAsia="en-GB"/>
              </w:rPr>
              <w:t>Minimum</w:t>
            </w:r>
          </w:p>
        </w:tc>
        <w:tc>
          <w:tcPr>
            <w:tcW w:w="1194" w:type="dxa"/>
            <w:tcBorders>
              <w:top w:val="nil"/>
              <w:left w:val="nil"/>
              <w:bottom w:val="single" w:sz="4" w:space="0" w:color="auto"/>
              <w:right w:val="nil"/>
            </w:tcBorders>
            <w:shd w:val="clear" w:color="auto" w:fill="auto"/>
            <w:noWrap/>
            <w:vAlign w:val="bottom"/>
            <w:hideMark/>
          </w:tcPr>
          <w:p w14:paraId="13242462" w14:textId="77777777" w:rsidR="00710DF5" w:rsidRPr="003C1F10" w:rsidRDefault="00710DF5" w:rsidP="00710DF5">
            <w:pPr>
              <w:spacing w:after="0" w:line="240" w:lineRule="auto"/>
              <w:ind w:firstLine="0"/>
              <w:jc w:val="center"/>
              <w:rPr>
                <w:rFonts w:ascii="Times New Roman" w:eastAsia="Times New Roman" w:hAnsi="Times New Roman" w:cs="Times New Roman"/>
                <w:b/>
                <w:color w:val="000000"/>
                <w:sz w:val="20"/>
                <w:szCs w:val="20"/>
                <w:lang w:eastAsia="en-GB"/>
              </w:rPr>
            </w:pPr>
            <w:r w:rsidRPr="003C1F10">
              <w:rPr>
                <w:rFonts w:ascii="Times New Roman" w:eastAsia="Times New Roman" w:hAnsi="Times New Roman" w:cs="Times New Roman"/>
                <w:b/>
                <w:color w:val="000000"/>
                <w:sz w:val="20"/>
                <w:szCs w:val="20"/>
                <w:lang w:eastAsia="en-GB"/>
              </w:rPr>
              <w:t>Maximum</w:t>
            </w:r>
          </w:p>
        </w:tc>
      </w:tr>
      <w:tr w:rsidR="00303C99" w:rsidRPr="003C1F10" w14:paraId="6DCB4408" w14:textId="77777777" w:rsidTr="00303C99">
        <w:trPr>
          <w:trHeight w:val="320"/>
          <w:jc w:val="center"/>
        </w:trPr>
        <w:tc>
          <w:tcPr>
            <w:tcW w:w="3604" w:type="dxa"/>
            <w:tcBorders>
              <w:top w:val="single" w:sz="4" w:space="0" w:color="auto"/>
              <w:left w:val="nil"/>
              <w:bottom w:val="nil"/>
              <w:right w:val="nil"/>
            </w:tcBorders>
            <w:shd w:val="clear" w:color="auto" w:fill="auto"/>
            <w:noWrap/>
            <w:vAlign w:val="center"/>
            <w:hideMark/>
          </w:tcPr>
          <w:p w14:paraId="16F0E8B5" w14:textId="4D54448E"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Median income ratio</w:t>
            </w:r>
          </w:p>
        </w:tc>
        <w:tc>
          <w:tcPr>
            <w:tcW w:w="1402" w:type="dxa"/>
            <w:tcBorders>
              <w:top w:val="single" w:sz="4" w:space="0" w:color="auto"/>
              <w:left w:val="nil"/>
              <w:bottom w:val="nil"/>
              <w:right w:val="nil"/>
            </w:tcBorders>
            <w:shd w:val="clear" w:color="auto" w:fill="auto"/>
            <w:noWrap/>
            <w:vAlign w:val="center"/>
            <w:hideMark/>
          </w:tcPr>
          <w:p w14:paraId="331C26EB" w14:textId="180D470B"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single" w:sz="4" w:space="0" w:color="auto"/>
              <w:left w:val="nil"/>
              <w:bottom w:val="nil"/>
              <w:right w:val="nil"/>
            </w:tcBorders>
            <w:shd w:val="clear" w:color="auto" w:fill="auto"/>
            <w:noWrap/>
            <w:vAlign w:val="center"/>
            <w:hideMark/>
          </w:tcPr>
          <w:p w14:paraId="5A0DE3EE" w14:textId="48F162C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166.00</w:t>
            </w:r>
          </w:p>
        </w:tc>
        <w:tc>
          <w:tcPr>
            <w:tcW w:w="1097" w:type="dxa"/>
            <w:tcBorders>
              <w:top w:val="single" w:sz="4" w:space="0" w:color="auto"/>
              <w:left w:val="nil"/>
              <w:bottom w:val="nil"/>
              <w:right w:val="nil"/>
            </w:tcBorders>
            <w:shd w:val="clear" w:color="auto" w:fill="auto"/>
            <w:noWrap/>
            <w:vAlign w:val="center"/>
            <w:hideMark/>
          </w:tcPr>
          <w:p w14:paraId="61EE0424" w14:textId="5EE4E0A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633.46</w:t>
            </w:r>
          </w:p>
        </w:tc>
        <w:tc>
          <w:tcPr>
            <w:tcW w:w="1158" w:type="dxa"/>
            <w:tcBorders>
              <w:top w:val="single" w:sz="4" w:space="0" w:color="auto"/>
              <w:left w:val="nil"/>
              <w:bottom w:val="nil"/>
              <w:right w:val="nil"/>
            </w:tcBorders>
            <w:shd w:val="clear" w:color="auto" w:fill="auto"/>
            <w:noWrap/>
            <w:vAlign w:val="center"/>
            <w:hideMark/>
          </w:tcPr>
          <w:p w14:paraId="0321BB63" w14:textId="2BDB9619"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single" w:sz="4" w:space="0" w:color="auto"/>
              <w:left w:val="nil"/>
              <w:bottom w:val="nil"/>
              <w:right w:val="nil"/>
            </w:tcBorders>
            <w:shd w:val="clear" w:color="auto" w:fill="auto"/>
            <w:noWrap/>
            <w:vAlign w:val="center"/>
            <w:hideMark/>
          </w:tcPr>
          <w:p w14:paraId="401E846E" w14:textId="5CB7BB5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790,361.60</w:t>
            </w:r>
          </w:p>
        </w:tc>
      </w:tr>
      <w:tr w:rsidR="00303C99" w:rsidRPr="003C1F10" w14:paraId="673624E2"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2F069CB4" w14:textId="19C7AB3E"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Primary residence /Assets</w:t>
            </w:r>
          </w:p>
        </w:tc>
        <w:tc>
          <w:tcPr>
            <w:tcW w:w="1402" w:type="dxa"/>
            <w:tcBorders>
              <w:top w:val="nil"/>
              <w:left w:val="nil"/>
              <w:bottom w:val="nil"/>
              <w:right w:val="nil"/>
            </w:tcBorders>
            <w:shd w:val="clear" w:color="auto" w:fill="auto"/>
            <w:noWrap/>
            <w:vAlign w:val="center"/>
            <w:hideMark/>
          </w:tcPr>
          <w:p w14:paraId="2BB6689A" w14:textId="72EA384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40,536</w:t>
            </w:r>
          </w:p>
        </w:tc>
        <w:tc>
          <w:tcPr>
            <w:tcW w:w="885" w:type="dxa"/>
            <w:tcBorders>
              <w:top w:val="nil"/>
              <w:left w:val="nil"/>
              <w:bottom w:val="nil"/>
              <w:right w:val="nil"/>
            </w:tcBorders>
            <w:shd w:val="clear" w:color="auto" w:fill="auto"/>
            <w:noWrap/>
            <w:vAlign w:val="center"/>
            <w:hideMark/>
          </w:tcPr>
          <w:p w14:paraId="0FD7B32A" w14:textId="0D9C43AC"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39.82</w:t>
            </w:r>
          </w:p>
        </w:tc>
        <w:tc>
          <w:tcPr>
            <w:tcW w:w="1097" w:type="dxa"/>
            <w:tcBorders>
              <w:top w:val="nil"/>
              <w:left w:val="nil"/>
              <w:bottom w:val="nil"/>
              <w:right w:val="nil"/>
            </w:tcBorders>
            <w:shd w:val="clear" w:color="auto" w:fill="auto"/>
            <w:noWrap/>
            <w:vAlign w:val="center"/>
            <w:hideMark/>
          </w:tcPr>
          <w:p w14:paraId="61011637" w14:textId="38D058F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34.64</w:t>
            </w:r>
          </w:p>
        </w:tc>
        <w:tc>
          <w:tcPr>
            <w:tcW w:w="1158" w:type="dxa"/>
            <w:tcBorders>
              <w:top w:val="nil"/>
              <w:left w:val="nil"/>
              <w:bottom w:val="nil"/>
              <w:right w:val="nil"/>
            </w:tcBorders>
            <w:shd w:val="clear" w:color="auto" w:fill="auto"/>
            <w:noWrap/>
            <w:vAlign w:val="center"/>
            <w:hideMark/>
          </w:tcPr>
          <w:p w14:paraId="01BE3285" w14:textId="718239E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-1,111.82</w:t>
            </w:r>
          </w:p>
        </w:tc>
        <w:tc>
          <w:tcPr>
            <w:tcW w:w="1194" w:type="dxa"/>
            <w:tcBorders>
              <w:top w:val="nil"/>
              <w:left w:val="nil"/>
              <w:bottom w:val="nil"/>
              <w:right w:val="nil"/>
            </w:tcBorders>
            <w:shd w:val="clear" w:color="auto" w:fill="auto"/>
            <w:noWrap/>
            <w:vAlign w:val="center"/>
            <w:hideMark/>
          </w:tcPr>
          <w:p w14:paraId="78A4D96D" w14:textId="0138598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2,162.16</w:t>
            </w:r>
          </w:p>
        </w:tc>
      </w:tr>
      <w:tr w:rsidR="00303C99" w:rsidRPr="003C1F10" w14:paraId="2F37C605"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2331CD71" w14:textId="5D1832A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Other real estate/Assets</w:t>
            </w:r>
          </w:p>
        </w:tc>
        <w:tc>
          <w:tcPr>
            <w:tcW w:w="1402" w:type="dxa"/>
            <w:tcBorders>
              <w:top w:val="nil"/>
              <w:left w:val="nil"/>
              <w:bottom w:val="nil"/>
              <w:right w:val="nil"/>
            </w:tcBorders>
            <w:shd w:val="clear" w:color="auto" w:fill="auto"/>
            <w:noWrap/>
            <w:vAlign w:val="center"/>
            <w:hideMark/>
          </w:tcPr>
          <w:p w14:paraId="48A32BA3" w14:textId="2BF6CEC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40,536</w:t>
            </w:r>
          </w:p>
        </w:tc>
        <w:tc>
          <w:tcPr>
            <w:tcW w:w="885" w:type="dxa"/>
            <w:tcBorders>
              <w:top w:val="nil"/>
              <w:left w:val="nil"/>
              <w:bottom w:val="nil"/>
              <w:right w:val="nil"/>
            </w:tcBorders>
            <w:shd w:val="clear" w:color="auto" w:fill="auto"/>
            <w:noWrap/>
            <w:vAlign w:val="center"/>
            <w:hideMark/>
          </w:tcPr>
          <w:p w14:paraId="36CDDFE9" w14:textId="19687217"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4.77</w:t>
            </w:r>
          </w:p>
        </w:tc>
        <w:tc>
          <w:tcPr>
            <w:tcW w:w="1097" w:type="dxa"/>
            <w:tcBorders>
              <w:top w:val="nil"/>
              <w:left w:val="nil"/>
              <w:bottom w:val="nil"/>
              <w:right w:val="nil"/>
            </w:tcBorders>
            <w:shd w:val="clear" w:color="auto" w:fill="auto"/>
            <w:noWrap/>
            <w:vAlign w:val="center"/>
            <w:hideMark/>
          </w:tcPr>
          <w:p w14:paraId="1313C35E" w14:textId="7657062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14.24</w:t>
            </w:r>
          </w:p>
        </w:tc>
        <w:tc>
          <w:tcPr>
            <w:tcW w:w="1158" w:type="dxa"/>
            <w:tcBorders>
              <w:top w:val="nil"/>
              <w:left w:val="nil"/>
              <w:bottom w:val="nil"/>
              <w:right w:val="nil"/>
            </w:tcBorders>
            <w:shd w:val="clear" w:color="auto" w:fill="auto"/>
            <w:noWrap/>
            <w:vAlign w:val="center"/>
            <w:hideMark/>
          </w:tcPr>
          <w:p w14:paraId="783A98D4" w14:textId="5653F48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-15,167.61</w:t>
            </w:r>
          </w:p>
        </w:tc>
        <w:tc>
          <w:tcPr>
            <w:tcW w:w="1194" w:type="dxa"/>
            <w:tcBorders>
              <w:top w:val="nil"/>
              <w:left w:val="nil"/>
              <w:bottom w:val="nil"/>
              <w:right w:val="nil"/>
            </w:tcBorders>
            <w:shd w:val="clear" w:color="auto" w:fill="auto"/>
            <w:noWrap/>
            <w:vAlign w:val="center"/>
            <w:hideMark/>
          </w:tcPr>
          <w:p w14:paraId="7B05F93E" w14:textId="3463A0C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1,257.94</w:t>
            </w:r>
          </w:p>
        </w:tc>
      </w:tr>
      <w:tr w:rsidR="00303C99" w:rsidRPr="003C1F10" w14:paraId="34331B90"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09B48975" w14:textId="77297EF6"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Vehicles and other non-financial/Assets</w:t>
            </w:r>
          </w:p>
        </w:tc>
        <w:tc>
          <w:tcPr>
            <w:tcW w:w="1402" w:type="dxa"/>
            <w:tcBorders>
              <w:top w:val="nil"/>
              <w:left w:val="nil"/>
              <w:bottom w:val="nil"/>
              <w:right w:val="nil"/>
            </w:tcBorders>
            <w:shd w:val="clear" w:color="auto" w:fill="auto"/>
            <w:noWrap/>
            <w:vAlign w:val="center"/>
            <w:hideMark/>
          </w:tcPr>
          <w:p w14:paraId="6E0A0699" w14:textId="58CA473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40,536</w:t>
            </w:r>
          </w:p>
        </w:tc>
        <w:tc>
          <w:tcPr>
            <w:tcW w:w="885" w:type="dxa"/>
            <w:tcBorders>
              <w:top w:val="nil"/>
              <w:left w:val="nil"/>
              <w:bottom w:val="nil"/>
              <w:right w:val="nil"/>
            </w:tcBorders>
            <w:shd w:val="clear" w:color="auto" w:fill="auto"/>
            <w:noWrap/>
            <w:vAlign w:val="center"/>
            <w:hideMark/>
          </w:tcPr>
          <w:p w14:paraId="11AC0529" w14:textId="0900A1D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20.61</w:t>
            </w:r>
          </w:p>
        </w:tc>
        <w:tc>
          <w:tcPr>
            <w:tcW w:w="1097" w:type="dxa"/>
            <w:tcBorders>
              <w:top w:val="nil"/>
              <w:left w:val="nil"/>
              <w:bottom w:val="nil"/>
              <w:right w:val="nil"/>
            </w:tcBorders>
            <w:shd w:val="clear" w:color="auto" w:fill="auto"/>
            <w:noWrap/>
            <w:vAlign w:val="center"/>
            <w:hideMark/>
          </w:tcPr>
          <w:p w14:paraId="0F4EA6D3" w14:textId="2861D00B"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29.50</w:t>
            </w:r>
          </w:p>
        </w:tc>
        <w:tc>
          <w:tcPr>
            <w:tcW w:w="1158" w:type="dxa"/>
            <w:tcBorders>
              <w:top w:val="nil"/>
              <w:left w:val="nil"/>
              <w:bottom w:val="nil"/>
              <w:right w:val="nil"/>
            </w:tcBorders>
            <w:shd w:val="clear" w:color="auto" w:fill="auto"/>
            <w:noWrap/>
            <w:vAlign w:val="center"/>
            <w:hideMark/>
          </w:tcPr>
          <w:p w14:paraId="5762B794" w14:textId="2E267EC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-222.86</w:t>
            </w:r>
          </w:p>
        </w:tc>
        <w:tc>
          <w:tcPr>
            <w:tcW w:w="1194" w:type="dxa"/>
            <w:tcBorders>
              <w:top w:val="nil"/>
              <w:left w:val="nil"/>
              <w:bottom w:val="nil"/>
              <w:right w:val="nil"/>
            </w:tcBorders>
            <w:shd w:val="clear" w:color="auto" w:fill="auto"/>
            <w:noWrap/>
            <w:vAlign w:val="center"/>
            <w:hideMark/>
          </w:tcPr>
          <w:p w14:paraId="01299B2F" w14:textId="643FFB8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213.71</w:t>
            </w:r>
          </w:p>
        </w:tc>
      </w:tr>
      <w:tr w:rsidR="00303C99" w:rsidRPr="003C1F10" w14:paraId="2FCEFDCC"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27B533B7"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Business Equity/Assets</w:t>
            </w:r>
          </w:p>
        </w:tc>
        <w:tc>
          <w:tcPr>
            <w:tcW w:w="1402" w:type="dxa"/>
            <w:tcBorders>
              <w:top w:val="nil"/>
              <w:left w:val="nil"/>
              <w:bottom w:val="nil"/>
              <w:right w:val="nil"/>
            </w:tcBorders>
            <w:shd w:val="clear" w:color="auto" w:fill="auto"/>
            <w:noWrap/>
            <w:vAlign w:val="center"/>
            <w:hideMark/>
          </w:tcPr>
          <w:p w14:paraId="6D8DAEA2" w14:textId="07093B5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40,536</w:t>
            </w:r>
          </w:p>
        </w:tc>
        <w:tc>
          <w:tcPr>
            <w:tcW w:w="885" w:type="dxa"/>
            <w:tcBorders>
              <w:top w:val="nil"/>
              <w:left w:val="nil"/>
              <w:bottom w:val="nil"/>
              <w:right w:val="nil"/>
            </w:tcBorders>
            <w:shd w:val="clear" w:color="auto" w:fill="auto"/>
            <w:noWrap/>
            <w:vAlign w:val="center"/>
            <w:hideMark/>
          </w:tcPr>
          <w:p w14:paraId="6F71796B" w14:textId="7E7CC3F3"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3.62</w:t>
            </w:r>
          </w:p>
        </w:tc>
        <w:tc>
          <w:tcPr>
            <w:tcW w:w="1097" w:type="dxa"/>
            <w:tcBorders>
              <w:top w:val="nil"/>
              <w:left w:val="nil"/>
              <w:bottom w:val="nil"/>
              <w:right w:val="nil"/>
            </w:tcBorders>
            <w:shd w:val="clear" w:color="auto" w:fill="auto"/>
            <w:noWrap/>
            <w:vAlign w:val="center"/>
            <w:hideMark/>
          </w:tcPr>
          <w:p w14:paraId="6F4BEA24" w14:textId="3978EBEA"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13.56</w:t>
            </w:r>
          </w:p>
        </w:tc>
        <w:tc>
          <w:tcPr>
            <w:tcW w:w="1158" w:type="dxa"/>
            <w:tcBorders>
              <w:top w:val="nil"/>
              <w:left w:val="nil"/>
              <w:bottom w:val="nil"/>
              <w:right w:val="nil"/>
            </w:tcBorders>
            <w:shd w:val="clear" w:color="auto" w:fill="auto"/>
            <w:noWrap/>
            <w:vAlign w:val="center"/>
            <w:hideMark/>
          </w:tcPr>
          <w:p w14:paraId="4E62530D" w14:textId="53E8EE2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-400.08</w:t>
            </w:r>
          </w:p>
        </w:tc>
        <w:tc>
          <w:tcPr>
            <w:tcW w:w="1194" w:type="dxa"/>
            <w:tcBorders>
              <w:top w:val="nil"/>
              <w:left w:val="nil"/>
              <w:bottom w:val="nil"/>
              <w:right w:val="nil"/>
            </w:tcBorders>
            <w:shd w:val="clear" w:color="auto" w:fill="auto"/>
            <w:noWrap/>
            <w:vAlign w:val="center"/>
            <w:hideMark/>
          </w:tcPr>
          <w:p w14:paraId="2D18E9D3" w14:textId="506D599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4,331.45</w:t>
            </w:r>
          </w:p>
        </w:tc>
      </w:tr>
      <w:tr w:rsidR="00303C99" w:rsidRPr="003C1F10" w14:paraId="1620C046"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32EB5327"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Liquid assets/Assets</w:t>
            </w:r>
          </w:p>
        </w:tc>
        <w:tc>
          <w:tcPr>
            <w:tcW w:w="1402" w:type="dxa"/>
            <w:tcBorders>
              <w:top w:val="nil"/>
              <w:left w:val="nil"/>
              <w:bottom w:val="nil"/>
              <w:right w:val="nil"/>
            </w:tcBorders>
            <w:shd w:val="clear" w:color="auto" w:fill="auto"/>
            <w:noWrap/>
            <w:vAlign w:val="center"/>
            <w:hideMark/>
          </w:tcPr>
          <w:p w14:paraId="08E1C30F" w14:textId="08DDEA7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40,536</w:t>
            </w:r>
          </w:p>
        </w:tc>
        <w:tc>
          <w:tcPr>
            <w:tcW w:w="885" w:type="dxa"/>
            <w:tcBorders>
              <w:top w:val="nil"/>
              <w:left w:val="nil"/>
              <w:bottom w:val="nil"/>
              <w:right w:val="nil"/>
            </w:tcBorders>
            <w:shd w:val="clear" w:color="auto" w:fill="auto"/>
            <w:noWrap/>
            <w:vAlign w:val="center"/>
            <w:hideMark/>
          </w:tcPr>
          <w:p w14:paraId="5804B94A" w14:textId="65E0093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10.02</w:t>
            </w:r>
          </w:p>
        </w:tc>
        <w:tc>
          <w:tcPr>
            <w:tcW w:w="1097" w:type="dxa"/>
            <w:tcBorders>
              <w:top w:val="nil"/>
              <w:left w:val="nil"/>
              <w:bottom w:val="nil"/>
              <w:right w:val="nil"/>
            </w:tcBorders>
            <w:shd w:val="clear" w:color="auto" w:fill="auto"/>
            <w:noWrap/>
            <w:vAlign w:val="center"/>
            <w:hideMark/>
          </w:tcPr>
          <w:p w14:paraId="4845377B" w14:textId="0D302D87"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20.67</w:t>
            </w:r>
          </w:p>
        </w:tc>
        <w:tc>
          <w:tcPr>
            <w:tcW w:w="1158" w:type="dxa"/>
            <w:tcBorders>
              <w:top w:val="nil"/>
              <w:left w:val="nil"/>
              <w:bottom w:val="nil"/>
              <w:right w:val="nil"/>
            </w:tcBorders>
            <w:shd w:val="clear" w:color="auto" w:fill="auto"/>
            <w:noWrap/>
            <w:vAlign w:val="center"/>
            <w:hideMark/>
          </w:tcPr>
          <w:p w14:paraId="226E3D3B" w14:textId="58214EDE"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-28.57</w:t>
            </w:r>
          </w:p>
        </w:tc>
        <w:tc>
          <w:tcPr>
            <w:tcW w:w="1194" w:type="dxa"/>
            <w:tcBorders>
              <w:top w:val="nil"/>
              <w:left w:val="nil"/>
              <w:bottom w:val="nil"/>
              <w:right w:val="nil"/>
            </w:tcBorders>
            <w:shd w:val="clear" w:color="auto" w:fill="auto"/>
            <w:noWrap/>
            <w:vAlign w:val="center"/>
            <w:hideMark/>
          </w:tcPr>
          <w:p w14:paraId="7A2FC836" w14:textId="4F47231D"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129.03</w:t>
            </w:r>
          </w:p>
        </w:tc>
      </w:tr>
      <w:tr w:rsidR="00303C99" w:rsidRPr="003C1F10" w14:paraId="11636782"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017CEC44"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Financial investment/Assets</w:t>
            </w:r>
          </w:p>
        </w:tc>
        <w:tc>
          <w:tcPr>
            <w:tcW w:w="1402" w:type="dxa"/>
            <w:tcBorders>
              <w:top w:val="nil"/>
              <w:left w:val="nil"/>
              <w:bottom w:val="nil"/>
              <w:right w:val="nil"/>
            </w:tcBorders>
            <w:shd w:val="clear" w:color="auto" w:fill="auto"/>
            <w:noWrap/>
            <w:vAlign w:val="center"/>
            <w:hideMark/>
          </w:tcPr>
          <w:p w14:paraId="30808DF9" w14:textId="60B0FFF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40,536</w:t>
            </w:r>
          </w:p>
        </w:tc>
        <w:tc>
          <w:tcPr>
            <w:tcW w:w="885" w:type="dxa"/>
            <w:tcBorders>
              <w:top w:val="nil"/>
              <w:left w:val="nil"/>
              <w:bottom w:val="nil"/>
              <w:right w:val="nil"/>
            </w:tcBorders>
            <w:shd w:val="clear" w:color="auto" w:fill="auto"/>
            <w:noWrap/>
            <w:vAlign w:val="center"/>
            <w:hideMark/>
          </w:tcPr>
          <w:p w14:paraId="4ED355CF" w14:textId="172CD2A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8.52</w:t>
            </w:r>
          </w:p>
        </w:tc>
        <w:tc>
          <w:tcPr>
            <w:tcW w:w="1097" w:type="dxa"/>
            <w:tcBorders>
              <w:top w:val="nil"/>
              <w:left w:val="nil"/>
              <w:bottom w:val="nil"/>
              <w:right w:val="nil"/>
            </w:tcBorders>
            <w:shd w:val="clear" w:color="auto" w:fill="auto"/>
            <w:noWrap/>
            <w:vAlign w:val="center"/>
            <w:hideMark/>
          </w:tcPr>
          <w:p w14:paraId="1C8FCF10" w14:textId="63004DDB"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17.77</w:t>
            </w:r>
          </w:p>
        </w:tc>
        <w:tc>
          <w:tcPr>
            <w:tcW w:w="1158" w:type="dxa"/>
            <w:tcBorders>
              <w:top w:val="nil"/>
              <w:left w:val="nil"/>
              <w:bottom w:val="nil"/>
              <w:right w:val="nil"/>
            </w:tcBorders>
            <w:shd w:val="clear" w:color="auto" w:fill="auto"/>
            <w:noWrap/>
            <w:vAlign w:val="center"/>
            <w:hideMark/>
          </w:tcPr>
          <w:p w14:paraId="54076756" w14:textId="2A822F5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-110.51</w:t>
            </w:r>
          </w:p>
        </w:tc>
        <w:tc>
          <w:tcPr>
            <w:tcW w:w="1194" w:type="dxa"/>
            <w:tcBorders>
              <w:top w:val="nil"/>
              <w:left w:val="nil"/>
              <w:bottom w:val="nil"/>
              <w:right w:val="nil"/>
            </w:tcBorders>
            <w:shd w:val="clear" w:color="auto" w:fill="auto"/>
            <w:noWrap/>
            <w:vAlign w:val="center"/>
            <w:hideMark/>
          </w:tcPr>
          <w:p w14:paraId="3B1435DE" w14:textId="2C87C6C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8,308.48</w:t>
            </w:r>
          </w:p>
        </w:tc>
      </w:tr>
      <w:tr w:rsidR="00303C99" w:rsidRPr="003C1F10" w14:paraId="149EBC4E" w14:textId="77777777" w:rsidTr="00303C99">
        <w:trPr>
          <w:trHeight w:val="320"/>
          <w:jc w:val="center"/>
        </w:trPr>
        <w:tc>
          <w:tcPr>
            <w:tcW w:w="3604" w:type="dxa"/>
            <w:tcBorders>
              <w:top w:val="nil"/>
              <w:left w:val="nil"/>
              <w:bottom w:val="nil"/>
              <w:right w:val="nil"/>
            </w:tcBorders>
            <w:shd w:val="clear" w:color="auto" w:fill="auto"/>
            <w:noWrap/>
            <w:vAlign w:val="center"/>
          </w:tcPr>
          <w:p w14:paraId="2D86A23F"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Retirement accounts/Assets</w:t>
            </w:r>
          </w:p>
        </w:tc>
        <w:tc>
          <w:tcPr>
            <w:tcW w:w="1402" w:type="dxa"/>
            <w:tcBorders>
              <w:top w:val="nil"/>
              <w:left w:val="nil"/>
              <w:bottom w:val="nil"/>
              <w:right w:val="nil"/>
            </w:tcBorders>
            <w:shd w:val="clear" w:color="auto" w:fill="auto"/>
            <w:noWrap/>
            <w:vAlign w:val="center"/>
          </w:tcPr>
          <w:p w14:paraId="210B1152" w14:textId="2F7AB67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40,536</w:t>
            </w:r>
          </w:p>
        </w:tc>
        <w:tc>
          <w:tcPr>
            <w:tcW w:w="885" w:type="dxa"/>
            <w:tcBorders>
              <w:top w:val="nil"/>
              <w:left w:val="nil"/>
              <w:bottom w:val="nil"/>
              <w:right w:val="nil"/>
            </w:tcBorders>
            <w:shd w:val="clear" w:color="auto" w:fill="auto"/>
            <w:noWrap/>
            <w:vAlign w:val="center"/>
          </w:tcPr>
          <w:p w14:paraId="40A446BD" w14:textId="0617BC2A"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12.63</w:t>
            </w:r>
          </w:p>
        </w:tc>
        <w:tc>
          <w:tcPr>
            <w:tcW w:w="1097" w:type="dxa"/>
            <w:tcBorders>
              <w:top w:val="nil"/>
              <w:left w:val="nil"/>
              <w:bottom w:val="nil"/>
              <w:right w:val="nil"/>
            </w:tcBorders>
            <w:shd w:val="clear" w:color="auto" w:fill="auto"/>
            <w:noWrap/>
            <w:vAlign w:val="center"/>
          </w:tcPr>
          <w:p w14:paraId="793A933A" w14:textId="5690903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19.95</w:t>
            </w:r>
          </w:p>
        </w:tc>
        <w:tc>
          <w:tcPr>
            <w:tcW w:w="1158" w:type="dxa"/>
            <w:tcBorders>
              <w:top w:val="nil"/>
              <w:left w:val="nil"/>
              <w:bottom w:val="nil"/>
              <w:right w:val="nil"/>
            </w:tcBorders>
            <w:shd w:val="clear" w:color="auto" w:fill="auto"/>
            <w:noWrap/>
            <w:vAlign w:val="center"/>
          </w:tcPr>
          <w:p w14:paraId="572F1EB7" w14:textId="11E5CA03"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-158.65</w:t>
            </w:r>
          </w:p>
        </w:tc>
        <w:tc>
          <w:tcPr>
            <w:tcW w:w="1194" w:type="dxa"/>
            <w:tcBorders>
              <w:top w:val="nil"/>
              <w:left w:val="nil"/>
              <w:bottom w:val="nil"/>
              <w:right w:val="nil"/>
            </w:tcBorders>
            <w:shd w:val="clear" w:color="auto" w:fill="auto"/>
            <w:noWrap/>
            <w:vAlign w:val="center"/>
          </w:tcPr>
          <w:p w14:paraId="45BA3C0E" w14:textId="4E992EA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831.96</w:t>
            </w:r>
          </w:p>
        </w:tc>
      </w:tr>
      <w:tr w:rsidR="00303C99" w:rsidRPr="003C1F10" w14:paraId="55738C67"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72A7333F"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Secured by primary residence/Debt</w:t>
            </w:r>
          </w:p>
        </w:tc>
        <w:tc>
          <w:tcPr>
            <w:tcW w:w="1402" w:type="dxa"/>
            <w:tcBorders>
              <w:top w:val="nil"/>
              <w:left w:val="nil"/>
              <w:bottom w:val="nil"/>
              <w:right w:val="nil"/>
            </w:tcBorders>
            <w:shd w:val="clear" w:color="auto" w:fill="auto"/>
            <w:noWrap/>
            <w:vAlign w:val="center"/>
            <w:hideMark/>
          </w:tcPr>
          <w:p w14:paraId="1365F2B2" w14:textId="2491B7E2"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29,711</w:t>
            </w:r>
          </w:p>
        </w:tc>
        <w:tc>
          <w:tcPr>
            <w:tcW w:w="885" w:type="dxa"/>
            <w:tcBorders>
              <w:top w:val="nil"/>
              <w:left w:val="nil"/>
              <w:bottom w:val="nil"/>
              <w:right w:val="nil"/>
            </w:tcBorders>
            <w:shd w:val="clear" w:color="auto" w:fill="auto"/>
            <w:noWrap/>
            <w:vAlign w:val="center"/>
            <w:hideMark/>
          </w:tcPr>
          <w:p w14:paraId="491C656A" w14:textId="398A2AC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48.77</w:t>
            </w:r>
          </w:p>
        </w:tc>
        <w:tc>
          <w:tcPr>
            <w:tcW w:w="1097" w:type="dxa"/>
            <w:tcBorders>
              <w:top w:val="nil"/>
              <w:left w:val="nil"/>
              <w:bottom w:val="nil"/>
              <w:right w:val="nil"/>
            </w:tcBorders>
            <w:shd w:val="clear" w:color="auto" w:fill="auto"/>
            <w:noWrap/>
            <w:vAlign w:val="center"/>
            <w:hideMark/>
          </w:tcPr>
          <w:p w14:paraId="616B69AC" w14:textId="31D984A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43.70</w:t>
            </w:r>
          </w:p>
        </w:tc>
        <w:tc>
          <w:tcPr>
            <w:tcW w:w="1158" w:type="dxa"/>
            <w:tcBorders>
              <w:top w:val="nil"/>
              <w:left w:val="nil"/>
              <w:bottom w:val="nil"/>
              <w:right w:val="nil"/>
            </w:tcBorders>
            <w:shd w:val="clear" w:color="auto" w:fill="auto"/>
            <w:noWrap/>
            <w:vAlign w:val="center"/>
            <w:hideMark/>
          </w:tcPr>
          <w:p w14:paraId="70C1E757" w14:textId="466C00F3"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hideMark/>
          </w:tcPr>
          <w:p w14:paraId="59D4D81C" w14:textId="55A11017"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100</w:t>
            </w:r>
          </w:p>
        </w:tc>
      </w:tr>
      <w:tr w:rsidR="00303C99" w:rsidRPr="003C1F10" w14:paraId="13F3927A"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4CDE2A47"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Secured by other real estate/Debt</w:t>
            </w:r>
          </w:p>
        </w:tc>
        <w:tc>
          <w:tcPr>
            <w:tcW w:w="1402" w:type="dxa"/>
            <w:tcBorders>
              <w:top w:val="nil"/>
              <w:left w:val="nil"/>
              <w:bottom w:val="nil"/>
              <w:right w:val="nil"/>
            </w:tcBorders>
            <w:shd w:val="clear" w:color="auto" w:fill="auto"/>
            <w:noWrap/>
            <w:vAlign w:val="center"/>
            <w:hideMark/>
          </w:tcPr>
          <w:p w14:paraId="0208BDFD" w14:textId="70F7AB8A"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29,711</w:t>
            </w:r>
          </w:p>
        </w:tc>
        <w:tc>
          <w:tcPr>
            <w:tcW w:w="885" w:type="dxa"/>
            <w:tcBorders>
              <w:top w:val="nil"/>
              <w:left w:val="nil"/>
              <w:bottom w:val="nil"/>
              <w:right w:val="nil"/>
            </w:tcBorders>
            <w:shd w:val="clear" w:color="auto" w:fill="auto"/>
            <w:noWrap/>
            <w:vAlign w:val="center"/>
            <w:hideMark/>
          </w:tcPr>
          <w:p w14:paraId="246D3E5F" w14:textId="13B9523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3.22</w:t>
            </w:r>
          </w:p>
        </w:tc>
        <w:tc>
          <w:tcPr>
            <w:tcW w:w="1097" w:type="dxa"/>
            <w:tcBorders>
              <w:top w:val="nil"/>
              <w:left w:val="nil"/>
              <w:bottom w:val="nil"/>
              <w:right w:val="nil"/>
            </w:tcBorders>
            <w:shd w:val="clear" w:color="auto" w:fill="auto"/>
            <w:noWrap/>
            <w:vAlign w:val="center"/>
            <w:hideMark/>
          </w:tcPr>
          <w:p w14:paraId="0DFE837B" w14:textId="79B91F6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14.53</w:t>
            </w:r>
          </w:p>
        </w:tc>
        <w:tc>
          <w:tcPr>
            <w:tcW w:w="1158" w:type="dxa"/>
            <w:tcBorders>
              <w:top w:val="nil"/>
              <w:left w:val="nil"/>
              <w:bottom w:val="nil"/>
              <w:right w:val="nil"/>
            </w:tcBorders>
            <w:shd w:val="clear" w:color="auto" w:fill="auto"/>
            <w:noWrap/>
            <w:vAlign w:val="center"/>
            <w:hideMark/>
          </w:tcPr>
          <w:p w14:paraId="7806BC4E" w14:textId="7CECDF2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hideMark/>
          </w:tcPr>
          <w:p w14:paraId="3572E623" w14:textId="427A2D4C"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100</w:t>
            </w:r>
          </w:p>
        </w:tc>
      </w:tr>
      <w:tr w:rsidR="00303C99" w:rsidRPr="003C1F10" w14:paraId="15BA201E"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024709EC"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Instalment Debt/Debt</w:t>
            </w:r>
          </w:p>
        </w:tc>
        <w:tc>
          <w:tcPr>
            <w:tcW w:w="1402" w:type="dxa"/>
            <w:tcBorders>
              <w:top w:val="nil"/>
              <w:left w:val="nil"/>
              <w:bottom w:val="nil"/>
              <w:right w:val="nil"/>
            </w:tcBorders>
            <w:shd w:val="clear" w:color="auto" w:fill="auto"/>
            <w:noWrap/>
            <w:vAlign w:val="center"/>
            <w:hideMark/>
          </w:tcPr>
          <w:p w14:paraId="7A544DAA" w14:textId="02ADBC23"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29,711</w:t>
            </w:r>
          </w:p>
        </w:tc>
        <w:tc>
          <w:tcPr>
            <w:tcW w:w="885" w:type="dxa"/>
            <w:tcBorders>
              <w:top w:val="nil"/>
              <w:left w:val="nil"/>
              <w:bottom w:val="nil"/>
              <w:right w:val="nil"/>
            </w:tcBorders>
            <w:shd w:val="clear" w:color="auto" w:fill="auto"/>
            <w:noWrap/>
            <w:vAlign w:val="center"/>
            <w:hideMark/>
          </w:tcPr>
          <w:p w14:paraId="0F34760A" w14:textId="3BD699B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29.53</w:t>
            </w:r>
          </w:p>
        </w:tc>
        <w:tc>
          <w:tcPr>
            <w:tcW w:w="1097" w:type="dxa"/>
            <w:tcBorders>
              <w:top w:val="nil"/>
              <w:left w:val="nil"/>
              <w:bottom w:val="nil"/>
              <w:right w:val="nil"/>
            </w:tcBorders>
            <w:shd w:val="clear" w:color="auto" w:fill="auto"/>
            <w:noWrap/>
            <w:vAlign w:val="center"/>
            <w:hideMark/>
          </w:tcPr>
          <w:p w14:paraId="6AA10AD0" w14:textId="628072D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38.71</w:t>
            </w:r>
          </w:p>
        </w:tc>
        <w:tc>
          <w:tcPr>
            <w:tcW w:w="1158" w:type="dxa"/>
            <w:tcBorders>
              <w:top w:val="nil"/>
              <w:left w:val="nil"/>
              <w:bottom w:val="nil"/>
              <w:right w:val="nil"/>
            </w:tcBorders>
            <w:shd w:val="clear" w:color="auto" w:fill="auto"/>
            <w:noWrap/>
            <w:vAlign w:val="center"/>
            <w:hideMark/>
          </w:tcPr>
          <w:p w14:paraId="3F28BBB5" w14:textId="5DD00D02"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hideMark/>
          </w:tcPr>
          <w:p w14:paraId="18B5E90C" w14:textId="585B058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100</w:t>
            </w:r>
          </w:p>
        </w:tc>
      </w:tr>
      <w:tr w:rsidR="00303C99" w:rsidRPr="003C1F10" w14:paraId="4BB7AECE"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206EDF90"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Credit Card Balances/Debt</w:t>
            </w:r>
          </w:p>
        </w:tc>
        <w:tc>
          <w:tcPr>
            <w:tcW w:w="1402" w:type="dxa"/>
            <w:tcBorders>
              <w:top w:val="nil"/>
              <w:left w:val="nil"/>
              <w:bottom w:val="nil"/>
              <w:right w:val="nil"/>
            </w:tcBorders>
            <w:shd w:val="clear" w:color="auto" w:fill="auto"/>
            <w:noWrap/>
            <w:vAlign w:val="center"/>
            <w:hideMark/>
          </w:tcPr>
          <w:p w14:paraId="588367C9" w14:textId="1FD0B0D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29,711</w:t>
            </w:r>
          </w:p>
        </w:tc>
        <w:tc>
          <w:tcPr>
            <w:tcW w:w="885" w:type="dxa"/>
            <w:tcBorders>
              <w:top w:val="nil"/>
              <w:left w:val="nil"/>
              <w:bottom w:val="nil"/>
              <w:right w:val="nil"/>
            </w:tcBorders>
            <w:shd w:val="clear" w:color="auto" w:fill="auto"/>
            <w:noWrap/>
            <w:vAlign w:val="center"/>
            <w:hideMark/>
          </w:tcPr>
          <w:p w14:paraId="44316701" w14:textId="0BA64723"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14.95</w:t>
            </w:r>
          </w:p>
        </w:tc>
        <w:tc>
          <w:tcPr>
            <w:tcW w:w="1097" w:type="dxa"/>
            <w:tcBorders>
              <w:top w:val="nil"/>
              <w:left w:val="nil"/>
              <w:bottom w:val="nil"/>
              <w:right w:val="nil"/>
            </w:tcBorders>
            <w:shd w:val="clear" w:color="auto" w:fill="auto"/>
            <w:noWrap/>
            <w:vAlign w:val="center"/>
            <w:hideMark/>
          </w:tcPr>
          <w:p w14:paraId="36497B2A" w14:textId="7AE2997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30.55</w:t>
            </w:r>
          </w:p>
        </w:tc>
        <w:tc>
          <w:tcPr>
            <w:tcW w:w="1158" w:type="dxa"/>
            <w:tcBorders>
              <w:top w:val="nil"/>
              <w:left w:val="nil"/>
              <w:bottom w:val="nil"/>
              <w:right w:val="nil"/>
            </w:tcBorders>
            <w:shd w:val="clear" w:color="auto" w:fill="auto"/>
            <w:noWrap/>
            <w:vAlign w:val="center"/>
            <w:hideMark/>
          </w:tcPr>
          <w:p w14:paraId="3C06C004" w14:textId="64584AAE"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hideMark/>
          </w:tcPr>
          <w:p w14:paraId="6A013769" w14:textId="71C4644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100</w:t>
            </w:r>
          </w:p>
        </w:tc>
      </w:tr>
      <w:tr w:rsidR="00303C99" w:rsidRPr="003C1F10" w14:paraId="10FF99D6" w14:textId="77777777" w:rsidTr="00303C99">
        <w:trPr>
          <w:trHeight w:val="320"/>
          <w:jc w:val="center"/>
        </w:trPr>
        <w:tc>
          <w:tcPr>
            <w:tcW w:w="3604" w:type="dxa"/>
            <w:tcBorders>
              <w:top w:val="nil"/>
              <w:left w:val="nil"/>
              <w:bottom w:val="nil"/>
              <w:right w:val="nil"/>
            </w:tcBorders>
            <w:shd w:val="clear" w:color="auto" w:fill="auto"/>
            <w:noWrap/>
            <w:vAlign w:val="center"/>
          </w:tcPr>
          <w:p w14:paraId="04B4E9E0" w14:textId="12BEA226"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Other types of debt/Debt</w:t>
            </w:r>
          </w:p>
        </w:tc>
        <w:tc>
          <w:tcPr>
            <w:tcW w:w="1402" w:type="dxa"/>
            <w:tcBorders>
              <w:top w:val="nil"/>
              <w:left w:val="nil"/>
              <w:bottom w:val="nil"/>
              <w:right w:val="nil"/>
            </w:tcBorders>
            <w:shd w:val="clear" w:color="auto" w:fill="auto"/>
            <w:noWrap/>
            <w:vAlign w:val="center"/>
          </w:tcPr>
          <w:p w14:paraId="2B7CF910" w14:textId="0D732EF3"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29,711</w:t>
            </w:r>
          </w:p>
        </w:tc>
        <w:tc>
          <w:tcPr>
            <w:tcW w:w="885" w:type="dxa"/>
            <w:tcBorders>
              <w:top w:val="nil"/>
              <w:left w:val="nil"/>
              <w:bottom w:val="nil"/>
              <w:right w:val="nil"/>
            </w:tcBorders>
            <w:shd w:val="clear" w:color="auto" w:fill="auto"/>
            <w:noWrap/>
            <w:vAlign w:val="center"/>
          </w:tcPr>
          <w:p w14:paraId="746BA79C" w14:textId="32D96C1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3.53</w:t>
            </w:r>
          </w:p>
        </w:tc>
        <w:tc>
          <w:tcPr>
            <w:tcW w:w="1097" w:type="dxa"/>
            <w:tcBorders>
              <w:top w:val="nil"/>
              <w:left w:val="nil"/>
              <w:bottom w:val="nil"/>
              <w:right w:val="nil"/>
            </w:tcBorders>
            <w:shd w:val="clear" w:color="auto" w:fill="auto"/>
            <w:noWrap/>
            <w:vAlign w:val="center"/>
          </w:tcPr>
          <w:p w14:paraId="610A12D7" w14:textId="57EEFD19"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15.64</w:t>
            </w:r>
          </w:p>
        </w:tc>
        <w:tc>
          <w:tcPr>
            <w:tcW w:w="1158" w:type="dxa"/>
            <w:tcBorders>
              <w:top w:val="nil"/>
              <w:left w:val="nil"/>
              <w:bottom w:val="nil"/>
              <w:right w:val="nil"/>
            </w:tcBorders>
            <w:shd w:val="clear" w:color="auto" w:fill="auto"/>
            <w:noWrap/>
            <w:vAlign w:val="center"/>
          </w:tcPr>
          <w:p w14:paraId="5A81B605" w14:textId="25C7A5D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3D30B795" w14:textId="29981F8D"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100</w:t>
            </w:r>
          </w:p>
        </w:tc>
      </w:tr>
      <w:tr w:rsidR="00303C99" w:rsidRPr="003C1F10" w14:paraId="421BAD79" w14:textId="77777777" w:rsidTr="00303C99">
        <w:trPr>
          <w:trHeight w:val="320"/>
          <w:jc w:val="center"/>
        </w:trPr>
        <w:tc>
          <w:tcPr>
            <w:tcW w:w="3604" w:type="dxa"/>
            <w:tcBorders>
              <w:top w:val="nil"/>
              <w:left w:val="nil"/>
              <w:right w:val="nil"/>
            </w:tcBorders>
            <w:shd w:val="clear" w:color="auto" w:fill="auto"/>
            <w:noWrap/>
            <w:vAlign w:val="center"/>
            <w:hideMark/>
          </w:tcPr>
          <w:p w14:paraId="60B9F1BF" w14:textId="77777777"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hAnsi="Times New Roman" w:cs="Times New Roman"/>
                <w:sz w:val="20"/>
                <w:szCs w:val="20"/>
                <w:lang w:eastAsia="en-GB"/>
              </w:rPr>
              <w:t>Debt-service-to-income ratio (</w:t>
            </w:r>
            <w:r w:rsidRPr="003C1F10">
              <w:rPr>
                <w:rFonts w:ascii="Times New Roman" w:eastAsia="Times New Roman" w:hAnsi="Times New Roman" w:cs="Times New Roman"/>
                <w:color w:val="000000"/>
                <w:sz w:val="20"/>
                <w:szCs w:val="20"/>
                <w:lang w:eastAsia="en-GB"/>
              </w:rPr>
              <w:t>DSY)</w:t>
            </w:r>
          </w:p>
        </w:tc>
        <w:tc>
          <w:tcPr>
            <w:tcW w:w="1402" w:type="dxa"/>
            <w:tcBorders>
              <w:top w:val="nil"/>
              <w:left w:val="nil"/>
              <w:right w:val="nil"/>
            </w:tcBorders>
            <w:shd w:val="clear" w:color="auto" w:fill="auto"/>
            <w:noWrap/>
            <w:vAlign w:val="center"/>
            <w:hideMark/>
          </w:tcPr>
          <w:p w14:paraId="587C0F37" w14:textId="19B7C097"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right w:val="nil"/>
            </w:tcBorders>
            <w:shd w:val="clear" w:color="auto" w:fill="auto"/>
            <w:noWrap/>
            <w:vAlign w:val="center"/>
            <w:hideMark/>
          </w:tcPr>
          <w:p w14:paraId="2A60A13A" w14:textId="52AE6D0C"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0.20</w:t>
            </w:r>
          </w:p>
        </w:tc>
        <w:tc>
          <w:tcPr>
            <w:tcW w:w="1097" w:type="dxa"/>
            <w:tcBorders>
              <w:top w:val="nil"/>
              <w:left w:val="nil"/>
              <w:right w:val="nil"/>
            </w:tcBorders>
            <w:shd w:val="clear" w:color="auto" w:fill="auto"/>
            <w:noWrap/>
            <w:vAlign w:val="center"/>
            <w:hideMark/>
          </w:tcPr>
          <w:p w14:paraId="5815E54B" w14:textId="1F85E41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1.88</w:t>
            </w:r>
          </w:p>
        </w:tc>
        <w:tc>
          <w:tcPr>
            <w:tcW w:w="1158" w:type="dxa"/>
            <w:tcBorders>
              <w:top w:val="nil"/>
              <w:left w:val="nil"/>
              <w:right w:val="nil"/>
            </w:tcBorders>
            <w:shd w:val="clear" w:color="auto" w:fill="auto"/>
            <w:noWrap/>
            <w:vAlign w:val="center"/>
            <w:hideMark/>
          </w:tcPr>
          <w:p w14:paraId="5B0A4310" w14:textId="688EFE9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right w:val="nil"/>
            </w:tcBorders>
            <w:shd w:val="clear" w:color="auto" w:fill="auto"/>
            <w:noWrap/>
            <w:vAlign w:val="center"/>
            <w:hideMark/>
          </w:tcPr>
          <w:p w14:paraId="33BBAE54" w14:textId="40ADF71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2,152.61</w:t>
            </w:r>
          </w:p>
        </w:tc>
      </w:tr>
      <w:tr w:rsidR="00303C99" w:rsidRPr="003C1F10" w14:paraId="5BF5A984" w14:textId="77777777" w:rsidTr="00303C99">
        <w:trPr>
          <w:trHeight w:val="320"/>
          <w:jc w:val="center"/>
        </w:trPr>
        <w:tc>
          <w:tcPr>
            <w:tcW w:w="3604" w:type="dxa"/>
            <w:tcBorders>
              <w:top w:val="nil"/>
              <w:left w:val="nil"/>
              <w:right w:val="nil"/>
            </w:tcBorders>
            <w:shd w:val="clear" w:color="auto" w:fill="auto"/>
            <w:noWrap/>
            <w:vAlign w:val="center"/>
          </w:tcPr>
          <w:p w14:paraId="5756542D" w14:textId="44D5B0FA" w:rsidR="00303C99" w:rsidRPr="003C1F10" w:rsidRDefault="00303C99" w:rsidP="00303C99">
            <w:pPr>
              <w:spacing w:after="0" w:line="240" w:lineRule="auto"/>
              <w:ind w:firstLine="0"/>
              <w:jc w:val="left"/>
              <w:rPr>
                <w:rFonts w:ascii="Times New Roman" w:hAnsi="Times New Roman" w:cs="Times New Roman"/>
                <w:sz w:val="20"/>
                <w:szCs w:val="20"/>
                <w:lang w:eastAsia="en-GB"/>
              </w:rPr>
            </w:pPr>
            <w:r w:rsidRPr="003C1F10">
              <w:rPr>
                <w:rFonts w:ascii="Times New Roman" w:eastAsia="Times New Roman" w:hAnsi="Times New Roman" w:cs="Times New Roman"/>
                <w:color w:val="000000"/>
                <w:sz w:val="20"/>
                <w:szCs w:val="20"/>
                <w:lang w:eastAsia="en-GB"/>
              </w:rPr>
              <w:t>Debt-to-asset ratio</w:t>
            </w:r>
          </w:p>
        </w:tc>
        <w:tc>
          <w:tcPr>
            <w:tcW w:w="1402" w:type="dxa"/>
            <w:tcBorders>
              <w:top w:val="nil"/>
              <w:left w:val="nil"/>
              <w:right w:val="nil"/>
            </w:tcBorders>
            <w:shd w:val="clear" w:color="auto" w:fill="auto"/>
            <w:noWrap/>
            <w:vAlign w:val="center"/>
          </w:tcPr>
          <w:p w14:paraId="25E838F6" w14:textId="4B735C0C"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right w:val="nil"/>
            </w:tcBorders>
            <w:shd w:val="clear" w:color="auto" w:fill="auto"/>
            <w:noWrap/>
            <w:vAlign w:val="center"/>
          </w:tcPr>
          <w:p w14:paraId="58DDFD72" w14:textId="2B4760A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7.05</w:t>
            </w:r>
          </w:p>
        </w:tc>
        <w:tc>
          <w:tcPr>
            <w:tcW w:w="1097" w:type="dxa"/>
            <w:tcBorders>
              <w:top w:val="nil"/>
              <w:left w:val="nil"/>
              <w:right w:val="nil"/>
            </w:tcBorders>
            <w:shd w:val="clear" w:color="auto" w:fill="auto"/>
            <w:noWrap/>
            <w:vAlign w:val="center"/>
          </w:tcPr>
          <w:p w14:paraId="5750F493" w14:textId="5745E012"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485.85</w:t>
            </w:r>
          </w:p>
        </w:tc>
        <w:tc>
          <w:tcPr>
            <w:tcW w:w="1158" w:type="dxa"/>
            <w:tcBorders>
              <w:top w:val="nil"/>
              <w:left w:val="nil"/>
              <w:right w:val="nil"/>
            </w:tcBorders>
            <w:shd w:val="clear" w:color="auto" w:fill="auto"/>
            <w:noWrap/>
            <w:vAlign w:val="center"/>
          </w:tcPr>
          <w:p w14:paraId="57C39666" w14:textId="7C1F0763"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right w:val="nil"/>
            </w:tcBorders>
            <w:shd w:val="clear" w:color="auto" w:fill="auto"/>
            <w:noWrap/>
            <w:vAlign w:val="center"/>
          </w:tcPr>
          <w:p w14:paraId="056DAF95" w14:textId="1F9F00B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119,000</w:t>
            </w:r>
          </w:p>
        </w:tc>
      </w:tr>
      <w:tr w:rsidR="00303C99" w:rsidRPr="003C1F10" w14:paraId="6D2863C4" w14:textId="77777777" w:rsidTr="00303C99">
        <w:trPr>
          <w:trHeight w:val="320"/>
          <w:jc w:val="center"/>
        </w:trPr>
        <w:tc>
          <w:tcPr>
            <w:tcW w:w="3604" w:type="dxa"/>
            <w:tcBorders>
              <w:top w:val="nil"/>
              <w:left w:val="nil"/>
              <w:bottom w:val="nil"/>
              <w:right w:val="nil"/>
            </w:tcBorders>
            <w:shd w:val="clear" w:color="auto" w:fill="auto"/>
            <w:noWrap/>
            <w:vAlign w:val="center"/>
            <w:hideMark/>
          </w:tcPr>
          <w:p w14:paraId="3ADAD672" w14:textId="4327C5F0"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Debt-to-income ratio</w:t>
            </w:r>
          </w:p>
        </w:tc>
        <w:tc>
          <w:tcPr>
            <w:tcW w:w="1402" w:type="dxa"/>
            <w:tcBorders>
              <w:top w:val="nil"/>
              <w:left w:val="nil"/>
              <w:bottom w:val="nil"/>
              <w:right w:val="nil"/>
            </w:tcBorders>
            <w:shd w:val="clear" w:color="auto" w:fill="auto"/>
            <w:noWrap/>
            <w:vAlign w:val="center"/>
            <w:hideMark/>
          </w:tcPr>
          <w:p w14:paraId="7861A4EF" w14:textId="6ACECD77"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hideMark/>
          </w:tcPr>
          <w:p w14:paraId="550156A4" w14:textId="05F466A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1.64</w:t>
            </w:r>
          </w:p>
        </w:tc>
        <w:tc>
          <w:tcPr>
            <w:tcW w:w="1097" w:type="dxa"/>
            <w:tcBorders>
              <w:top w:val="nil"/>
              <w:left w:val="nil"/>
              <w:bottom w:val="nil"/>
              <w:right w:val="nil"/>
            </w:tcBorders>
            <w:shd w:val="clear" w:color="auto" w:fill="auto"/>
            <w:noWrap/>
            <w:vAlign w:val="center"/>
            <w:hideMark/>
          </w:tcPr>
          <w:p w14:paraId="2F65A81F" w14:textId="4FECC50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166.53</w:t>
            </w:r>
          </w:p>
        </w:tc>
        <w:tc>
          <w:tcPr>
            <w:tcW w:w="1158" w:type="dxa"/>
            <w:tcBorders>
              <w:top w:val="nil"/>
              <w:left w:val="nil"/>
              <w:bottom w:val="nil"/>
              <w:right w:val="nil"/>
            </w:tcBorders>
            <w:shd w:val="clear" w:color="auto" w:fill="auto"/>
            <w:noWrap/>
            <w:vAlign w:val="center"/>
            <w:hideMark/>
          </w:tcPr>
          <w:p w14:paraId="69EF7F3B" w14:textId="03E3D2FB"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hideMark/>
          </w:tcPr>
          <w:p w14:paraId="23F0EFB3" w14:textId="64AC9ABE"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63,977.94</w:t>
            </w:r>
          </w:p>
        </w:tc>
      </w:tr>
      <w:tr w:rsidR="00303C99" w:rsidRPr="003C1F10" w14:paraId="478465FC" w14:textId="77777777" w:rsidTr="00303C99">
        <w:trPr>
          <w:trHeight w:val="320"/>
          <w:jc w:val="center"/>
        </w:trPr>
        <w:tc>
          <w:tcPr>
            <w:tcW w:w="3604" w:type="dxa"/>
            <w:tcBorders>
              <w:top w:val="nil"/>
              <w:left w:val="nil"/>
              <w:bottom w:val="nil"/>
              <w:right w:val="nil"/>
            </w:tcBorders>
            <w:shd w:val="clear" w:color="auto" w:fill="auto"/>
            <w:noWrap/>
            <w:vAlign w:val="center"/>
          </w:tcPr>
          <w:p w14:paraId="20D29EC5" w14:textId="68826C32"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w:t>
            </w:r>
            <w:r w:rsidRPr="003C1F10">
              <w:rPr>
                <w:rFonts w:ascii="Times New Roman" w:eastAsia="Times New Roman" w:hAnsi="Times New Roman" w:cs="Times New Roman"/>
                <w:color w:val="000000"/>
                <w:sz w:val="20"/>
                <w:szCs w:val="20"/>
                <w:lang w:eastAsia="en-GB"/>
              </w:rPr>
              <w:t xml:space="preserve">ge </w:t>
            </w:r>
            <w:r>
              <w:rPr>
                <w:rFonts w:ascii="Times New Roman" w:eastAsia="Times New Roman" w:hAnsi="Times New Roman" w:cs="Times New Roman"/>
                <w:color w:val="000000"/>
                <w:sz w:val="20"/>
                <w:szCs w:val="20"/>
                <w:lang w:eastAsia="en-GB"/>
              </w:rPr>
              <w:t>of</w:t>
            </w:r>
            <w:r w:rsidRPr="003C1F10">
              <w:rPr>
                <w:rFonts w:ascii="Times New Roman" w:eastAsia="Times New Roman" w:hAnsi="Times New Roman" w:cs="Times New Roman"/>
                <w:color w:val="000000"/>
                <w:sz w:val="20"/>
                <w:szCs w:val="20"/>
                <w:lang w:eastAsia="en-GB"/>
              </w:rPr>
              <w:t xml:space="preserve"> household</w:t>
            </w:r>
            <w:r>
              <w:rPr>
                <w:rFonts w:ascii="Times New Roman" w:eastAsia="Times New Roman" w:hAnsi="Times New Roman" w:cs="Times New Roman"/>
                <w:color w:val="000000"/>
                <w:sz w:val="20"/>
                <w:szCs w:val="20"/>
                <w:lang w:eastAsia="en-GB"/>
              </w:rPr>
              <w:t xml:space="preserve"> head</w:t>
            </w:r>
          </w:p>
        </w:tc>
        <w:tc>
          <w:tcPr>
            <w:tcW w:w="1402" w:type="dxa"/>
            <w:tcBorders>
              <w:top w:val="nil"/>
              <w:left w:val="nil"/>
              <w:bottom w:val="nil"/>
              <w:right w:val="nil"/>
            </w:tcBorders>
            <w:shd w:val="clear" w:color="auto" w:fill="auto"/>
            <w:noWrap/>
            <w:vAlign w:val="center"/>
          </w:tcPr>
          <w:p w14:paraId="4B21A4D0" w14:textId="7D3CE54E"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64BC90B5" w14:textId="3F657C1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49.40</w:t>
            </w:r>
          </w:p>
        </w:tc>
        <w:tc>
          <w:tcPr>
            <w:tcW w:w="1097" w:type="dxa"/>
            <w:tcBorders>
              <w:top w:val="nil"/>
              <w:left w:val="nil"/>
              <w:bottom w:val="nil"/>
              <w:right w:val="nil"/>
            </w:tcBorders>
            <w:shd w:val="clear" w:color="auto" w:fill="auto"/>
            <w:noWrap/>
            <w:vAlign w:val="center"/>
          </w:tcPr>
          <w:p w14:paraId="31086518" w14:textId="41E1C63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17.30</w:t>
            </w:r>
          </w:p>
        </w:tc>
        <w:tc>
          <w:tcPr>
            <w:tcW w:w="1158" w:type="dxa"/>
            <w:tcBorders>
              <w:top w:val="nil"/>
              <w:left w:val="nil"/>
              <w:bottom w:val="nil"/>
              <w:right w:val="nil"/>
            </w:tcBorders>
            <w:shd w:val="clear" w:color="auto" w:fill="auto"/>
            <w:noWrap/>
            <w:vAlign w:val="center"/>
          </w:tcPr>
          <w:p w14:paraId="2A1B0E6E" w14:textId="2FA7CC0D"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17</w:t>
            </w:r>
          </w:p>
        </w:tc>
        <w:tc>
          <w:tcPr>
            <w:tcW w:w="1194" w:type="dxa"/>
            <w:tcBorders>
              <w:top w:val="nil"/>
              <w:left w:val="nil"/>
              <w:bottom w:val="nil"/>
              <w:right w:val="nil"/>
            </w:tcBorders>
            <w:shd w:val="clear" w:color="auto" w:fill="auto"/>
            <w:noWrap/>
            <w:vAlign w:val="center"/>
          </w:tcPr>
          <w:p w14:paraId="6B055B17" w14:textId="1E5CF992"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95</w:t>
            </w:r>
          </w:p>
        </w:tc>
      </w:tr>
      <w:tr w:rsidR="00303C99" w:rsidRPr="003C1F10" w14:paraId="5ED61B96" w14:textId="77777777" w:rsidTr="00303C99">
        <w:trPr>
          <w:trHeight w:val="320"/>
          <w:jc w:val="center"/>
        </w:trPr>
        <w:tc>
          <w:tcPr>
            <w:tcW w:w="3604" w:type="dxa"/>
            <w:tcBorders>
              <w:top w:val="nil"/>
              <w:left w:val="nil"/>
              <w:bottom w:val="nil"/>
              <w:right w:val="nil"/>
            </w:tcBorders>
            <w:shd w:val="clear" w:color="auto" w:fill="auto"/>
            <w:noWrap/>
            <w:vAlign w:val="center"/>
          </w:tcPr>
          <w:p w14:paraId="3D494C4A" w14:textId="0DC6031A"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Proportion of adults aged 18-35</w:t>
            </w:r>
          </w:p>
        </w:tc>
        <w:tc>
          <w:tcPr>
            <w:tcW w:w="1402" w:type="dxa"/>
            <w:tcBorders>
              <w:top w:val="nil"/>
              <w:left w:val="nil"/>
              <w:bottom w:val="nil"/>
              <w:right w:val="nil"/>
            </w:tcBorders>
            <w:shd w:val="clear" w:color="auto" w:fill="auto"/>
            <w:noWrap/>
            <w:vAlign w:val="center"/>
          </w:tcPr>
          <w:p w14:paraId="40008142" w14:textId="5B93B21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6E6B9AAA" w14:textId="0CB0CEB9"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24.05</w:t>
            </w:r>
          </w:p>
        </w:tc>
        <w:tc>
          <w:tcPr>
            <w:tcW w:w="1097" w:type="dxa"/>
            <w:tcBorders>
              <w:top w:val="nil"/>
              <w:left w:val="nil"/>
              <w:bottom w:val="nil"/>
              <w:right w:val="nil"/>
            </w:tcBorders>
            <w:shd w:val="clear" w:color="auto" w:fill="auto"/>
            <w:noWrap/>
            <w:vAlign w:val="center"/>
          </w:tcPr>
          <w:p w14:paraId="311955DC" w14:textId="27985E5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33.42</w:t>
            </w:r>
          </w:p>
        </w:tc>
        <w:tc>
          <w:tcPr>
            <w:tcW w:w="1158" w:type="dxa"/>
            <w:tcBorders>
              <w:top w:val="nil"/>
              <w:left w:val="nil"/>
              <w:bottom w:val="nil"/>
              <w:right w:val="nil"/>
            </w:tcBorders>
            <w:shd w:val="clear" w:color="auto" w:fill="auto"/>
            <w:noWrap/>
            <w:vAlign w:val="center"/>
          </w:tcPr>
          <w:p w14:paraId="33FF9431" w14:textId="7A8279AE"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6EE4E946" w14:textId="0CB0813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100</w:t>
            </w:r>
          </w:p>
        </w:tc>
      </w:tr>
      <w:tr w:rsidR="00303C99" w:rsidRPr="003C1F10" w14:paraId="56FD9011" w14:textId="77777777" w:rsidTr="00303C99">
        <w:trPr>
          <w:trHeight w:val="320"/>
          <w:jc w:val="center"/>
        </w:trPr>
        <w:tc>
          <w:tcPr>
            <w:tcW w:w="3604" w:type="dxa"/>
            <w:tcBorders>
              <w:top w:val="nil"/>
              <w:left w:val="nil"/>
              <w:bottom w:val="nil"/>
              <w:right w:val="nil"/>
            </w:tcBorders>
            <w:shd w:val="clear" w:color="auto" w:fill="auto"/>
            <w:noWrap/>
            <w:vAlign w:val="center"/>
          </w:tcPr>
          <w:p w14:paraId="7A87AD75" w14:textId="5F35B913" w:rsidR="00303C99"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Proportion of adults aged 36-65</w:t>
            </w:r>
          </w:p>
        </w:tc>
        <w:tc>
          <w:tcPr>
            <w:tcW w:w="1402" w:type="dxa"/>
            <w:tcBorders>
              <w:top w:val="nil"/>
              <w:left w:val="nil"/>
              <w:bottom w:val="nil"/>
              <w:right w:val="nil"/>
            </w:tcBorders>
            <w:shd w:val="clear" w:color="auto" w:fill="auto"/>
            <w:noWrap/>
            <w:vAlign w:val="center"/>
          </w:tcPr>
          <w:p w14:paraId="4216484E" w14:textId="3FB4E571"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6BE0BA44" w14:textId="19D2F1CD"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40.57</w:t>
            </w:r>
          </w:p>
        </w:tc>
        <w:tc>
          <w:tcPr>
            <w:tcW w:w="1097" w:type="dxa"/>
            <w:tcBorders>
              <w:top w:val="nil"/>
              <w:left w:val="nil"/>
              <w:bottom w:val="nil"/>
              <w:right w:val="nil"/>
            </w:tcBorders>
            <w:shd w:val="clear" w:color="auto" w:fill="auto"/>
            <w:noWrap/>
            <w:vAlign w:val="center"/>
          </w:tcPr>
          <w:p w14:paraId="2756AC0E" w14:textId="4C92FF77"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39.33</w:t>
            </w:r>
          </w:p>
        </w:tc>
        <w:tc>
          <w:tcPr>
            <w:tcW w:w="1158" w:type="dxa"/>
            <w:tcBorders>
              <w:top w:val="nil"/>
              <w:left w:val="nil"/>
              <w:bottom w:val="nil"/>
              <w:right w:val="nil"/>
            </w:tcBorders>
            <w:shd w:val="clear" w:color="auto" w:fill="auto"/>
            <w:noWrap/>
            <w:vAlign w:val="center"/>
          </w:tcPr>
          <w:p w14:paraId="4313578C" w14:textId="3E5F68B3"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5812741E" w14:textId="6D406727"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100</w:t>
            </w:r>
          </w:p>
        </w:tc>
      </w:tr>
      <w:tr w:rsidR="00303C99" w:rsidRPr="003C1F10" w14:paraId="1B1BCD3E" w14:textId="77777777" w:rsidTr="00303C99">
        <w:trPr>
          <w:trHeight w:val="320"/>
          <w:jc w:val="center"/>
        </w:trPr>
        <w:tc>
          <w:tcPr>
            <w:tcW w:w="3604" w:type="dxa"/>
            <w:tcBorders>
              <w:top w:val="nil"/>
              <w:left w:val="nil"/>
              <w:bottom w:val="nil"/>
              <w:right w:val="nil"/>
            </w:tcBorders>
            <w:shd w:val="clear" w:color="auto" w:fill="auto"/>
            <w:noWrap/>
            <w:vAlign w:val="center"/>
          </w:tcPr>
          <w:p w14:paraId="7F860211" w14:textId="10BB1F90" w:rsidR="00303C99"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Proportion of adults aged 66 and above</w:t>
            </w:r>
          </w:p>
        </w:tc>
        <w:tc>
          <w:tcPr>
            <w:tcW w:w="1402" w:type="dxa"/>
            <w:tcBorders>
              <w:top w:val="nil"/>
              <w:left w:val="nil"/>
              <w:bottom w:val="nil"/>
              <w:right w:val="nil"/>
            </w:tcBorders>
            <w:shd w:val="clear" w:color="auto" w:fill="auto"/>
            <w:noWrap/>
            <w:vAlign w:val="center"/>
          </w:tcPr>
          <w:p w14:paraId="530A4720" w14:textId="67048343"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4C5787B1" w14:textId="332C7EB4"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18.64</w:t>
            </w:r>
          </w:p>
        </w:tc>
        <w:tc>
          <w:tcPr>
            <w:tcW w:w="1097" w:type="dxa"/>
            <w:tcBorders>
              <w:top w:val="nil"/>
              <w:left w:val="nil"/>
              <w:bottom w:val="nil"/>
              <w:right w:val="nil"/>
            </w:tcBorders>
            <w:shd w:val="clear" w:color="auto" w:fill="auto"/>
            <w:noWrap/>
            <w:vAlign w:val="center"/>
          </w:tcPr>
          <w:p w14:paraId="54FD6ECF" w14:textId="4D057F4E"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36.68</w:t>
            </w:r>
          </w:p>
        </w:tc>
        <w:tc>
          <w:tcPr>
            <w:tcW w:w="1158" w:type="dxa"/>
            <w:tcBorders>
              <w:top w:val="nil"/>
              <w:left w:val="nil"/>
              <w:bottom w:val="nil"/>
              <w:right w:val="nil"/>
            </w:tcBorders>
            <w:shd w:val="clear" w:color="auto" w:fill="auto"/>
            <w:noWrap/>
            <w:vAlign w:val="center"/>
          </w:tcPr>
          <w:p w14:paraId="1990EF6A" w14:textId="66F1AADA"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683D84C8" w14:textId="60344D07"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100</w:t>
            </w:r>
          </w:p>
        </w:tc>
      </w:tr>
      <w:tr w:rsidR="00303C99" w:rsidRPr="003C1F10" w14:paraId="3321AB64" w14:textId="77777777" w:rsidTr="00303C99">
        <w:trPr>
          <w:trHeight w:val="320"/>
          <w:jc w:val="center"/>
        </w:trPr>
        <w:tc>
          <w:tcPr>
            <w:tcW w:w="3604" w:type="dxa"/>
            <w:tcBorders>
              <w:top w:val="nil"/>
              <w:left w:val="nil"/>
              <w:bottom w:val="nil"/>
              <w:right w:val="nil"/>
            </w:tcBorders>
            <w:shd w:val="clear" w:color="auto" w:fill="auto"/>
            <w:noWrap/>
            <w:vAlign w:val="center"/>
          </w:tcPr>
          <w:p w14:paraId="54000544" w14:textId="66ED7D46" w:rsidR="00303C99"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Total educational attainment in household</w:t>
            </w:r>
          </w:p>
        </w:tc>
        <w:tc>
          <w:tcPr>
            <w:tcW w:w="1402" w:type="dxa"/>
            <w:tcBorders>
              <w:top w:val="nil"/>
              <w:left w:val="nil"/>
              <w:bottom w:val="nil"/>
              <w:right w:val="nil"/>
            </w:tcBorders>
            <w:shd w:val="clear" w:color="auto" w:fill="auto"/>
            <w:noWrap/>
            <w:vAlign w:val="center"/>
          </w:tcPr>
          <w:p w14:paraId="1FD6E164" w14:textId="1A0A0F32"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11916B15" w14:textId="0EF5B700"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20.78</w:t>
            </w:r>
          </w:p>
        </w:tc>
        <w:tc>
          <w:tcPr>
            <w:tcW w:w="1097" w:type="dxa"/>
            <w:tcBorders>
              <w:top w:val="nil"/>
              <w:left w:val="nil"/>
              <w:bottom w:val="nil"/>
              <w:right w:val="nil"/>
            </w:tcBorders>
            <w:shd w:val="clear" w:color="auto" w:fill="auto"/>
            <w:noWrap/>
            <w:vAlign w:val="center"/>
          </w:tcPr>
          <w:p w14:paraId="12C5CF7C" w14:textId="037A3992"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8.00</w:t>
            </w:r>
          </w:p>
        </w:tc>
        <w:tc>
          <w:tcPr>
            <w:tcW w:w="1158" w:type="dxa"/>
            <w:tcBorders>
              <w:top w:val="nil"/>
              <w:left w:val="nil"/>
              <w:bottom w:val="nil"/>
              <w:right w:val="nil"/>
            </w:tcBorders>
            <w:shd w:val="clear" w:color="auto" w:fill="auto"/>
            <w:noWrap/>
            <w:vAlign w:val="center"/>
          </w:tcPr>
          <w:p w14:paraId="49B58D21" w14:textId="02FF3CDB"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54F416F6" w14:textId="14CE547C"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34</w:t>
            </w:r>
          </w:p>
        </w:tc>
      </w:tr>
      <w:tr w:rsidR="00303C99" w:rsidRPr="003C1F10" w14:paraId="64844413" w14:textId="77777777" w:rsidTr="00303C99">
        <w:trPr>
          <w:trHeight w:val="320"/>
          <w:jc w:val="center"/>
        </w:trPr>
        <w:tc>
          <w:tcPr>
            <w:tcW w:w="3604" w:type="dxa"/>
            <w:tcBorders>
              <w:top w:val="nil"/>
              <w:left w:val="nil"/>
              <w:bottom w:val="nil"/>
              <w:right w:val="nil"/>
            </w:tcBorders>
            <w:shd w:val="clear" w:color="auto" w:fill="auto"/>
            <w:noWrap/>
            <w:vAlign w:val="center"/>
          </w:tcPr>
          <w:p w14:paraId="56ED3EC1" w14:textId="3DC0F43C"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Number of h</w:t>
            </w:r>
            <w:r w:rsidRPr="003C1F10">
              <w:rPr>
                <w:rFonts w:ascii="Times New Roman" w:eastAsia="Times New Roman" w:hAnsi="Times New Roman" w:cs="Times New Roman"/>
                <w:color w:val="000000"/>
                <w:sz w:val="20"/>
                <w:szCs w:val="20"/>
                <w:lang w:eastAsia="en-GB"/>
              </w:rPr>
              <w:t xml:space="preserve">ousehold members </w:t>
            </w:r>
          </w:p>
        </w:tc>
        <w:tc>
          <w:tcPr>
            <w:tcW w:w="1402" w:type="dxa"/>
            <w:tcBorders>
              <w:top w:val="nil"/>
              <w:left w:val="nil"/>
              <w:bottom w:val="nil"/>
              <w:right w:val="nil"/>
            </w:tcBorders>
            <w:shd w:val="clear" w:color="auto" w:fill="auto"/>
            <w:noWrap/>
            <w:vAlign w:val="center"/>
          </w:tcPr>
          <w:p w14:paraId="668D5637" w14:textId="7103EFE9"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57316F98" w14:textId="0C56C58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2.59</w:t>
            </w:r>
          </w:p>
        </w:tc>
        <w:tc>
          <w:tcPr>
            <w:tcW w:w="1097" w:type="dxa"/>
            <w:tcBorders>
              <w:top w:val="nil"/>
              <w:left w:val="nil"/>
              <w:bottom w:val="nil"/>
              <w:right w:val="nil"/>
            </w:tcBorders>
            <w:shd w:val="clear" w:color="auto" w:fill="auto"/>
            <w:noWrap/>
            <w:vAlign w:val="center"/>
          </w:tcPr>
          <w:p w14:paraId="1E92FE7A" w14:textId="1A60796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1.46</w:t>
            </w:r>
          </w:p>
        </w:tc>
        <w:tc>
          <w:tcPr>
            <w:tcW w:w="1158" w:type="dxa"/>
            <w:tcBorders>
              <w:top w:val="nil"/>
              <w:left w:val="nil"/>
              <w:bottom w:val="nil"/>
              <w:right w:val="nil"/>
            </w:tcBorders>
            <w:shd w:val="clear" w:color="auto" w:fill="auto"/>
            <w:noWrap/>
            <w:vAlign w:val="center"/>
          </w:tcPr>
          <w:p w14:paraId="08394326" w14:textId="5C83C471"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w:t>
            </w:r>
          </w:p>
        </w:tc>
        <w:tc>
          <w:tcPr>
            <w:tcW w:w="1194" w:type="dxa"/>
            <w:tcBorders>
              <w:top w:val="nil"/>
              <w:left w:val="nil"/>
              <w:bottom w:val="nil"/>
              <w:right w:val="nil"/>
            </w:tcBorders>
            <w:shd w:val="clear" w:color="auto" w:fill="auto"/>
            <w:noWrap/>
            <w:vAlign w:val="center"/>
          </w:tcPr>
          <w:p w14:paraId="17D1BE75" w14:textId="0988CC1C"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12</w:t>
            </w:r>
          </w:p>
        </w:tc>
      </w:tr>
      <w:tr w:rsidR="00303C99" w:rsidRPr="003C1F10" w14:paraId="4F5CF5D8" w14:textId="77777777" w:rsidTr="00303C99">
        <w:trPr>
          <w:trHeight w:val="320"/>
          <w:jc w:val="center"/>
        </w:trPr>
        <w:tc>
          <w:tcPr>
            <w:tcW w:w="3604" w:type="dxa"/>
            <w:tcBorders>
              <w:top w:val="nil"/>
              <w:left w:val="nil"/>
              <w:bottom w:val="nil"/>
              <w:right w:val="nil"/>
            </w:tcBorders>
            <w:shd w:val="clear" w:color="auto" w:fill="auto"/>
            <w:noWrap/>
            <w:vAlign w:val="center"/>
          </w:tcPr>
          <w:p w14:paraId="4134883C" w14:textId="6C75908C"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No. of</w:t>
            </w:r>
            <w:r w:rsidRPr="003C1F10">
              <w:rPr>
                <w:rFonts w:ascii="Times New Roman" w:eastAsia="Times New Roman" w:hAnsi="Times New Roman" w:cs="Times New Roman"/>
                <w:color w:val="000000"/>
                <w:sz w:val="20"/>
                <w:szCs w:val="20"/>
                <w:lang w:eastAsia="en-GB"/>
              </w:rPr>
              <w:t xml:space="preserve"> independent earner</w:t>
            </w:r>
            <w:r>
              <w:rPr>
                <w:rFonts w:ascii="Times New Roman" w:eastAsia="Times New Roman" w:hAnsi="Times New Roman" w:cs="Times New Roman"/>
                <w:color w:val="000000"/>
                <w:sz w:val="20"/>
                <w:szCs w:val="20"/>
                <w:lang w:eastAsia="en-GB"/>
              </w:rPr>
              <w:t>s in household</w:t>
            </w:r>
            <w:r w:rsidRPr="003C1F10">
              <w:rPr>
                <w:rFonts w:ascii="Times New Roman" w:eastAsia="Times New Roman" w:hAnsi="Times New Roman" w:cs="Times New Roman"/>
                <w:color w:val="000000"/>
                <w:sz w:val="20"/>
                <w:szCs w:val="20"/>
                <w:lang w:eastAsia="en-GB"/>
              </w:rPr>
              <w:t xml:space="preserve"> </w:t>
            </w:r>
          </w:p>
        </w:tc>
        <w:tc>
          <w:tcPr>
            <w:tcW w:w="1402" w:type="dxa"/>
            <w:tcBorders>
              <w:top w:val="nil"/>
              <w:left w:val="nil"/>
              <w:bottom w:val="nil"/>
              <w:right w:val="nil"/>
            </w:tcBorders>
            <w:shd w:val="clear" w:color="auto" w:fill="auto"/>
            <w:noWrap/>
            <w:vAlign w:val="center"/>
          </w:tcPr>
          <w:p w14:paraId="175B3EE4" w14:textId="1F3746E7"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2288632F" w14:textId="1159FE5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0.18</w:t>
            </w:r>
          </w:p>
        </w:tc>
        <w:tc>
          <w:tcPr>
            <w:tcW w:w="1097" w:type="dxa"/>
            <w:tcBorders>
              <w:top w:val="nil"/>
              <w:left w:val="nil"/>
              <w:bottom w:val="nil"/>
              <w:right w:val="nil"/>
            </w:tcBorders>
            <w:shd w:val="clear" w:color="auto" w:fill="auto"/>
            <w:noWrap/>
            <w:vAlign w:val="center"/>
          </w:tcPr>
          <w:p w14:paraId="6551B7F2" w14:textId="4FB009FE"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0.53</w:t>
            </w:r>
          </w:p>
        </w:tc>
        <w:tc>
          <w:tcPr>
            <w:tcW w:w="1158" w:type="dxa"/>
            <w:tcBorders>
              <w:top w:val="nil"/>
              <w:left w:val="nil"/>
              <w:bottom w:val="nil"/>
              <w:right w:val="nil"/>
            </w:tcBorders>
            <w:shd w:val="clear" w:color="auto" w:fill="auto"/>
            <w:noWrap/>
            <w:vAlign w:val="center"/>
          </w:tcPr>
          <w:p w14:paraId="0B0AAFC2" w14:textId="4B05934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34056E15" w14:textId="7743EEC7"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8</w:t>
            </w:r>
          </w:p>
        </w:tc>
      </w:tr>
      <w:tr w:rsidR="00303C99" w:rsidRPr="003C1F10" w14:paraId="7AEB0911" w14:textId="77777777" w:rsidTr="00303C99">
        <w:trPr>
          <w:trHeight w:val="320"/>
          <w:jc w:val="center"/>
        </w:trPr>
        <w:tc>
          <w:tcPr>
            <w:tcW w:w="3604" w:type="dxa"/>
            <w:tcBorders>
              <w:top w:val="nil"/>
              <w:left w:val="nil"/>
              <w:bottom w:val="nil"/>
              <w:right w:val="nil"/>
            </w:tcBorders>
            <w:shd w:val="clear" w:color="auto" w:fill="auto"/>
            <w:noWrap/>
            <w:vAlign w:val="center"/>
          </w:tcPr>
          <w:p w14:paraId="3C502D9F" w14:textId="73B9E9DF"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Single</w:t>
            </w:r>
            <w:r>
              <w:rPr>
                <w:rFonts w:ascii="Times New Roman" w:eastAsia="Times New Roman" w:hAnsi="Times New Roman" w:cs="Times New Roman"/>
                <w:color w:val="000000"/>
                <w:sz w:val="20"/>
                <w:szCs w:val="20"/>
                <w:lang w:eastAsia="en-GB"/>
              </w:rPr>
              <w:t xml:space="preserve"> household head</w:t>
            </w:r>
          </w:p>
        </w:tc>
        <w:tc>
          <w:tcPr>
            <w:tcW w:w="1402" w:type="dxa"/>
            <w:tcBorders>
              <w:top w:val="nil"/>
              <w:left w:val="nil"/>
              <w:bottom w:val="nil"/>
              <w:right w:val="nil"/>
            </w:tcBorders>
            <w:shd w:val="clear" w:color="auto" w:fill="auto"/>
            <w:noWrap/>
            <w:vAlign w:val="center"/>
          </w:tcPr>
          <w:p w14:paraId="6AF2F18B" w14:textId="2F64FEA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052957F6" w14:textId="58E100DD"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0.42</w:t>
            </w:r>
          </w:p>
        </w:tc>
        <w:tc>
          <w:tcPr>
            <w:tcW w:w="1097" w:type="dxa"/>
            <w:tcBorders>
              <w:top w:val="nil"/>
              <w:left w:val="nil"/>
              <w:bottom w:val="nil"/>
              <w:right w:val="nil"/>
            </w:tcBorders>
            <w:shd w:val="clear" w:color="auto" w:fill="auto"/>
            <w:noWrap/>
            <w:vAlign w:val="center"/>
          </w:tcPr>
          <w:p w14:paraId="1E203297" w14:textId="33D60E72"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0.49</w:t>
            </w:r>
          </w:p>
        </w:tc>
        <w:tc>
          <w:tcPr>
            <w:tcW w:w="1158" w:type="dxa"/>
            <w:tcBorders>
              <w:top w:val="nil"/>
              <w:left w:val="nil"/>
              <w:bottom w:val="nil"/>
              <w:right w:val="nil"/>
            </w:tcBorders>
            <w:shd w:val="clear" w:color="auto" w:fill="auto"/>
            <w:noWrap/>
            <w:vAlign w:val="center"/>
          </w:tcPr>
          <w:p w14:paraId="54418380" w14:textId="0FC9AEFA"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705EABA0" w14:textId="0A0704AD"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w:t>
            </w:r>
          </w:p>
        </w:tc>
      </w:tr>
      <w:tr w:rsidR="00303C99" w:rsidRPr="003C1F10" w14:paraId="3EE8FC9B" w14:textId="77777777" w:rsidTr="00303C99">
        <w:trPr>
          <w:trHeight w:val="320"/>
          <w:jc w:val="center"/>
        </w:trPr>
        <w:tc>
          <w:tcPr>
            <w:tcW w:w="3604" w:type="dxa"/>
            <w:tcBorders>
              <w:top w:val="nil"/>
              <w:left w:val="nil"/>
              <w:bottom w:val="nil"/>
              <w:right w:val="nil"/>
            </w:tcBorders>
            <w:shd w:val="clear" w:color="auto" w:fill="auto"/>
            <w:noWrap/>
            <w:vAlign w:val="center"/>
          </w:tcPr>
          <w:p w14:paraId="25C7B967" w14:textId="1DAB2272"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Self-employed</w:t>
            </w:r>
            <w:r>
              <w:rPr>
                <w:rFonts w:ascii="Times New Roman" w:eastAsia="Times New Roman" w:hAnsi="Times New Roman" w:cs="Times New Roman"/>
                <w:color w:val="000000"/>
                <w:sz w:val="20"/>
                <w:szCs w:val="20"/>
                <w:lang w:eastAsia="en-GB"/>
              </w:rPr>
              <w:t xml:space="preserve"> household head</w:t>
            </w:r>
          </w:p>
        </w:tc>
        <w:tc>
          <w:tcPr>
            <w:tcW w:w="1402" w:type="dxa"/>
            <w:tcBorders>
              <w:top w:val="nil"/>
              <w:left w:val="nil"/>
              <w:bottom w:val="nil"/>
              <w:right w:val="nil"/>
            </w:tcBorders>
            <w:shd w:val="clear" w:color="auto" w:fill="auto"/>
            <w:noWrap/>
            <w:vAlign w:val="center"/>
          </w:tcPr>
          <w:p w14:paraId="7A20715E" w14:textId="3C0734F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49AA11E4" w14:textId="140DD18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0.11</w:t>
            </w:r>
          </w:p>
        </w:tc>
        <w:tc>
          <w:tcPr>
            <w:tcW w:w="1097" w:type="dxa"/>
            <w:tcBorders>
              <w:top w:val="nil"/>
              <w:left w:val="nil"/>
              <w:bottom w:val="nil"/>
              <w:right w:val="nil"/>
            </w:tcBorders>
            <w:shd w:val="clear" w:color="auto" w:fill="auto"/>
            <w:noWrap/>
            <w:vAlign w:val="center"/>
          </w:tcPr>
          <w:p w14:paraId="1C7D43A7" w14:textId="147B05AA"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0.31</w:t>
            </w:r>
          </w:p>
        </w:tc>
        <w:tc>
          <w:tcPr>
            <w:tcW w:w="1158" w:type="dxa"/>
            <w:tcBorders>
              <w:top w:val="nil"/>
              <w:left w:val="nil"/>
              <w:bottom w:val="nil"/>
              <w:right w:val="nil"/>
            </w:tcBorders>
            <w:shd w:val="clear" w:color="auto" w:fill="auto"/>
            <w:noWrap/>
            <w:vAlign w:val="center"/>
          </w:tcPr>
          <w:p w14:paraId="0C991FC2" w14:textId="47067D2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696410E4" w14:textId="0D33F8E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w:t>
            </w:r>
          </w:p>
        </w:tc>
      </w:tr>
      <w:tr w:rsidR="00303C99" w:rsidRPr="003C1F10" w14:paraId="5CCD6C72" w14:textId="77777777" w:rsidTr="00303C99">
        <w:trPr>
          <w:trHeight w:val="320"/>
          <w:jc w:val="center"/>
        </w:trPr>
        <w:tc>
          <w:tcPr>
            <w:tcW w:w="3604" w:type="dxa"/>
            <w:tcBorders>
              <w:top w:val="nil"/>
              <w:left w:val="nil"/>
              <w:bottom w:val="nil"/>
              <w:right w:val="nil"/>
            </w:tcBorders>
            <w:shd w:val="clear" w:color="auto" w:fill="auto"/>
            <w:noWrap/>
            <w:vAlign w:val="center"/>
          </w:tcPr>
          <w:p w14:paraId="0B2F90DE" w14:textId="325319F5"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At least one unemployed in household</w:t>
            </w:r>
            <w:r>
              <w:rPr>
                <w:rFonts w:ascii="Times New Roman" w:eastAsia="Times New Roman" w:hAnsi="Times New Roman" w:cs="Times New Roman"/>
                <w:color w:val="000000"/>
                <w:sz w:val="20"/>
                <w:szCs w:val="20"/>
                <w:lang w:eastAsia="en-GB"/>
              </w:rPr>
              <w:t xml:space="preserve"> </w:t>
            </w:r>
          </w:p>
        </w:tc>
        <w:tc>
          <w:tcPr>
            <w:tcW w:w="1402" w:type="dxa"/>
            <w:tcBorders>
              <w:top w:val="nil"/>
              <w:left w:val="nil"/>
              <w:bottom w:val="nil"/>
              <w:right w:val="nil"/>
            </w:tcBorders>
            <w:shd w:val="clear" w:color="auto" w:fill="auto"/>
            <w:noWrap/>
            <w:vAlign w:val="center"/>
          </w:tcPr>
          <w:p w14:paraId="3AD53DDC" w14:textId="3BE084F7"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21B2F704" w14:textId="202089E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0.05</w:t>
            </w:r>
          </w:p>
        </w:tc>
        <w:tc>
          <w:tcPr>
            <w:tcW w:w="1097" w:type="dxa"/>
            <w:tcBorders>
              <w:top w:val="nil"/>
              <w:left w:val="nil"/>
              <w:bottom w:val="nil"/>
              <w:right w:val="nil"/>
            </w:tcBorders>
            <w:shd w:val="clear" w:color="auto" w:fill="auto"/>
            <w:noWrap/>
            <w:vAlign w:val="center"/>
          </w:tcPr>
          <w:p w14:paraId="69BB22FA" w14:textId="4ED04159"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0.23</w:t>
            </w:r>
          </w:p>
        </w:tc>
        <w:tc>
          <w:tcPr>
            <w:tcW w:w="1158" w:type="dxa"/>
            <w:tcBorders>
              <w:top w:val="nil"/>
              <w:left w:val="nil"/>
              <w:bottom w:val="nil"/>
              <w:right w:val="nil"/>
            </w:tcBorders>
            <w:shd w:val="clear" w:color="auto" w:fill="auto"/>
            <w:noWrap/>
            <w:vAlign w:val="center"/>
          </w:tcPr>
          <w:p w14:paraId="4B39B872" w14:textId="7A6CFDAA"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0065CF46" w14:textId="0904378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w:t>
            </w:r>
          </w:p>
        </w:tc>
      </w:tr>
      <w:tr w:rsidR="00303C99" w:rsidRPr="003C1F10" w14:paraId="6CBC2323" w14:textId="77777777" w:rsidTr="00303C99">
        <w:trPr>
          <w:trHeight w:val="320"/>
          <w:jc w:val="center"/>
        </w:trPr>
        <w:tc>
          <w:tcPr>
            <w:tcW w:w="3604" w:type="dxa"/>
            <w:tcBorders>
              <w:top w:val="nil"/>
              <w:left w:val="nil"/>
              <w:bottom w:val="nil"/>
              <w:right w:val="nil"/>
            </w:tcBorders>
            <w:shd w:val="clear" w:color="auto" w:fill="auto"/>
            <w:noWrap/>
            <w:vAlign w:val="center"/>
          </w:tcPr>
          <w:p w14:paraId="4FC63E36" w14:textId="583FC3CC"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Household head</w:t>
            </w:r>
            <w:r w:rsidRPr="003C1F10">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o</w:t>
            </w:r>
            <w:r w:rsidRPr="003C1F10">
              <w:rPr>
                <w:rFonts w:ascii="Times New Roman" w:eastAsia="Times New Roman" w:hAnsi="Times New Roman" w:cs="Times New Roman"/>
                <w:color w:val="000000"/>
                <w:sz w:val="20"/>
                <w:szCs w:val="20"/>
                <w:lang w:eastAsia="en-GB"/>
              </w:rPr>
              <w:t>ut of labour force</w:t>
            </w:r>
          </w:p>
        </w:tc>
        <w:tc>
          <w:tcPr>
            <w:tcW w:w="1402" w:type="dxa"/>
            <w:tcBorders>
              <w:top w:val="nil"/>
              <w:left w:val="nil"/>
              <w:bottom w:val="nil"/>
              <w:right w:val="nil"/>
            </w:tcBorders>
            <w:shd w:val="clear" w:color="auto" w:fill="auto"/>
            <w:noWrap/>
            <w:vAlign w:val="center"/>
          </w:tcPr>
          <w:p w14:paraId="034D7BF5" w14:textId="168E5FE0"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bottom w:val="nil"/>
              <w:right w:val="nil"/>
            </w:tcBorders>
            <w:shd w:val="clear" w:color="auto" w:fill="auto"/>
            <w:noWrap/>
            <w:vAlign w:val="center"/>
          </w:tcPr>
          <w:p w14:paraId="4E990D6A" w14:textId="0CE8B466"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0.27</w:t>
            </w:r>
          </w:p>
        </w:tc>
        <w:tc>
          <w:tcPr>
            <w:tcW w:w="1097" w:type="dxa"/>
            <w:tcBorders>
              <w:top w:val="nil"/>
              <w:left w:val="nil"/>
              <w:bottom w:val="nil"/>
              <w:right w:val="nil"/>
            </w:tcBorders>
            <w:shd w:val="clear" w:color="auto" w:fill="auto"/>
            <w:noWrap/>
            <w:vAlign w:val="center"/>
          </w:tcPr>
          <w:p w14:paraId="60A48A2D" w14:textId="579D8F75"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0.44</w:t>
            </w:r>
          </w:p>
        </w:tc>
        <w:tc>
          <w:tcPr>
            <w:tcW w:w="1158" w:type="dxa"/>
            <w:tcBorders>
              <w:top w:val="nil"/>
              <w:left w:val="nil"/>
              <w:bottom w:val="nil"/>
              <w:right w:val="nil"/>
            </w:tcBorders>
            <w:shd w:val="clear" w:color="auto" w:fill="auto"/>
            <w:noWrap/>
            <w:vAlign w:val="center"/>
          </w:tcPr>
          <w:p w14:paraId="2355DC0E" w14:textId="45DB23EF"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bottom w:val="nil"/>
              <w:right w:val="nil"/>
            </w:tcBorders>
            <w:shd w:val="clear" w:color="auto" w:fill="auto"/>
            <w:noWrap/>
            <w:vAlign w:val="center"/>
          </w:tcPr>
          <w:p w14:paraId="2FE7DAA8" w14:textId="7451844A"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w:t>
            </w:r>
          </w:p>
        </w:tc>
      </w:tr>
      <w:tr w:rsidR="00303C99" w:rsidRPr="003C1F10" w14:paraId="79ABC4FF" w14:textId="77777777" w:rsidTr="00303C99">
        <w:trPr>
          <w:trHeight w:val="320"/>
          <w:jc w:val="center"/>
        </w:trPr>
        <w:tc>
          <w:tcPr>
            <w:tcW w:w="3604" w:type="dxa"/>
            <w:tcBorders>
              <w:top w:val="nil"/>
              <w:left w:val="nil"/>
              <w:right w:val="nil"/>
            </w:tcBorders>
            <w:shd w:val="clear" w:color="auto" w:fill="auto"/>
            <w:noWrap/>
            <w:vAlign w:val="center"/>
          </w:tcPr>
          <w:p w14:paraId="089CFA31" w14:textId="2BD5D712"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Female</w:t>
            </w:r>
            <w:r>
              <w:rPr>
                <w:rFonts w:ascii="Times New Roman" w:eastAsia="Times New Roman" w:hAnsi="Times New Roman" w:cs="Times New Roman"/>
                <w:color w:val="000000"/>
                <w:sz w:val="20"/>
                <w:szCs w:val="20"/>
                <w:lang w:eastAsia="en-GB"/>
              </w:rPr>
              <w:t xml:space="preserve"> household head</w:t>
            </w:r>
          </w:p>
        </w:tc>
        <w:tc>
          <w:tcPr>
            <w:tcW w:w="1402" w:type="dxa"/>
            <w:tcBorders>
              <w:top w:val="nil"/>
              <w:left w:val="nil"/>
              <w:right w:val="nil"/>
            </w:tcBorders>
            <w:shd w:val="clear" w:color="auto" w:fill="auto"/>
            <w:noWrap/>
            <w:vAlign w:val="center"/>
          </w:tcPr>
          <w:p w14:paraId="0936E2AD" w14:textId="021A116B"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41,526</w:t>
            </w:r>
          </w:p>
        </w:tc>
        <w:tc>
          <w:tcPr>
            <w:tcW w:w="885" w:type="dxa"/>
            <w:tcBorders>
              <w:top w:val="nil"/>
              <w:left w:val="nil"/>
              <w:right w:val="nil"/>
            </w:tcBorders>
            <w:shd w:val="clear" w:color="auto" w:fill="auto"/>
            <w:noWrap/>
            <w:vAlign w:val="center"/>
          </w:tcPr>
          <w:p w14:paraId="19A2B528" w14:textId="495D70B3"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0.28</w:t>
            </w:r>
          </w:p>
        </w:tc>
        <w:tc>
          <w:tcPr>
            <w:tcW w:w="1097" w:type="dxa"/>
            <w:tcBorders>
              <w:top w:val="nil"/>
              <w:left w:val="nil"/>
              <w:right w:val="nil"/>
            </w:tcBorders>
            <w:shd w:val="clear" w:color="auto" w:fill="auto"/>
            <w:noWrap/>
            <w:vAlign w:val="center"/>
          </w:tcPr>
          <w:p w14:paraId="120C7CC0" w14:textId="038852AD"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0.45</w:t>
            </w:r>
          </w:p>
        </w:tc>
        <w:tc>
          <w:tcPr>
            <w:tcW w:w="1158" w:type="dxa"/>
            <w:tcBorders>
              <w:top w:val="nil"/>
              <w:left w:val="nil"/>
              <w:right w:val="nil"/>
            </w:tcBorders>
            <w:shd w:val="clear" w:color="auto" w:fill="auto"/>
            <w:noWrap/>
            <w:vAlign w:val="center"/>
          </w:tcPr>
          <w:p w14:paraId="041A9497" w14:textId="4C656478"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0</w:t>
            </w:r>
          </w:p>
        </w:tc>
        <w:tc>
          <w:tcPr>
            <w:tcW w:w="1194" w:type="dxa"/>
            <w:tcBorders>
              <w:top w:val="nil"/>
              <w:left w:val="nil"/>
              <w:right w:val="nil"/>
            </w:tcBorders>
            <w:shd w:val="clear" w:color="auto" w:fill="auto"/>
            <w:noWrap/>
            <w:vAlign w:val="center"/>
          </w:tcPr>
          <w:p w14:paraId="0AC3193C" w14:textId="7E639634" w:rsidR="00303C99" w:rsidRPr="00303C99" w:rsidRDefault="00303C99" w:rsidP="00303C99">
            <w:pPr>
              <w:spacing w:after="0" w:line="240" w:lineRule="auto"/>
              <w:ind w:firstLine="0"/>
              <w:jc w:val="right"/>
              <w:rPr>
                <w:rFonts w:eastAsia="Times New Roman" w:cs="Times New Roman"/>
                <w:color w:val="000000"/>
                <w:sz w:val="20"/>
                <w:szCs w:val="20"/>
                <w:lang w:eastAsia="en-GB"/>
              </w:rPr>
            </w:pPr>
            <w:r w:rsidRPr="00303C99">
              <w:rPr>
                <w:color w:val="000000"/>
                <w:sz w:val="20"/>
                <w:szCs w:val="20"/>
              </w:rPr>
              <w:t>1</w:t>
            </w:r>
          </w:p>
        </w:tc>
      </w:tr>
      <w:tr w:rsidR="00303C99" w:rsidRPr="00BA748E" w14:paraId="7C92D25C" w14:textId="77777777" w:rsidTr="00303C99">
        <w:trPr>
          <w:trHeight w:val="320"/>
          <w:jc w:val="center"/>
        </w:trPr>
        <w:tc>
          <w:tcPr>
            <w:tcW w:w="3604" w:type="dxa"/>
            <w:tcBorders>
              <w:top w:val="nil"/>
              <w:left w:val="nil"/>
              <w:bottom w:val="single" w:sz="4" w:space="0" w:color="auto"/>
              <w:right w:val="nil"/>
            </w:tcBorders>
            <w:shd w:val="clear" w:color="auto" w:fill="auto"/>
            <w:noWrap/>
            <w:vAlign w:val="center"/>
          </w:tcPr>
          <w:p w14:paraId="4DB15F4D" w14:textId="08BBC965" w:rsidR="00303C99" w:rsidRPr="003C1F10" w:rsidRDefault="00303C99" w:rsidP="00303C99">
            <w:pPr>
              <w:spacing w:after="0" w:line="240" w:lineRule="auto"/>
              <w:ind w:firstLine="0"/>
              <w:jc w:val="left"/>
              <w:rPr>
                <w:rFonts w:ascii="Times New Roman" w:eastAsia="Times New Roman" w:hAnsi="Times New Roman" w:cs="Times New Roman"/>
                <w:color w:val="000000"/>
                <w:sz w:val="20"/>
                <w:szCs w:val="20"/>
                <w:lang w:eastAsia="en-GB"/>
              </w:rPr>
            </w:pPr>
            <w:r w:rsidRPr="003C1F10">
              <w:rPr>
                <w:rFonts w:ascii="Times New Roman" w:eastAsia="Times New Roman" w:hAnsi="Times New Roman" w:cs="Times New Roman"/>
                <w:color w:val="000000"/>
                <w:sz w:val="20"/>
                <w:szCs w:val="20"/>
                <w:lang w:eastAsia="en-GB"/>
              </w:rPr>
              <w:t>Black or Latino</w:t>
            </w:r>
            <w:r>
              <w:rPr>
                <w:rFonts w:ascii="Times New Roman" w:eastAsia="Times New Roman" w:hAnsi="Times New Roman" w:cs="Times New Roman"/>
                <w:color w:val="000000"/>
                <w:sz w:val="20"/>
                <w:szCs w:val="20"/>
                <w:lang w:eastAsia="en-GB"/>
              </w:rPr>
              <w:t xml:space="preserve"> household head</w:t>
            </w:r>
          </w:p>
        </w:tc>
        <w:tc>
          <w:tcPr>
            <w:tcW w:w="1402" w:type="dxa"/>
            <w:tcBorders>
              <w:top w:val="nil"/>
              <w:left w:val="nil"/>
              <w:bottom w:val="single" w:sz="4" w:space="0" w:color="auto"/>
              <w:right w:val="nil"/>
            </w:tcBorders>
            <w:shd w:val="clear" w:color="auto" w:fill="auto"/>
            <w:noWrap/>
            <w:vAlign w:val="center"/>
          </w:tcPr>
          <w:p w14:paraId="28A1DFC5" w14:textId="34360977"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41,526</w:t>
            </w:r>
          </w:p>
        </w:tc>
        <w:tc>
          <w:tcPr>
            <w:tcW w:w="885" w:type="dxa"/>
            <w:tcBorders>
              <w:top w:val="nil"/>
              <w:left w:val="nil"/>
              <w:bottom w:val="single" w:sz="4" w:space="0" w:color="auto"/>
              <w:right w:val="nil"/>
            </w:tcBorders>
            <w:shd w:val="clear" w:color="auto" w:fill="auto"/>
            <w:noWrap/>
            <w:vAlign w:val="center"/>
          </w:tcPr>
          <w:p w14:paraId="65125764" w14:textId="193EF662"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0.22</w:t>
            </w:r>
          </w:p>
        </w:tc>
        <w:tc>
          <w:tcPr>
            <w:tcW w:w="1097" w:type="dxa"/>
            <w:tcBorders>
              <w:top w:val="nil"/>
              <w:left w:val="nil"/>
              <w:bottom w:val="single" w:sz="4" w:space="0" w:color="auto"/>
              <w:right w:val="nil"/>
            </w:tcBorders>
            <w:shd w:val="clear" w:color="auto" w:fill="auto"/>
            <w:noWrap/>
            <w:vAlign w:val="center"/>
          </w:tcPr>
          <w:p w14:paraId="0BAF7478" w14:textId="5EB33790"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0.41</w:t>
            </w:r>
          </w:p>
        </w:tc>
        <w:tc>
          <w:tcPr>
            <w:tcW w:w="1158" w:type="dxa"/>
            <w:tcBorders>
              <w:top w:val="nil"/>
              <w:left w:val="nil"/>
              <w:bottom w:val="single" w:sz="4" w:space="0" w:color="auto"/>
              <w:right w:val="nil"/>
            </w:tcBorders>
            <w:shd w:val="clear" w:color="auto" w:fill="auto"/>
            <w:noWrap/>
            <w:vAlign w:val="center"/>
          </w:tcPr>
          <w:p w14:paraId="6513CA9A" w14:textId="488CD412"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0</w:t>
            </w:r>
          </w:p>
        </w:tc>
        <w:tc>
          <w:tcPr>
            <w:tcW w:w="1194" w:type="dxa"/>
            <w:tcBorders>
              <w:top w:val="nil"/>
              <w:left w:val="nil"/>
              <w:bottom w:val="single" w:sz="4" w:space="0" w:color="auto"/>
              <w:right w:val="nil"/>
            </w:tcBorders>
            <w:shd w:val="clear" w:color="auto" w:fill="auto"/>
            <w:noWrap/>
            <w:vAlign w:val="center"/>
          </w:tcPr>
          <w:p w14:paraId="435059D3" w14:textId="58329B55" w:rsidR="00303C99" w:rsidRPr="00303C99" w:rsidRDefault="00303C99" w:rsidP="00303C99">
            <w:pPr>
              <w:spacing w:after="0" w:line="240" w:lineRule="auto"/>
              <w:ind w:firstLine="0"/>
              <w:jc w:val="right"/>
              <w:rPr>
                <w:rFonts w:cs="Times New Roman"/>
                <w:color w:val="000000"/>
                <w:sz w:val="20"/>
                <w:szCs w:val="20"/>
              </w:rPr>
            </w:pPr>
            <w:r w:rsidRPr="00303C99">
              <w:rPr>
                <w:color w:val="000000"/>
                <w:sz w:val="20"/>
                <w:szCs w:val="20"/>
              </w:rPr>
              <w:t>1</w:t>
            </w:r>
          </w:p>
        </w:tc>
      </w:tr>
    </w:tbl>
    <w:p w14:paraId="418849D1" w14:textId="77777777" w:rsidR="00710DF5" w:rsidRPr="00CF210D" w:rsidRDefault="00710DF5" w:rsidP="00710DF5">
      <w:pPr>
        <w:spacing w:before="120" w:line="240" w:lineRule="auto"/>
        <w:ind w:firstLine="0"/>
        <w:jc w:val="center"/>
        <w:rPr>
          <w:rFonts w:ascii="Times New Roman" w:hAnsi="Times New Roman" w:cs="Times New Roman"/>
          <w:sz w:val="20"/>
          <w:szCs w:val="21"/>
          <w:lang w:eastAsia="en-GB"/>
        </w:rPr>
      </w:pPr>
      <w:r w:rsidRPr="00CF210D">
        <w:rPr>
          <w:rFonts w:ascii="Times New Roman" w:hAnsi="Times New Roman" w:cs="Times New Roman"/>
          <w:b/>
          <w:sz w:val="20"/>
          <w:szCs w:val="21"/>
          <w:lang w:eastAsia="en-GB"/>
        </w:rPr>
        <w:t>Note</w:t>
      </w:r>
      <w:r w:rsidRPr="00CF210D">
        <w:rPr>
          <w:rFonts w:ascii="Times New Roman" w:hAnsi="Times New Roman" w:cs="Times New Roman"/>
          <w:sz w:val="20"/>
          <w:szCs w:val="21"/>
          <w:lang w:eastAsia="en-GB"/>
        </w:rPr>
        <w:t>: Shares of balance sheet variables in total assets or total debt are calculated only for respondents with positive values of assets and debt. Balance sheet shares and the income median ratio are given in percentage terms.</w:t>
      </w:r>
    </w:p>
    <w:p w14:paraId="2A6DA496" w14:textId="77777777" w:rsidR="00710DF5" w:rsidRDefault="00710DF5" w:rsidP="00710DF5">
      <w:pPr>
        <w:spacing w:line="276" w:lineRule="auto"/>
        <w:ind w:firstLine="0"/>
        <w:jc w:val="left"/>
        <w:rPr>
          <w:rFonts w:ascii="Times New Roman" w:hAnsi="Times New Roman" w:cs="Times New Roman"/>
          <w:sz w:val="24"/>
          <w:lang w:eastAsia="en-GB"/>
        </w:rPr>
        <w:sectPr w:rsidR="00710DF5" w:rsidSect="00710DF5">
          <w:pgSz w:w="11901" w:h="16817"/>
          <w:pgMar w:top="1440" w:right="1440" w:bottom="1440" w:left="1440" w:header="709" w:footer="709" w:gutter="0"/>
          <w:cols w:space="708"/>
          <w:docGrid w:linePitch="360"/>
        </w:sectPr>
      </w:pPr>
    </w:p>
    <w:p w14:paraId="2484BB42" w14:textId="645BA249" w:rsidR="00710DF5" w:rsidRPr="00710DF5" w:rsidRDefault="00710DF5" w:rsidP="00710DF5">
      <w:pPr>
        <w:spacing w:line="276" w:lineRule="auto"/>
        <w:ind w:firstLine="0"/>
        <w:jc w:val="left"/>
        <w:rPr>
          <w:rFonts w:ascii="Times New Roman" w:hAnsi="Times New Roman" w:cs="Times New Roman"/>
          <w:sz w:val="24"/>
          <w:lang w:eastAsia="en-GB"/>
        </w:rPr>
        <w:sectPr w:rsidR="00710DF5" w:rsidRPr="00710DF5" w:rsidSect="00710DF5">
          <w:type w:val="continuous"/>
          <w:pgSz w:w="11901" w:h="16817"/>
          <w:pgMar w:top="1440" w:right="1440" w:bottom="1440" w:left="1440" w:header="709" w:footer="709" w:gutter="0"/>
          <w:cols w:space="708"/>
          <w:docGrid w:linePitch="360"/>
        </w:sectPr>
      </w:pPr>
    </w:p>
    <w:tbl>
      <w:tblPr>
        <w:tblStyle w:val="TableGrid"/>
        <w:tblpPr w:leftFromText="180" w:rightFromText="180" w:vertAnchor="text" w:horzAnchor="margin" w:tblpXSpec="center" w:tblpY="-488"/>
        <w:tblW w:w="16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07"/>
        <w:gridCol w:w="907"/>
        <w:gridCol w:w="907"/>
        <w:gridCol w:w="907"/>
        <w:gridCol w:w="907"/>
        <w:gridCol w:w="907"/>
        <w:gridCol w:w="907"/>
        <w:gridCol w:w="907"/>
        <w:gridCol w:w="907"/>
        <w:gridCol w:w="907"/>
        <w:gridCol w:w="907"/>
        <w:gridCol w:w="907"/>
        <w:gridCol w:w="907"/>
        <w:gridCol w:w="907"/>
        <w:gridCol w:w="907"/>
      </w:tblGrid>
      <w:tr w:rsidR="007B7EC1" w:rsidRPr="00620BD6" w14:paraId="3865BD75" w14:textId="77777777" w:rsidTr="00CE004B">
        <w:trPr>
          <w:trHeight w:val="20"/>
        </w:trPr>
        <w:tc>
          <w:tcPr>
            <w:tcW w:w="2835" w:type="dxa"/>
            <w:tcBorders>
              <w:bottom w:val="single" w:sz="4" w:space="0" w:color="auto"/>
              <w:right w:val="single" w:sz="4" w:space="0" w:color="auto"/>
            </w:tcBorders>
            <w:noWrap/>
            <w:hideMark/>
          </w:tcPr>
          <w:p w14:paraId="4B2F3889" w14:textId="6A1AC442" w:rsidR="007B7EC1" w:rsidRPr="00620BD6" w:rsidRDefault="007B7EC1" w:rsidP="00CE004B">
            <w:pPr>
              <w:spacing w:after="0" w:line="240" w:lineRule="auto"/>
              <w:ind w:firstLine="0"/>
              <w:jc w:val="left"/>
              <w:rPr>
                <w:rFonts w:ascii="Times New Roman" w:hAnsi="Times New Roman" w:cs="Times New Roman"/>
                <w:sz w:val="18"/>
                <w:szCs w:val="18"/>
                <w:lang w:eastAsia="en-GB"/>
              </w:rPr>
            </w:pPr>
            <w:bookmarkStart w:id="6" w:name="_Toc496875175"/>
            <w:r w:rsidRPr="00F86BD6">
              <w:rPr>
                <w:rFonts w:ascii="Times New Roman" w:hAnsi="Times New Roman" w:cs="Times New Roman"/>
                <w:b/>
                <w:sz w:val="22"/>
                <w:lang w:eastAsia="en-GB"/>
              </w:rPr>
              <w:lastRenderedPageBreak/>
              <w:t>Table B</w:t>
            </w:r>
            <w:r w:rsidRPr="00F86BD6">
              <w:rPr>
                <w:rFonts w:ascii="Times New Roman" w:hAnsi="Times New Roman" w:cs="Times New Roman"/>
                <w:b/>
                <w:sz w:val="22"/>
                <w:lang w:eastAsia="en-GB"/>
              </w:rPr>
              <w:fldChar w:fldCharType="begin"/>
            </w:r>
            <w:r w:rsidRPr="00F86BD6">
              <w:rPr>
                <w:rFonts w:ascii="Times New Roman" w:hAnsi="Times New Roman" w:cs="Times New Roman"/>
                <w:b/>
                <w:sz w:val="22"/>
                <w:lang w:eastAsia="en-GB"/>
              </w:rPr>
              <w:instrText xml:space="preserve"> SEQ Table \* ARABIC </w:instrText>
            </w:r>
            <w:r w:rsidRPr="00F86BD6">
              <w:rPr>
                <w:rFonts w:ascii="Times New Roman" w:hAnsi="Times New Roman" w:cs="Times New Roman"/>
                <w:b/>
                <w:sz w:val="22"/>
                <w:lang w:eastAsia="en-GB"/>
              </w:rPr>
              <w:fldChar w:fldCharType="separate"/>
            </w:r>
            <w:r w:rsidRPr="00F86BD6">
              <w:rPr>
                <w:rFonts w:ascii="Times New Roman" w:hAnsi="Times New Roman" w:cs="Times New Roman"/>
                <w:b/>
                <w:noProof/>
                <w:sz w:val="22"/>
                <w:lang w:eastAsia="en-GB"/>
              </w:rPr>
              <w:t>2</w:t>
            </w:r>
            <w:r w:rsidRPr="00F86BD6">
              <w:rPr>
                <w:rFonts w:ascii="Times New Roman" w:hAnsi="Times New Roman" w:cs="Times New Roman"/>
                <w:b/>
                <w:sz w:val="22"/>
                <w:lang w:eastAsia="en-GB"/>
              </w:rPr>
              <w:fldChar w:fldCharType="end"/>
            </w:r>
            <w:r w:rsidRPr="00CF210D">
              <w:rPr>
                <w:rFonts w:ascii="Times New Roman" w:hAnsi="Times New Roman" w:cs="Times New Roman"/>
                <w:sz w:val="22"/>
                <w:lang w:eastAsia="en-GB"/>
              </w:rPr>
              <w:t xml:space="preserve"> Correlation matrix</w:t>
            </w:r>
          </w:p>
        </w:tc>
        <w:tc>
          <w:tcPr>
            <w:tcW w:w="907" w:type="dxa"/>
            <w:tcBorders>
              <w:top w:val="single" w:sz="4" w:space="0" w:color="auto"/>
              <w:left w:val="single" w:sz="4" w:space="0" w:color="auto"/>
              <w:bottom w:val="single" w:sz="4" w:space="0" w:color="auto"/>
            </w:tcBorders>
            <w:noWrap/>
            <w:vAlign w:val="center"/>
            <w:hideMark/>
          </w:tcPr>
          <w:p w14:paraId="6D98B5C9" w14:textId="6611ED79"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sidRPr="00620BD6">
              <w:rPr>
                <w:rFonts w:ascii="Times New Roman" w:hAnsi="Times New Roman" w:cs="Times New Roman"/>
                <w:sz w:val="18"/>
                <w:szCs w:val="18"/>
                <w:lang w:eastAsia="en-GB"/>
              </w:rPr>
              <w:t>Median</w:t>
            </w:r>
            <w:r>
              <w:rPr>
                <w:rFonts w:ascii="Times New Roman" w:hAnsi="Times New Roman" w:cs="Times New Roman"/>
                <w:sz w:val="18"/>
                <w:szCs w:val="18"/>
                <w:lang w:eastAsia="en-GB"/>
              </w:rPr>
              <w:t xml:space="preserve"> </w:t>
            </w:r>
            <w:r w:rsidRPr="00620BD6">
              <w:rPr>
                <w:rFonts w:ascii="Times New Roman" w:hAnsi="Times New Roman" w:cs="Times New Roman"/>
                <w:sz w:val="18"/>
                <w:szCs w:val="18"/>
                <w:lang w:eastAsia="en-GB"/>
              </w:rPr>
              <w:t>income ratio</w:t>
            </w:r>
          </w:p>
        </w:tc>
        <w:tc>
          <w:tcPr>
            <w:tcW w:w="907" w:type="dxa"/>
            <w:tcBorders>
              <w:top w:val="single" w:sz="4" w:space="0" w:color="auto"/>
              <w:bottom w:val="single" w:sz="4" w:space="0" w:color="auto"/>
            </w:tcBorders>
            <w:noWrap/>
            <w:vAlign w:val="center"/>
            <w:hideMark/>
          </w:tcPr>
          <w:p w14:paraId="1682CDF1" w14:textId="77777777"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sidRPr="00620BD6">
              <w:rPr>
                <w:rFonts w:ascii="Times New Roman" w:eastAsia="Times New Roman" w:hAnsi="Times New Roman" w:cs="Times New Roman"/>
                <w:color w:val="000000"/>
                <w:sz w:val="18"/>
                <w:szCs w:val="18"/>
                <w:lang w:eastAsia="en-GB"/>
              </w:rPr>
              <w:t>Primary residence</w:t>
            </w:r>
          </w:p>
        </w:tc>
        <w:tc>
          <w:tcPr>
            <w:tcW w:w="907" w:type="dxa"/>
            <w:tcBorders>
              <w:top w:val="single" w:sz="4" w:space="0" w:color="auto"/>
              <w:bottom w:val="single" w:sz="4" w:space="0" w:color="auto"/>
            </w:tcBorders>
            <w:noWrap/>
            <w:vAlign w:val="center"/>
            <w:hideMark/>
          </w:tcPr>
          <w:p w14:paraId="33235C03" w14:textId="77777777"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sidRPr="00620BD6">
              <w:rPr>
                <w:rFonts w:ascii="Times New Roman" w:eastAsia="Times New Roman" w:hAnsi="Times New Roman" w:cs="Times New Roman"/>
                <w:color w:val="000000"/>
                <w:sz w:val="18"/>
                <w:szCs w:val="18"/>
                <w:lang w:eastAsia="en-GB"/>
              </w:rPr>
              <w:t>Other real estate</w:t>
            </w:r>
          </w:p>
        </w:tc>
        <w:tc>
          <w:tcPr>
            <w:tcW w:w="907" w:type="dxa"/>
            <w:tcBorders>
              <w:top w:val="single" w:sz="4" w:space="0" w:color="auto"/>
              <w:bottom w:val="single" w:sz="4" w:space="0" w:color="auto"/>
            </w:tcBorders>
            <w:noWrap/>
            <w:vAlign w:val="center"/>
            <w:hideMark/>
          </w:tcPr>
          <w:p w14:paraId="6E8DA12D" w14:textId="77777777"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sidRPr="00620BD6">
              <w:rPr>
                <w:rFonts w:ascii="Times New Roman" w:eastAsia="Times New Roman" w:hAnsi="Times New Roman" w:cs="Times New Roman"/>
                <w:color w:val="000000"/>
                <w:sz w:val="18"/>
                <w:szCs w:val="18"/>
                <w:lang w:eastAsia="en-GB"/>
              </w:rPr>
              <w:t xml:space="preserve">Vehicles and </w:t>
            </w:r>
            <w:proofErr w:type="gramStart"/>
            <w:r w:rsidRPr="00620BD6">
              <w:rPr>
                <w:rFonts w:ascii="Times New Roman" w:eastAsia="Times New Roman" w:hAnsi="Times New Roman" w:cs="Times New Roman"/>
                <w:color w:val="000000"/>
                <w:sz w:val="18"/>
                <w:szCs w:val="18"/>
                <w:lang w:eastAsia="en-GB"/>
              </w:rPr>
              <w:t>other</w:t>
            </w:r>
            <w:proofErr w:type="gramEnd"/>
            <w:r w:rsidRPr="00620BD6">
              <w:rPr>
                <w:rFonts w:ascii="Times New Roman" w:eastAsia="Times New Roman" w:hAnsi="Times New Roman" w:cs="Times New Roman"/>
                <w:color w:val="000000"/>
                <w:sz w:val="18"/>
                <w:szCs w:val="18"/>
                <w:lang w:eastAsia="en-GB"/>
              </w:rPr>
              <w:t xml:space="preserve"> non-fin</w:t>
            </w:r>
            <w:r>
              <w:rPr>
                <w:rFonts w:ascii="Times New Roman" w:eastAsia="Times New Roman" w:hAnsi="Times New Roman" w:cs="Times New Roman"/>
                <w:color w:val="000000"/>
                <w:sz w:val="18"/>
                <w:szCs w:val="18"/>
                <w:lang w:eastAsia="en-GB"/>
              </w:rPr>
              <w:t>. assets</w:t>
            </w:r>
          </w:p>
        </w:tc>
        <w:tc>
          <w:tcPr>
            <w:tcW w:w="907" w:type="dxa"/>
            <w:tcBorders>
              <w:top w:val="single" w:sz="4" w:space="0" w:color="auto"/>
              <w:bottom w:val="single" w:sz="4" w:space="0" w:color="auto"/>
            </w:tcBorders>
            <w:noWrap/>
            <w:vAlign w:val="center"/>
            <w:hideMark/>
          </w:tcPr>
          <w:p w14:paraId="4A6D1D21" w14:textId="77777777"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sidRPr="00620BD6">
              <w:rPr>
                <w:rFonts w:ascii="Times New Roman" w:eastAsia="Times New Roman" w:hAnsi="Times New Roman" w:cs="Times New Roman"/>
                <w:color w:val="000000"/>
                <w:sz w:val="18"/>
                <w:szCs w:val="18"/>
                <w:lang w:eastAsia="en-GB"/>
              </w:rPr>
              <w:t xml:space="preserve">Business </w:t>
            </w:r>
            <w:r>
              <w:rPr>
                <w:rFonts w:ascii="Times New Roman" w:eastAsia="Times New Roman" w:hAnsi="Times New Roman" w:cs="Times New Roman"/>
                <w:color w:val="000000"/>
                <w:sz w:val="18"/>
                <w:szCs w:val="18"/>
                <w:lang w:eastAsia="en-GB"/>
              </w:rPr>
              <w:t>e</w:t>
            </w:r>
            <w:r w:rsidRPr="00620BD6">
              <w:rPr>
                <w:rFonts w:ascii="Times New Roman" w:eastAsia="Times New Roman" w:hAnsi="Times New Roman" w:cs="Times New Roman"/>
                <w:color w:val="000000"/>
                <w:sz w:val="18"/>
                <w:szCs w:val="18"/>
                <w:lang w:eastAsia="en-GB"/>
              </w:rPr>
              <w:t>quity</w:t>
            </w:r>
          </w:p>
        </w:tc>
        <w:tc>
          <w:tcPr>
            <w:tcW w:w="907" w:type="dxa"/>
            <w:tcBorders>
              <w:top w:val="single" w:sz="4" w:space="0" w:color="auto"/>
              <w:bottom w:val="single" w:sz="4" w:space="0" w:color="auto"/>
            </w:tcBorders>
            <w:noWrap/>
            <w:vAlign w:val="center"/>
            <w:hideMark/>
          </w:tcPr>
          <w:p w14:paraId="5703567A" w14:textId="77777777"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sidRPr="00620BD6">
              <w:rPr>
                <w:rFonts w:ascii="Times New Roman" w:eastAsia="Times New Roman" w:hAnsi="Times New Roman" w:cs="Times New Roman"/>
                <w:color w:val="000000"/>
                <w:sz w:val="18"/>
                <w:szCs w:val="18"/>
                <w:lang w:eastAsia="en-GB"/>
              </w:rPr>
              <w:t>Liquid assets</w:t>
            </w:r>
          </w:p>
        </w:tc>
        <w:tc>
          <w:tcPr>
            <w:tcW w:w="907" w:type="dxa"/>
            <w:tcBorders>
              <w:top w:val="single" w:sz="4" w:space="0" w:color="auto"/>
              <w:bottom w:val="single" w:sz="4" w:space="0" w:color="auto"/>
            </w:tcBorders>
            <w:noWrap/>
            <w:vAlign w:val="center"/>
            <w:hideMark/>
          </w:tcPr>
          <w:p w14:paraId="361957D8" w14:textId="77777777"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sidRPr="00620BD6">
              <w:rPr>
                <w:rFonts w:ascii="Times New Roman" w:eastAsia="Times New Roman" w:hAnsi="Times New Roman" w:cs="Times New Roman"/>
                <w:color w:val="000000"/>
                <w:sz w:val="18"/>
                <w:szCs w:val="18"/>
                <w:lang w:eastAsia="en-GB"/>
              </w:rPr>
              <w:t>Financial invest</w:t>
            </w:r>
            <w:r>
              <w:rPr>
                <w:rFonts w:ascii="Times New Roman" w:eastAsia="Times New Roman" w:hAnsi="Times New Roman" w:cs="Times New Roman"/>
                <w:color w:val="000000"/>
                <w:sz w:val="18"/>
                <w:szCs w:val="18"/>
                <w:lang w:eastAsia="en-GB"/>
              </w:rPr>
              <w:t>. assets</w:t>
            </w:r>
          </w:p>
        </w:tc>
        <w:tc>
          <w:tcPr>
            <w:tcW w:w="907" w:type="dxa"/>
            <w:tcBorders>
              <w:top w:val="single" w:sz="4" w:space="0" w:color="auto"/>
              <w:bottom w:val="single" w:sz="4" w:space="0" w:color="auto"/>
            </w:tcBorders>
            <w:noWrap/>
            <w:vAlign w:val="center"/>
            <w:hideMark/>
          </w:tcPr>
          <w:p w14:paraId="054BC4ED" w14:textId="77777777" w:rsidR="007B7EC1" w:rsidRPr="00620BD6" w:rsidRDefault="007B7EC1" w:rsidP="00CE004B">
            <w:pPr>
              <w:spacing w:after="0" w:line="240" w:lineRule="auto"/>
              <w:ind w:firstLine="0"/>
              <w:jc w:val="center"/>
              <w:rPr>
                <w:rFonts w:ascii="Times New Roman" w:hAnsi="Times New Roman" w:cs="Times New Roman"/>
                <w:sz w:val="18"/>
                <w:szCs w:val="18"/>
                <w:lang w:eastAsia="en-GB"/>
              </w:rPr>
            </w:pPr>
            <w:proofErr w:type="spellStart"/>
            <w:r w:rsidRPr="00620BD6">
              <w:rPr>
                <w:rFonts w:ascii="Times New Roman" w:eastAsia="Times New Roman" w:hAnsi="Times New Roman" w:cs="Times New Roman"/>
                <w:color w:val="000000"/>
                <w:sz w:val="18"/>
                <w:szCs w:val="18"/>
                <w:lang w:eastAsia="en-GB"/>
              </w:rPr>
              <w:t>Retir</w:t>
            </w:r>
            <w:proofErr w:type="spellEnd"/>
            <w:r>
              <w:rPr>
                <w:rFonts w:ascii="Times New Roman" w:eastAsia="Times New Roman" w:hAnsi="Times New Roman" w:cs="Times New Roman"/>
                <w:color w:val="000000"/>
                <w:sz w:val="18"/>
                <w:szCs w:val="18"/>
                <w:lang w:eastAsia="en-GB"/>
              </w:rPr>
              <w:t>.</w:t>
            </w:r>
            <w:r w:rsidRPr="00620BD6">
              <w:rPr>
                <w:rFonts w:ascii="Times New Roman" w:eastAsia="Times New Roman" w:hAnsi="Times New Roman" w:cs="Times New Roman"/>
                <w:color w:val="000000"/>
                <w:sz w:val="18"/>
                <w:szCs w:val="18"/>
                <w:lang w:eastAsia="en-GB"/>
              </w:rPr>
              <w:t xml:space="preserve"> </w:t>
            </w:r>
            <w:r>
              <w:rPr>
                <w:rFonts w:ascii="Times New Roman" w:eastAsia="Times New Roman" w:hAnsi="Times New Roman" w:cs="Times New Roman"/>
                <w:color w:val="000000"/>
                <w:sz w:val="18"/>
                <w:szCs w:val="18"/>
                <w:lang w:eastAsia="en-GB"/>
              </w:rPr>
              <w:t>and insurance</w:t>
            </w:r>
          </w:p>
        </w:tc>
        <w:tc>
          <w:tcPr>
            <w:tcW w:w="907" w:type="dxa"/>
            <w:tcBorders>
              <w:top w:val="single" w:sz="4" w:space="0" w:color="auto"/>
              <w:bottom w:val="single" w:sz="4" w:space="0" w:color="auto"/>
            </w:tcBorders>
            <w:vAlign w:val="center"/>
          </w:tcPr>
          <w:p w14:paraId="46CE6834" w14:textId="77777777" w:rsidR="007B7EC1" w:rsidRPr="00620BD6" w:rsidRDefault="007B7EC1" w:rsidP="00CE004B">
            <w:pPr>
              <w:spacing w:after="0" w:line="240" w:lineRule="auto"/>
              <w:ind w:firstLine="0"/>
              <w:jc w:val="center"/>
              <w:rPr>
                <w:rFonts w:ascii="Times New Roman" w:eastAsia="Times New Roman" w:hAnsi="Times New Roman" w:cs="Times New Roman"/>
                <w:color w:val="000000"/>
                <w:sz w:val="18"/>
                <w:szCs w:val="18"/>
                <w:lang w:eastAsia="en-GB"/>
              </w:rPr>
            </w:pPr>
            <w:r w:rsidRPr="00620BD6">
              <w:rPr>
                <w:rFonts w:ascii="Times New Roman" w:eastAsia="Times New Roman" w:hAnsi="Times New Roman" w:cs="Times New Roman"/>
                <w:color w:val="000000"/>
                <w:sz w:val="18"/>
                <w:szCs w:val="18"/>
                <w:lang w:eastAsia="en-GB"/>
              </w:rPr>
              <w:t>Secured by primary residence</w:t>
            </w:r>
          </w:p>
        </w:tc>
        <w:tc>
          <w:tcPr>
            <w:tcW w:w="907" w:type="dxa"/>
            <w:tcBorders>
              <w:top w:val="single" w:sz="4" w:space="0" w:color="auto"/>
              <w:bottom w:val="single" w:sz="4" w:space="0" w:color="auto"/>
            </w:tcBorders>
            <w:vAlign w:val="center"/>
          </w:tcPr>
          <w:p w14:paraId="77805DE4" w14:textId="77777777" w:rsidR="007B7EC1" w:rsidRPr="00620BD6" w:rsidRDefault="007B7EC1" w:rsidP="00CE004B">
            <w:pPr>
              <w:spacing w:after="0" w:line="240" w:lineRule="auto"/>
              <w:ind w:firstLine="0"/>
              <w:jc w:val="center"/>
              <w:rPr>
                <w:rFonts w:ascii="Times New Roman" w:eastAsia="Times New Roman" w:hAnsi="Times New Roman" w:cs="Times New Roman"/>
                <w:color w:val="000000"/>
                <w:sz w:val="18"/>
                <w:szCs w:val="18"/>
                <w:lang w:eastAsia="en-GB"/>
              </w:rPr>
            </w:pPr>
            <w:r w:rsidRPr="00620BD6">
              <w:rPr>
                <w:rFonts w:ascii="Times New Roman" w:eastAsia="Times New Roman" w:hAnsi="Times New Roman" w:cs="Times New Roman"/>
                <w:color w:val="000000"/>
                <w:sz w:val="18"/>
                <w:szCs w:val="18"/>
                <w:lang w:eastAsia="en-GB"/>
              </w:rPr>
              <w:t xml:space="preserve">Secured by </w:t>
            </w:r>
            <w:r>
              <w:rPr>
                <w:rFonts w:ascii="Times New Roman" w:eastAsia="Times New Roman" w:hAnsi="Times New Roman" w:cs="Times New Roman"/>
                <w:color w:val="000000"/>
                <w:sz w:val="18"/>
                <w:szCs w:val="18"/>
                <w:lang w:eastAsia="en-GB"/>
              </w:rPr>
              <w:t>other</w:t>
            </w:r>
            <w:r w:rsidRPr="00620BD6">
              <w:rPr>
                <w:rFonts w:ascii="Times New Roman" w:eastAsia="Times New Roman" w:hAnsi="Times New Roman" w:cs="Times New Roman"/>
                <w:color w:val="000000"/>
                <w:sz w:val="18"/>
                <w:szCs w:val="18"/>
                <w:lang w:eastAsia="en-GB"/>
              </w:rPr>
              <w:t xml:space="preserve"> </w:t>
            </w:r>
            <w:r>
              <w:rPr>
                <w:rFonts w:ascii="Times New Roman" w:eastAsia="Times New Roman" w:hAnsi="Times New Roman" w:cs="Times New Roman"/>
                <w:color w:val="000000"/>
                <w:sz w:val="18"/>
                <w:szCs w:val="18"/>
                <w:lang w:eastAsia="en-GB"/>
              </w:rPr>
              <w:t>real estate</w:t>
            </w:r>
          </w:p>
        </w:tc>
        <w:tc>
          <w:tcPr>
            <w:tcW w:w="907" w:type="dxa"/>
            <w:tcBorders>
              <w:top w:val="single" w:sz="4" w:space="0" w:color="auto"/>
              <w:bottom w:val="single" w:sz="4" w:space="0" w:color="auto"/>
            </w:tcBorders>
            <w:vAlign w:val="center"/>
          </w:tcPr>
          <w:p w14:paraId="129EED37" w14:textId="77777777" w:rsidR="007B7EC1" w:rsidRPr="00620BD6" w:rsidRDefault="007B7EC1" w:rsidP="00CE004B">
            <w:pPr>
              <w:spacing w:after="0" w:line="240" w:lineRule="auto"/>
              <w:ind w:firstLine="0"/>
              <w:jc w:val="center"/>
              <w:rPr>
                <w:rFonts w:ascii="Times New Roman" w:eastAsia="Times New Roman" w:hAnsi="Times New Roman" w:cs="Times New Roman"/>
                <w:color w:val="000000"/>
                <w:sz w:val="18"/>
                <w:szCs w:val="18"/>
                <w:lang w:eastAsia="en-GB"/>
              </w:rPr>
            </w:pPr>
            <w:proofErr w:type="spellStart"/>
            <w:r w:rsidRPr="00620BD6">
              <w:rPr>
                <w:rFonts w:ascii="Times New Roman" w:eastAsia="Times New Roman" w:hAnsi="Times New Roman" w:cs="Times New Roman"/>
                <w:color w:val="000000"/>
                <w:sz w:val="18"/>
                <w:szCs w:val="18"/>
                <w:lang w:eastAsia="en-GB"/>
              </w:rPr>
              <w:t>Instal</w:t>
            </w:r>
            <w:proofErr w:type="spellEnd"/>
            <w:r>
              <w:rPr>
                <w:rFonts w:ascii="Times New Roman" w:eastAsia="Times New Roman" w:hAnsi="Times New Roman" w:cs="Times New Roman"/>
                <w:color w:val="000000"/>
                <w:sz w:val="18"/>
                <w:szCs w:val="18"/>
                <w:lang w:eastAsia="en-GB"/>
              </w:rPr>
              <w:t>.</w:t>
            </w:r>
            <w:r w:rsidRPr="00620BD6">
              <w:rPr>
                <w:rFonts w:ascii="Times New Roman" w:eastAsia="Times New Roman" w:hAnsi="Times New Roman" w:cs="Times New Roman"/>
                <w:color w:val="000000"/>
                <w:sz w:val="18"/>
                <w:szCs w:val="18"/>
                <w:lang w:eastAsia="en-GB"/>
              </w:rPr>
              <w:t xml:space="preserve"> </w:t>
            </w:r>
            <w:r>
              <w:rPr>
                <w:rFonts w:ascii="Times New Roman" w:eastAsia="Times New Roman" w:hAnsi="Times New Roman" w:cs="Times New Roman"/>
                <w:color w:val="000000"/>
                <w:sz w:val="18"/>
                <w:szCs w:val="18"/>
                <w:lang w:eastAsia="en-GB"/>
              </w:rPr>
              <w:t>d</w:t>
            </w:r>
            <w:r w:rsidRPr="00620BD6">
              <w:rPr>
                <w:rFonts w:ascii="Times New Roman" w:eastAsia="Times New Roman" w:hAnsi="Times New Roman" w:cs="Times New Roman"/>
                <w:color w:val="000000"/>
                <w:sz w:val="18"/>
                <w:szCs w:val="18"/>
                <w:lang w:eastAsia="en-GB"/>
              </w:rPr>
              <w:t>ebt</w:t>
            </w:r>
          </w:p>
        </w:tc>
        <w:tc>
          <w:tcPr>
            <w:tcW w:w="907" w:type="dxa"/>
            <w:tcBorders>
              <w:top w:val="single" w:sz="4" w:space="0" w:color="auto"/>
              <w:bottom w:val="single" w:sz="4" w:space="0" w:color="auto"/>
            </w:tcBorders>
            <w:vAlign w:val="center"/>
          </w:tcPr>
          <w:p w14:paraId="75FF1458" w14:textId="77777777" w:rsidR="007B7EC1" w:rsidRPr="00620BD6" w:rsidRDefault="007B7EC1" w:rsidP="00CE004B">
            <w:pPr>
              <w:spacing w:after="0" w:line="240" w:lineRule="auto"/>
              <w:ind w:firstLine="0"/>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Credit card balances</w:t>
            </w:r>
          </w:p>
        </w:tc>
        <w:tc>
          <w:tcPr>
            <w:tcW w:w="907" w:type="dxa"/>
            <w:tcBorders>
              <w:top w:val="single" w:sz="4" w:space="0" w:color="auto"/>
              <w:bottom w:val="single" w:sz="4" w:space="0" w:color="auto"/>
            </w:tcBorders>
            <w:vAlign w:val="center"/>
          </w:tcPr>
          <w:p w14:paraId="725393C5" w14:textId="4D1AEF88" w:rsidR="007B7EC1" w:rsidRDefault="007B7EC1" w:rsidP="00CE004B">
            <w:pPr>
              <w:spacing w:after="0" w:line="240" w:lineRule="auto"/>
              <w:ind w:firstLine="0"/>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Other types of debt</w:t>
            </w:r>
          </w:p>
        </w:tc>
        <w:tc>
          <w:tcPr>
            <w:tcW w:w="907" w:type="dxa"/>
            <w:tcBorders>
              <w:top w:val="single" w:sz="4" w:space="0" w:color="auto"/>
              <w:bottom w:val="single" w:sz="4" w:space="0" w:color="auto"/>
            </w:tcBorders>
            <w:vAlign w:val="center"/>
          </w:tcPr>
          <w:p w14:paraId="14D9A8CE" w14:textId="6D0D1F0C" w:rsidR="007B7EC1" w:rsidRDefault="00485E19" w:rsidP="00CE004B">
            <w:pPr>
              <w:spacing w:after="0" w:line="240" w:lineRule="auto"/>
              <w:ind w:firstLine="0"/>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DSY</w:t>
            </w:r>
          </w:p>
        </w:tc>
        <w:tc>
          <w:tcPr>
            <w:tcW w:w="907" w:type="dxa"/>
            <w:tcBorders>
              <w:top w:val="single" w:sz="4" w:space="0" w:color="auto"/>
              <w:bottom w:val="single" w:sz="4" w:space="0" w:color="auto"/>
              <w:right w:val="single" w:sz="4" w:space="0" w:color="auto"/>
            </w:tcBorders>
            <w:vAlign w:val="center"/>
          </w:tcPr>
          <w:p w14:paraId="55BC6B1B" w14:textId="512A306D" w:rsidR="007B7EC1" w:rsidRPr="00620BD6" w:rsidRDefault="007B7EC1" w:rsidP="00CE004B">
            <w:pPr>
              <w:spacing w:after="0" w:line="240" w:lineRule="auto"/>
              <w:ind w:firstLine="0"/>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Debt-to-asset ratio</w:t>
            </w:r>
          </w:p>
        </w:tc>
      </w:tr>
      <w:tr w:rsidR="00CE004B" w:rsidRPr="00620BD6" w14:paraId="27AB4FF0" w14:textId="77777777" w:rsidTr="00CE004B">
        <w:trPr>
          <w:trHeight w:val="20"/>
        </w:trPr>
        <w:tc>
          <w:tcPr>
            <w:tcW w:w="2835" w:type="dxa"/>
            <w:tcBorders>
              <w:top w:val="single" w:sz="4" w:space="0" w:color="auto"/>
              <w:left w:val="single" w:sz="4" w:space="0" w:color="auto"/>
              <w:right w:val="single" w:sz="4" w:space="0" w:color="auto"/>
            </w:tcBorders>
            <w:noWrap/>
            <w:vAlign w:val="center"/>
            <w:hideMark/>
          </w:tcPr>
          <w:p w14:paraId="3221F265" w14:textId="6A0E3178"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Median income ratio</w:t>
            </w:r>
          </w:p>
        </w:tc>
        <w:tc>
          <w:tcPr>
            <w:tcW w:w="907" w:type="dxa"/>
            <w:tcBorders>
              <w:top w:val="single" w:sz="4" w:space="0" w:color="auto"/>
              <w:left w:val="single" w:sz="4" w:space="0" w:color="auto"/>
            </w:tcBorders>
            <w:noWrap/>
            <w:vAlign w:val="center"/>
            <w:hideMark/>
          </w:tcPr>
          <w:p w14:paraId="5B5CCBB4" w14:textId="66444FB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tcBorders>
              <w:top w:val="single" w:sz="4" w:space="0" w:color="auto"/>
            </w:tcBorders>
            <w:noWrap/>
            <w:vAlign w:val="center"/>
            <w:hideMark/>
          </w:tcPr>
          <w:p w14:paraId="11FFAF61"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noWrap/>
            <w:vAlign w:val="center"/>
            <w:hideMark/>
          </w:tcPr>
          <w:p w14:paraId="18F7E0CD"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noWrap/>
            <w:vAlign w:val="center"/>
            <w:hideMark/>
          </w:tcPr>
          <w:p w14:paraId="7877D3AA"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noWrap/>
            <w:vAlign w:val="center"/>
            <w:hideMark/>
          </w:tcPr>
          <w:p w14:paraId="28000DA1"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noWrap/>
            <w:vAlign w:val="center"/>
            <w:hideMark/>
          </w:tcPr>
          <w:p w14:paraId="2517B07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noWrap/>
            <w:vAlign w:val="center"/>
            <w:hideMark/>
          </w:tcPr>
          <w:p w14:paraId="18DA341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noWrap/>
            <w:vAlign w:val="center"/>
            <w:hideMark/>
          </w:tcPr>
          <w:p w14:paraId="060DA5FC"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vAlign w:val="center"/>
          </w:tcPr>
          <w:p w14:paraId="54A57489"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vAlign w:val="center"/>
          </w:tcPr>
          <w:p w14:paraId="6A748A40"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vAlign w:val="center"/>
          </w:tcPr>
          <w:p w14:paraId="13E8BB54"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vAlign w:val="center"/>
          </w:tcPr>
          <w:p w14:paraId="62674594"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vAlign w:val="center"/>
          </w:tcPr>
          <w:p w14:paraId="6B5DEBE2"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tcBorders>
            <w:vAlign w:val="center"/>
          </w:tcPr>
          <w:p w14:paraId="5C546067"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top w:val="single" w:sz="4" w:space="0" w:color="auto"/>
              <w:right w:val="single" w:sz="4" w:space="0" w:color="auto"/>
            </w:tcBorders>
            <w:vAlign w:val="center"/>
          </w:tcPr>
          <w:p w14:paraId="2EE52438" w14:textId="7D2DAD0A"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3111B8EE" w14:textId="77777777" w:rsidTr="00CE004B">
        <w:trPr>
          <w:trHeight w:val="20"/>
        </w:trPr>
        <w:tc>
          <w:tcPr>
            <w:tcW w:w="2835" w:type="dxa"/>
            <w:tcBorders>
              <w:left w:val="single" w:sz="4" w:space="0" w:color="auto"/>
              <w:right w:val="single" w:sz="4" w:space="0" w:color="auto"/>
            </w:tcBorders>
            <w:noWrap/>
            <w:vAlign w:val="center"/>
            <w:hideMark/>
          </w:tcPr>
          <w:p w14:paraId="72266AA0" w14:textId="5FA12325"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Primary residence /Assets</w:t>
            </w:r>
          </w:p>
        </w:tc>
        <w:tc>
          <w:tcPr>
            <w:tcW w:w="907" w:type="dxa"/>
            <w:tcBorders>
              <w:left w:val="single" w:sz="4" w:space="0" w:color="auto"/>
            </w:tcBorders>
            <w:noWrap/>
            <w:vAlign w:val="center"/>
            <w:hideMark/>
          </w:tcPr>
          <w:p w14:paraId="46D55E0E" w14:textId="3BFC311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hideMark/>
          </w:tcPr>
          <w:p w14:paraId="02862884" w14:textId="263D3D2F"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noWrap/>
            <w:vAlign w:val="center"/>
            <w:hideMark/>
          </w:tcPr>
          <w:p w14:paraId="6FCCF2DE"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248E2138"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7B9D2167"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5617783C"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5D6C6D89"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23B31583"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84CF5E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B82FC1C"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5B0E7970"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5555B187"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65E5A6D0"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11611DC"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53885AD6" w14:textId="2C032E5B"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643D7FA0" w14:textId="77777777" w:rsidTr="00CE004B">
        <w:trPr>
          <w:trHeight w:val="20"/>
        </w:trPr>
        <w:tc>
          <w:tcPr>
            <w:tcW w:w="2835" w:type="dxa"/>
            <w:tcBorders>
              <w:left w:val="single" w:sz="4" w:space="0" w:color="auto"/>
              <w:right w:val="single" w:sz="4" w:space="0" w:color="auto"/>
            </w:tcBorders>
            <w:noWrap/>
            <w:vAlign w:val="center"/>
            <w:hideMark/>
          </w:tcPr>
          <w:p w14:paraId="0FF05F9A" w14:textId="54B28CBE"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Other real estate/Assets</w:t>
            </w:r>
          </w:p>
        </w:tc>
        <w:tc>
          <w:tcPr>
            <w:tcW w:w="907" w:type="dxa"/>
            <w:tcBorders>
              <w:left w:val="single" w:sz="4" w:space="0" w:color="auto"/>
            </w:tcBorders>
            <w:noWrap/>
            <w:vAlign w:val="center"/>
            <w:hideMark/>
          </w:tcPr>
          <w:p w14:paraId="139041F5" w14:textId="21ADBAB8"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0.05</w:t>
            </w:r>
          </w:p>
        </w:tc>
        <w:tc>
          <w:tcPr>
            <w:tcW w:w="907" w:type="dxa"/>
            <w:noWrap/>
            <w:vAlign w:val="center"/>
            <w:hideMark/>
          </w:tcPr>
          <w:p w14:paraId="203F1186" w14:textId="71442081"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-0.19</w:t>
            </w:r>
          </w:p>
        </w:tc>
        <w:tc>
          <w:tcPr>
            <w:tcW w:w="907" w:type="dxa"/>
            <w:noWrap/>
            <w:vAlign w:val="center"/>
            <w:hideMark/>
          </w:tcPr>
          <w:p w14:paraId="2E8FFA07" w14:textId="5A9AF52A"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noWrap/>
            <w:vAlign w:val="center"/>
            <w:hideMark/>
          </w:tcPr>
          <w:p w14:paraId="6477A8CC"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5D93742C"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7CDCA28F"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37553B57"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5BD247F4"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D1F4331"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36189B1"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6FEC0B70"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4D7FB41C"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6A310287"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423E7AE"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372D69B8" w14:textId="16B7CC43"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7C335DD2" w14:textId="77777777" w:rsidTr="00CE004B">
        <w:trPr>
          <w:trHeight w:val="20"/>
        </w:trPr>
        <w:tc>
          <w:tcPr>
            <w:tcW w:w="2835" w:type="dxa"/>
            <w:tcBorders>
              <w:left w:val="single" w:sz="4" w:space="0" w:color="auto"/>
              <w:right w:val="single" w:sz="4" w:space="0" w:color="auto"/>
            </w:tcBorders>
            <w:noWrap/>
            <w:vAlign w:val="center"/>
            <w:hideMark/>
          </w:tcPr>
          <w:p w14:paraId="2655F76A" w14:textId="371D8441"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 xml:space="preserve">Vehicles </w:t>
            </w:r>
            <w:r>
              <w:rPr>
                <w:rFonts w:ascii="Times New Roman" w:eastAsia="Times New Roman" w:hAnsi="Times New Roman" w:cs="Times New Roman"/>
                <w:color w:val="000000"/>
                <w:sz w:val="18"/>
                <w:szCs w:val="18"/>
                <w:lang w:eastAsia="en-GB"/>
              </w:rPr>
              <w:t>&amp; other non-</w:t>
            </w:r>
            <w:proofErr w:type="gramStart"/>
            <w:r>
              <w:rPr>
                <w:rFonts w:ascii="Times New Roman" w:eastAsia="Times New Roman" w:hAnsi="Times New Roman" w:cs="Times New Roman"/>
                <w:color w:val="000000"/>
                <w:sz w:val="18"/>
                <w:szCs w:val="18"/>
                <w:lang w:eastAsia="en-GB"/>
              </w:rPr>
              <w:t>fin.</w:t>
            </w:r>
            <w:r w:rsidRPr="006E52D2">
              <w:rPr>
                <w:rFonts w:ascii="Times New Roman" w:eastAsia="Times New Roman" w:hAnsi="Times New Roman" w:cs="Times New Roman"/>
                <w:color w:val="000000"/>
                <w:sz w:val="18"/>
                <w:szCs w:val="18"/>
                <w:lang w:eastAsia="en-GB"/>
              </w:rPr>
              <w:t>/</w:t>
            </w:r>
            <w:proofErr w:type="gramEnd"/>
            <w:r w:rsidRPr="006E52D2">
              <w:rPr>
                <w:rFonts w:ascii="Times New Roman" w:eastAsia="Times New Roman" w:hAnsi="Times New Roman" w:cs="Times New Roman"/>
                <w:color w:val="000000"/>
                <w:sz w:val="18"/>
                <w:szCs w:val="18"/>
                <w:lang w:eastAsia="en-GB"/>
              </w:rPr>
              <w:t>Assets</w:t>
            </w:r>
          </w:p>
        </w:tc>
        <w:tc>
          <w:tcPr>
            <w:tcW w:w="907" w:type="dxa"/>
            <w:tcBorders>
              <w:left w:val="single" w:sz="4" w:space="0" w:color="auto"/>
            </w:tcBorders>
            <w:noWrap/>
            <w:vAlign w:val="center"/>
            <w:hideMark/>
          </w:tcPr>
          <w:p w14:paraId="4B0172A0" w14:textId="21C5D3F3"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-0.10</w:t>
            </w:r>
          </w:p>
        </w:tc>
        <w:tc>
          <w:tcPr>
            <w:tcW w:w="907" w:type="dxa"/>
            <w:noWrap/>
            <w:vAlign w:val="center"/>
            <w:hideMark/>
          </w:tcPr>
          <w:p w14:paraId="11974B28" w14:textId="46E43534"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-0.52</w:t>
            </w:r>
          </w:p>
        </w:tc>
        <w:tc>
          <w:tcPr>
            <w:tcW w:w="907" w:type="dxa"/>
            <w:noWrap/>
            <w:vAlign w:val="center"/>
            <w:hideMark/>
          </w:tcPr>
          <w:p w14:paraId="742AE7A3" w14:textId="32BC182F"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-0.16</w:t>
            </w:r>
          </w:p>
        </w:tc>
        <w:tc>
          <w:tcPr>
            <w:tcW w:w="907" w:type="dxa"/>
            <w:noWrap/>
            <w:vAlign w:val="center"/>
            <w:hideMark/>
          </w:tcPr>
          <w:p w14:paraId="2D055B91" w14:textId="7CE59A0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noWrap/>
            <w:vAlign w:val="center"/>
            <w:hideMark/>
          </w:tcPr>
          <w:p w14:paraId="41968D30"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47B3372A"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41582019"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6CD430C0"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35F3581"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694642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55D371FA"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BC8720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6E3ECD54"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769B64BE"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43CBCAE4" w14:textId="107BC0AD"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39A5F4FB" w14:textId="77777777" w:rsidTr="00CE004B">
        <w:trPr>
          <w:trHeight w:val="20"/>
        </w:trPr>
        <w:tc>
          <w:tcPr>
            <w:tcW w:w="2835" w:type="dxa"/>
            <w:tcBorders>
              <w:left w:val="single" w:sz="4" w:space="0" w:color="auto"/>
              <w:right w:val="single" w:sz="4" w:space="0" w:color="auto"/>
            </w:tcBorders>
            <w:noWrap/>
            <w:vAlign w:val="center"/>
            <w:hideMark/>
          </w:tcPr>
          <w:p w14:paraId="59A34F0D" w14:textId="41B31537"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Business Equity/Assets</w:t>
            </w:r>
          </w:p>
        </w:tc>
        <w:tc>
          <w:tcPr>
            <w:tcW w:w="907" w:type="dxa"/>
            <w:tcBorders>
              <w:left w:val="single" w:sz="4" w:space="0" w:color="auto"/>
            </w:tcBorders>
            <w:noWrap/>
            <w:vAlign w:val="center"/>
            <w:hideMark/>
          </w:tcPr>
          <w:p w14:paraId="691C9909" w14:textId="55A3083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0.11</w:t>
            </w:r>
          </w:p>
        </w:tc>
        <w:tc>
          <w:tcPr>
            <w:tcW w:w="907" w:type="dxa"/>
            <w:noWrap/>
            <w:vAlign w:val="center"/>
            <w:hideMark/>
          </w:tcPr>
          <w:p w14:paraId="0927DD04" w14:textId="7F8E3E12"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-0.18</w:t>
            </w:r>
          </w:p>
        </w:tc>
        <w:tc>
          <w:tcPr>
            <w:tcW w:w="907" w:type="dxa"/>
            <w:noWrap/>
            <w:vAlign w:val="center"/>
            <w:hideMark/>
          </w:tcPr>
          <w:p w14:paraId="5956A7C3" w14:textId="2F4513A3"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hideMark/>
          </w:tcPr>
          <w:p w14:paraId="6C6EBE5A" w14:textId="49BFBCC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-0.14</w:t>
            </w:r>
          </w:p>
        </w:tc>
        <w:tc>
          <w:tcPr>
            <w:tcW w:w="907" w:type="dxa"/>
            <w:noWrap/>
            <w:vAlign w:val="center"/>
            <w:hideMark/>
          </w:tcPr>
          <w:p w14:paraId="6F896CB7" w14:textId="5E3BC828"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noWrap/>
            <w:vAlign w:val="center"/>
            <w:hideMark/>
          </w:tcPr>
          <w:p w14:paraId="061CA996"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14A291C6"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3BBF07D6"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A9C6B58"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4DCED733"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3229D44"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31F7F619"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D93EC49"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317DCA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10A8DFFF" w14:textId="4274BA32"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2F7007FD" w14:textId="77777777" w:rsidTr="00CE004B">
        <w:trPr>
          <w:trHeight w:val="20"/>
        </w:trPr>
        <w:tc>
          <w:tcPr>
            <w:tcW w:w="2835" w:type="dxa"/>
            <w:tcBorders>
              <w:left w:val="single" w:sz="4" w:space="0" w:color="auto"/>
              <w:right w:val="single" w:sz="4" w:space="0" w:color="auto"/>
            </w:tcBorders>
            <w:noWrap/>
            <w:vAlign w:val="center"/>
            <w:hideMark/>
          </w:tcPr>
          <w:p w14:paraId="2EB415A1" w14:textId="0C3F0C3D"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Liquid assets/Assets</w:t>
            </w:r>
          </w:p>
        </w:tc>
        <w:tc>
          <w:tcPr>
            <w:tcW w:w="907" w:type="dxa"/>
            <w:tcBorders>
              <w:left w:val="single" w:sz="4" w:space="0" w:color="auto"/>
            </w:tcBorders>
            <w:noWrap/>
            <w:vAlign w:val="center"/>
            <w:hideMark/>
          </w:tcPr>
          <w:p w14:paraId="4DAE902A" w14:textId="1921FA11"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hideMark/>
          </w:tcPr>
          <w:p w14:paraId="3CDD6A75" w14:textId="0E4B372D"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-0.33</w:t>
            </w:r>
          </w:p>
        </w:tc>
        <w:tc>
          <w:tcPr>
            <w:tcW w:w="907" w:type="dxa"/>
            <w:noWrap/>
            <w:vAlign w:val="center"/>
            <w:hideMark/>
          </w:tcPr>
          <w:p w14:paraId="1549E41F" w14:textId="1B97E441"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-0.08</w:t>
            </w:r>
          </w:p>
        </w:tc>
        <w:tc>
          <w:tcPr>
            <w:tcW w:w="907" w:type="dxa"/>
            <w:noWrap/>
            <w:vAlign w:val="center"/>
            <w:hideMark/>
          </w:tcPr>
          <w:p w14:paraId="4EC13607" w14:textId="2FCA1E1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noWrap/>
            <w:vAlign w:val="center"/>
            <w:hideMark/>
          </w:tcPr>
          <w:p w14:paraId="6542904B" w14:textId="6CCB9EDA"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-0.08</w:t>
            </w:r>
          </w:p>
        </w:tc>
        <w:tc>
          <w:tcPr>
            <w:tcW w:w="907" w:type="dxa"/>
            <w:noWrap/>
            <w:vAlign w:val="center"/>
            <w:hideMark/>
          </w:tcPr>
          <w:p w14:paraId="45A680B6" w14:textId="63F643A9"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noWrap/>
            <w:vAlign w:val="center"/>
            <w:hideMark/>
          </w:tcPr>
          <w:p w14:paraId="1FA49C70"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noWrap/>
            <w:vAlign w:val="center"/>
            <w:hideMark/>
          </w:tcPr>
          <w:p w14:paraId="091231C2"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A0B9461"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494809D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6BAEEE5F"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30FBAE38"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796C7382"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6A27641E"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42576FFD" w14:textId="1579510F"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25135541" w14:textId="77777777" w:rsidTr="00CE004B">
        <w:trPr>
          <w:trHeight w:val="20"/>
        </w:trPr>
        <w:tc>
          <w:tcPr>
            <w:tcW w:w="2835" w:type="dxa"/>
            <w:tcBorders>
              <w:left w:val="single" w:sz="4" w:space="0" w:color="auto"/>
              <w:right w:val="single" w:sz="4" w:space="0" w:color="auto"/>
            </w:tcBorders>
            <w:noWrap/>
            <w:vAlign w:val="center"/>
            <w:hideMark/>
          </w:tcPr>
          <w:p w14:paraId="77EF4EE5" w14:textId="4D0489C4"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Financial investment/Assets</w:t>
            </w:r>
          </w:p>
        </w:tc>
        <w:tc>
          <w:tcPr>
            <w:tcW w:w="907" w:type="dxa"/>
            <w:tcBorders>
              <w:left w:val="single" w:sz="4" w:space="0" w:color="auto"/>
            </w:tcBorders>
            <w:noWrap/>
            <w:vAlign w:val="center"/>
            <w:hideMark/>
          </w:tcPr>
          <w:p w14:paraId="32B2AD2A" w14:textId="6FA9B2F8"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0.09</w:t>
            </w:r>
          </w:p>
        </w:tc>
        <w:tc>
          <w:tcPr>
            <w:tcW w:w="907" w:type="dxa"/>
            <w:noWrap/>
            <w:vAlign w:val="center"/>
            <w:hideMark/>
          </w:tcPr>
          <w:p w14:paraId="0BA9F569" w14:textId="2F850CC2"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-0.24</w:t>
            </w:r>
          </w:p>
        </w:tc>
        <w:tc>
          <w:tcPr>
            <w:tcW w:w="907" w:type="dxa"/>
            <w:noWrap/>
            <w:vAlign w:val="center"/>
            <w:hideMark/>
          </w:tcPr>
          <w:p w14:paraId="123865C2" w14:textId="2B8F2C9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hideMark/>
          </w:tcPr>
          <w:p w14:paraId="18A48830" w14:textId="4A6CF2C4"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-0.15</w:t>
            </w:r>
          </w:p>
        </w:tc>
        <w:tc>
          <w:tcPr>
            <w:tcW w:w="907" w:type="dxa"/>
            <w:noWrap/>
            <w:vAlign w:val="center"/>
            <w:hideMark/>
          </w:tcPr>
          <w:p w14:paraId="7B096290" w14:textId="2BE9795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-0.05</w:t>
            </w:r>
          </w:p>
        </w:tc>
        <w:tc>
          <w:tcPr>
            <w:tcW w:w="907" w:type="dxa"/>
            <w:noWrap/>
            <w:vAlign w:val="center"/>
            <w:hideMark/>
          </w:tcPr>
          <w:p w14:paraId="3217394E" w14:textId="5B21344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hideMark/>
          </w:tcPr>
          <w:p w14:paraId="3FFE3D14" w14:textId="42FD99C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noWrap/>
            <w:vAlign w:val="center"/>
            <w:hideMark/>
          </w:tcPr>
          <w:p w14:paraId="1779F6A5"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3CF7CB45"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093DD9CE"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4D96F1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44882C49"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7D80F8F6"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2CB00D6"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3717BF51" w14:textId="0438D188"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3C50A2FE" w14:textId="77777777" w:rsidTr="00CE004B">
        <w:trPr>
          <w:trHeight w:val="20"/>
        </w:trPr>
        <w:tc>
          <w:tcPr>
            <w:tcW w:w="2835" w:type="dxa"/>
            <w:tcBorders>
              <w:left w:val="single" w:sz="4" w:space="0" w:color="auto"/>
              <w:right w:val="single" w:sz="4" w:space="0" w:color="auto"/>
            </w:tcBorders>
            <w:noWrap/>
            <w:vAlign w:val="center"/>
            <w:hideMark/>
          </w:tcPr>
          <w:p w14:paraId="71BA5562" w14:textId="47C62FB3"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Retirement accounts/Assets</w:t>
            </w:r>
          </w:p>
        </w:tc>
        <w:tc>
          <w:tcPr>
            <w:tcW w:w="907" w:type="dxa"/>
            <w:tcBorders>
              <w:left w:val="single" w:sz="4" w:space="0" w:color="auto"/>
            </w:tcBorders>
            <w:noWrap/>
            <w:vAlign w:val="center"/>
            <w:hideMark/>
          </w:tcPr>
          <w:p w14:paraId="146A8857" w14:textId="224FE69F"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0.04</w:t>
            </w:r>
          </w:p>
        </w:tc>
        <w:tc>
          <w:tcPr>
            <w:tcW w:w="907" w:type="dxa"/>
            <w:noWrap/>
            <w:vAlign w:val="center"/>
            <w:hideMark/>
          </w:tcPr>
          <w:p w14:paraId="55FD2F45" w14:textId="6F63C37D"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-0.26</w:t>
            </w:r>
          </w:p>
        </w:tc>
        <w:tc>
          <w:tcPr>
            <w:tcW w:w="907" w:type="dxa"/>
            <w:noWrap/>
            <w:vAlign w:val="center"/>
            <w:hideMark/>
          </w:tcPr>
          <w:p w14:paraId="6D0B56B6" w14:textId="40F28E3C"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-0.09</w:t>
            </w:r>
          </w:p>
        </w:tc>
        <w:tc>
          <w:tcPr>
            <w:tcW w:w="907" w:type="dxa"/>
            <w:noWrap/>
            <w:vAlign w:val="center"/>
            <w:hideMark/>
          </w:tcPr>
          <w:p w14:paraId="670A6C7E" w14:textId="34C9E66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-0.20</w:t>
            </w:r>
          </w:p>
        </w:tc>
        <w:tc>
          <w:tcPr>
            <w:tcW w:w="907" w:type="dxa"/>
            <w:noWrap/>
            <w:vAlign w:val="center"/>
            <w:hideMark/>
          </w:tcPr>
          <w:p w14:paraId="15F0F8AA" w14:textId="67D10328"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-0.10</w:t>
            </w:r>
          </w:p>
        </w:tc>
        <w:tc>
          <w:tcPr>
            <w:tcW w:w="907" w:type="dxa"/>
            <w:noWrap/>
            <w:vAlign w:val="center"/>
            <w:hideMark/>
          </w:tcPr>
          <w:p w14:paraId="588051E5" w14:textId="4DB77147"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-0.09</w:t>
            </w:r>
          </w:p>
        </w:tc>
        <w:tc>
          <w:tcPr>
            <w:tcW w:w="907" w:type="dxa"/>
            <w:noWrap/>
            <w:vAlign w:val="center"/>
            <w:hideMark/>
          </w:tcPr>
          <w:p w14:paraId="4DD2AA9D" w14:textId="3065A966"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-0.04</w:t>
            </w:r>
          </w:p>
        </w:tc>
        <w:tc>
          <w:tcPr>
            <w:tcW w:w="907" w:type="dxa"/>
            <w:noWrap/>
            <w:vAlign w:val="center"/>
            <w:hideMark/>
          </w:tcPr>
          <w:p w14:paraId="25E81C82" w14:textId="42417972"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vAlign w:val="center"/>
          </w:tcPr>
          <w:p w14:paraId="549A680A"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4296260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53E48BE"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1796536"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BF898C2"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416116DA"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792C8754" w14:textId="10EBCE96"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5A7B1E57" w14:textId="77777777" w:rsidTr="00CE004B">
        <w:trPr>
          <w:trHeight w:val="20"/>
        </w:trPr>
        <w:tc>
          <w:tcPr>
            <w:tcW w:w="2835" w:type="dxa"/>
            <w:tcBorders>
              <w:left w:val="single" w:sz="4" w:space="0" w:color="auto"/>
              <w:right w:val="single" w:sz="4" w:space="0" w:color="auto"/>
            </w:tcBorders>
            <w:noWrap/>
            <w:vAlign w:val="center"/>
            <w:hideMark/>
          </w:tcPr>
          <w:p w14:paraId="7C89BF50" w14:textId="1AA69FB7"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Secured by primary residence/Debt</w:t>
            </w:r>
          </w:p>
        </w:tc>
        <w:tc>
          <w:tcPr>
            <w:tcW w:w="907" w:type="dxa"/>
            <w:tcBorders>
              <w:left w:val="single" w:sz="4" w:space="0" w:color="auto"/>
            </w:tcBorders>
            <w:noWrap/>
            <w:vAlign w:val="center"/>
            <w:hideMark/>
          </w:tcPr>
          <w:p w14:paraId="4B7D667C" w14:textId="0A4436B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0.08</w:t>
            </w:r>
          </w:p>
        </w:tc>
        <w:tc>
          <w:tcPr>
            <w:tcW w:w="907" w:type="dxa"/>
            <w:noWrap/>
            <w:vAlign w:val="center"/>
            <w:hideMark/>
          </w:tcPr>
          <w:p w14:paraId="24D177CB" w14:textId="4E4DDC8A"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0.64</w:t>
            </w:r>
          </w:p>
        </w:tc>
        <w:tc>
          <w:tcPr>
            <w:tcW w:w="907" w:type="dxa"/>
            <w:noWrap/>
            <w:vAlign w:val="center"/>
            <w:hideMark/>
          </w:tcPr>
          <w:p w14:paraId="12ED6AEF" w14:textId="096B3AFB"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-0.08</w:t>
            </w:r>
          </w:p>
        </w:tc>
        <w:tc>
          <w:tcPr>
            <w:tcW w:w="907" w:type="dxa"/>
            <w:noWrap/>
            <w:vAlign w:val="center"/>
            <w:hideMark/>
          </w:tcPr>
          <w:p w14:paraId="392C118A" w14:textId="483BCB7B"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-0.51</w:t>
            </w:r>
          </w:p>
        </w:tc>
        <w:tc>
          <w:tcPr>
            <w:tcW w:w="907" w:type="dxa"/>
            <w:noWrap/>
            <w:vAlign w:val="center"/>
            <w:hideMark/>
          </w:tcPr>
          <w:p w14:paraId="6AA9B63E" w14:textId="6CBFDD2D"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noWrap/>
            <w:vAlign w:val="center"/>
            <w:hideMark/>
          </w:tcPr>
          <w:p w14:paraId="0BC163EF" w14:textId="46E2F0EC"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-0.28</w:t>
            </w:r>
          </w:p>
        </w:tc>
        <w:tc>
          <w:tcPr>
            <w:tcW w:w="907" w:type="dxa"/>
            <w:noWrap/>
            <w:vAlign w:val="center"/>
            <w:hideMark/>
          </w:tcPr>
          <w:p w14:paraId="15238186" w14:textId="6A06835A"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-0.08</w:t>
            </w:r>
          </w:p>
        </w:tc>
        <w:tc>
          <w:tcPr>
            <w:tcW w:w="907" w:type="dxa"/>
            <w:noWrap/>
            <w:vAlign w:val="center"/>
            <w:hideMark/>
          </w:tcPr>
          <w:p w14:paraId="0E2C9FEA" w14:textId="2BF35CC6"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vAlign w:val="center"/>
          </w:tcPr>
          <w:p w14:paraId="60FF8A41" w14:textId="16F2EB6D"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vAlign w:val="center"/>
          </w:tcPr>
          <w:p w14:paraId="4667CCEF"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172DC731"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523F5886"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408DF8C"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646FF0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6333EF95" w14:textId="44B6722D"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1F508A1F" w14:textId="77777777" w:rsidTr="00CE004B">
        <w:trPr>
          <w:trHeight w:val="20"/>
        </w:trPr>
        <w:tc>
          <w:tcPr>
            <w:tcW w:w="2835" w:type="dxa"/>
            <w:tcBorders>
              <w:left w:val="single" w:sz="4" w:space="0" w:color="auto"/>
              <w:right w:val="single" w:sz="4" w:space="0" w:color="auto"/>
            </w:tcBorders>
            <w:noWrap/>
            <w:vAlign w:val="center"/>
            <w:hideMark/>
          </w:tcPr>
          <w:p w14:paraId="4047C912" w14:textId="02B67317"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Secured by other real estate/Debt</w:t>
            </w:r>
          </w:p>
        </w:tc>
        <w:tc>
          <w:tcPr>
            <w:tcW w:w="907" w:type="dxa"/>
            <w:tcBorders>
              <w:left w:val="single" w:sz="4" w:space="0" w:color="auto"/>
            </w:tcBorders>
            <w:noWrap/>
            <w:vAlign w:val="center"/>
            <w:hideMark/>
          </w:tcPr>
          <w:p w14:paraId="1CF98CBC" w14:textId="7841EF02"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0.09</w:t>
            </w:r>
          </w:p>
        </w:tc>
        <w:tc>
          <w:tcPr>
            <w:tcW w:w="907" w:type="dxa"/>
            <w:noWrap/>
            <w:vAlign w:val="center"/>
            <w:hideMark/>
          </w:tcPr>
          <w:p w14:paraId="2C98CFEE" w14:textId="4F57521E"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-0.14</w:t>
            </w:r>
          </w:p>
        </w:tc>
        <w:tc>
          <w:tcPr>
            <w:tcW w:w="907" w:type="dxa"/>
            <w:noWrap/>
            <w:vAlign w:val="center"/>
            <w:hideMark/>
          </w:tcPr>
          <w:p w14:paraId="7D6DA9CF" w14:textId="76238CDF"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0.53</w:t>
            </w:r>
          </w:p>
        </w:tc>
        <w:tc>
          <w:tcPr>
            <w:tcW w:w="907" w:type="dxa"/>
            <w:noWrap/>
            <w:vAlign w:val="center"/>
            <w:hideMark/>
          </w:tcPr>
          <w:p w14:paraId="73186DEC" w14:textId="5024DCAA"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-0.12</w:t>
            </w:r>
          </w:p>
        </w:tc>
        <w:tc>
          <w:tcPr>
            <w:tcW w:w="907" w:type="dxa"/>
            <w:noWrap/>
            <w:vAlign w:val="center"/>
            <w:hideMark/>
          </w:tcPr>
          <w:p w14:paraId="0B3DDD2A" w14:textId="71203258"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0.06</w:t>
            </w:r>
          </w:p>
        </w:tc>
        <w:tc>
          <w:tcPr>
            <w:tcW w:w="907" w:type="dxa"/>
            <w:noWrap/>
            <w:vAlign w:val="center"/>
            <w:hideMark/>
          </w:tcPr>
          <w:p w14:paraId="5F5A536C" w14:textId="3A9D8A88"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-0.04</w:t>
            </w:r>
          </w:p>
        </w:tc>
        <w:tc>
          <w:tcPr>
            <w:tcW w:w="907" w:type="dxa"/>
            <w:noWrap/>
            <w:vAlign w:val="center"/>
            <w:hideMark/>
          </w:tcPr>
          <w:p w14:paraId="273F34CC" w14:textId="2BB83703"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0.03</w:t>
            </w:r>
          </w:p>
        </w:tc>
        <w:tc>
          <w:tcPr>
            <w:tcW w:w="907" w:type="dxa"/>
            <w:noWrap/>
            <w:vAlign w:val="center"/>
            <w:hideMark/>
          </w:tcPr>
          <w:p w14:paraId="3ED9326D" w14:textId="460401B3"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-0.01</w:t>
            </w:r>
          </w:p>
        </w:tc>
        <w:tc>
          <w:tcPr>
            <w:tcW w:w="907" w:type="dxa"/>
            <w:vAlign w:val="center"/>
          </w:tcPr>
          <w:p w14:paraId="2D7061E8" w14:textId="0BBEBBC5"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-0.14</w:t>
            </w:r>
          </w:p>
        </w:tc>
        <w:tc>
          <w:tcPr>
            <w:tcW w:w="907" w:type="dxa"/>
            <w:vAlign w:val="center"/>
          </w:tcPr>
          <w:p w14:paraId="4B68C0BF" w14:textId="4A634E69"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1.00</w:t>
            </w:r>
          </w:p>
        </w:tc>
        <w:tc>
          <w:tcPr>
            <w:tcW w:w="907" w:type="dxa"/>
            <w:vAlign w:val="center"/>
          </w:tcPr>
          <w:p w14:paraId="0CB73376" w14:textId="77777777" w:rsidR="00CE004B" w:rsidRPr="00CE004B" w:rsidRDefault="00CE004B" w:rsidP="00CE004B">
            <w:pPr>
              <w:spacing w:after="0" w:line="240" w:lineRule="auto"/>
              <w:ind w:firstLine="0"/>
              <w:jc w:val="right"/>
              <w:rPr>
                <w:rFonts w:cs="Times New Roman"/>
                <w:color w:val="000000" w:themeColor="text1"/>
                <w:sz w:val="18"/>
                <w:szCs w:val="18"/>
                <w:lang w:eastAsia="en-GB"/>
              </w:rPr>
            </w:pPr>
          </w:p>
        </w:tc>
        <w:tc>
          <w:tcPr>
            <w:tcW w:w="907" w:type="dxa"/>
            <w:vAlign w:val="center"/>
          </w:tcPr>
          <w:p w14:paraId="6B3DE1B3" w14:textId="77777777" w:rsidR="00CE004B" w:rsidRPr="00CE004B" w:rsidRDefault="00CE004B" w:rsidP="00CE004B">
            <w:pPr>
              <w:spacing w:after="0" w:line="240" w:lineRule="auto"/>
              <w:ind w:firstLine="0"/>
              <w:jc w:val="right"/>
              <w:rPr>
                <w:rFonts w:cs="Times New Roman"/>
                <w:color w:val="000000" w:themeColor="text1"/>
                <w:sz w:val="18"/>
                <w:szCs w:val="18"/>
                <w:lang w:eastAsia="en-GB"/>
              </w:rPr>
            </w:pPr>
          </w:p>
        </w:tc>
        <w:tc>
          <w:tcPr>
            <w:tcW w:w="907" w:type="dxa"/>
            <w:vAlign w:val="center"/>
          </w:tcPr>
          <w:p w14:paraId="300033B1" w14:textId="77777777" w:rsidR="00CE004B" w:rsidRPr="00CE004B" w:rsidRDefault="00CE004B" w:rsidP="00CE004B">
            <w:pPr>
              <w:spacing w:after="0" w:line="240" w:lineRule="auto"/>
              <w:ind w:firstLine="0"/>
              <w:jc w:val="right"/>
              <w:rPr>
                <w:rFonts w:cs="Times New Roman"/>
                <w:color w:val="000000" w:themeColor="text1"/>
                <w:sz w:val="18"/>
                <w:szCs w:val="18"/>
                <w:lang w:eastAsia="en-GB"/>
              </w:rPr>
            </w:pPr>
          </w:p>
        </w:tc>
        <w:tc>
          <w:tcPr>
            <w:tcW w:w="907" w:type="dxa"/>
            <w:vAlign w:val="center"/>
          </w:tcPr>
          <w:p w14:paraId="4A755527" w14:textId="77777777" w:rsidR="00CE004B" w:rsidRPr="00CE004B" w:rsidRDefault="00CE004B" w:rsidP="00CE004B">
            <w:pPr>
              <w:spacing w:after="0" w:line="240" w:lineRule="auto"/>
              <w:ind w:firstLine="0"/>
              <w:jc w:val="right"/>
              <w:rPr>
                <w:rFonts w:cs="Times New Roman"/>
                <w:color w:val="000000" w:themeColor="text1"/>
                <w:sz w:val="18"/>
                <w:szCs w:val="18"/>
                <w:lang w:eastAsia="en-GB"/>
              </w:rPr>
            </w:pPr>
          </w:p>
        </w:tc>
        <w:tc>
          <w:tcPr>
            <w:tcW w:w="907" w:type="dxa"/>
            <w:tcBorders>
              <w:right w:val="single" w:sz="4" w:space="0" w:color="auto"/>
            </w:tcBorders>
            <w:vAlign w:val="center"/>
          </w:tcPr>
          <w:p w14:paraId="400873D5" w14:textId="0CB3028B" w:rsidR="00CE004B" w:rsidRPr="00CE004B" w:rsidRDefault="00CE004B" w:rsidP="00CE004B">
            <w:pPr>
              <w:spacing w:after="0" w:line="240" w:lineRule="auto"/>
              <w:ind w:firstLine="0"/>
              <w:jc w:val="right"/>
              <w:rPr>
                <w:rFonts w:cs="Times New Roman"/>
                <w:color w:val="000000" w:themeColor="text1"/>
                <w:sz w:val="18"/>
                <w:szCs w:val="18"/>
                <w:lang w:eastAsia="en-GB"/>
              </w:rPr>
            </w:pPr>
          </w:p>
        </w:tc>
      </w:tr>
      <w:tr w:rsidR="00CE004B" w:rsidRPr="00620BD6" w14:paraId="212EB155" w14:textId="77777777" w:rsidTr="00CE004B">
        <w:trPr>
          <w:trHeight w:val="20"/>
        </w:trPr>
        <w:tc>
          <w:tcPr>
            <w:tcW w:w="2835" w:type="dxa"/>
            <w:tcBorders>
              <w:left w:val="single" w:sz="4" w:space="0" w:color="auto"/>
              <w:right w:val="single" w:sz="4" w:space="0" w:color="auto"/>
            </w:tcBorders>
            <w:noWrap/>
            <w:vAlign w:val="center"/>
            <w:hideMark/>
          </w:tcPr>
          <w:p w14:paraId="6FCF95A2" w14:textId="73905D01"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Instalment Debt/Debt</w:t>
            </w:r>
          </w:p>
        </w:tc>
        <w:tc>
          <w:tcPr>
            <w:tcW w:w="907" w:type="dxa"/>
            <w:tcBorders>
              <w:left w:val="single" w:sz="4" w:space="0" w:color="auto"/>
            </w:tcBorders>
            <w:noWrap/>
            <w:vAlign w:val="center"/>
            <w:hideMark/>
          </w:tcPr>
          <w:p w14:paraId="09AC67E8" w14:textId="1E99E4B4"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-0.08</w:t>
            </w:r>
          </w:p>
        </w:tc>
        <w:tc>
          <w:tcPr>
            <w:tcW w:w="907" w:type="dxa"/>
            <w:noWrap/>
            <w:vAlign w:val="center"/>
            <w:hideMark/>
          </w:tcPr>
          <w:p w14:paraId="361AF318" w14:textId="1CD74FDB"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-0.43</w:t>
            </w:r>
          </w:p>
        </w:tc>
        <w:tc>
          <w:tcPr>
            <w:tcW w:w="907" w:type="dxa"/>
            <w:noWrap/>
            <w:vAlign w:val="center"/>
            <w:hideMark/>
          </w:tcPr>
          <w:p w14:paraId="42ECA1F5" w14:textId="4B41DA13"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-0.09</w:t>
            </w:r>
          </w:p>
        </w:tc>
        <w:tc>
          <w:tcPr>
            <w:tcW w:w="907" w:type="dxa"/>
            <w:noWrap/>
            <w:vAlign w:val="center"/>
            <w:hideMark/>
          </w:tcPr>
          <w:p w14:paraId="0B0DFD5D" w14:textId="1F2E5BDA"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0.50</w:t>
            </w:r>
          </w:p>
        </w:tc>
        <w:tc>
          <w:tcPr>
            <w:tcW w:w="907" w:type="dxa"/>
            <w:noWrap/>
            <w:vAlign w:val="center"/>
            <w:hideMark/>
          </w:tcPr>
          <w:p w14:paraId="32BD8598" w14:textId="53C207C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hideMark/>
          </w:tcPr>
          <w:p w14:paraId="2BBAE386" w14:textId="02A400D9"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0.15</w:t>
            </w:r>
          </w:p>
        </w:tc>
        <w:tc>
          <w:tcPr>
            <w:tcW w:w="907" w:type="dxa"/>
            <w:noWrap/>
            <w:vAlign w:val="center"/>
            <w:hideMark/>
          </w:tcPr>
          <w:p w14:paraId="3BB75436" w14:textId="59156F4D"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hideMark/>
          </w:tcPr>
          <w:p w14:paraId="03266EDE" w14:textId="29D9E03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vAlign w:val="center"/>
          </w:tcPr>
          <w:p w14:paraId="7477E68E" w14:textId="5B87C80A"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-0.64</w:t>
            </w:r>
          </w:p>
        </w:tc>
        <w:tc>
          <w:tcPr>
            <w:tcW w:w="907" w:type="dxa"/>
            <w:vAlign w:val="center"/>
          </w:tcPr>
          <w:p w14:paraId="36D4C05D" w14:textId="67619303"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-0.14</w:t>
            </w:r>
          </w:p>
        </w:tc>
        <w:tc>
          <w:tcPr>
            <w:tcW w:w="907" w:type="dxa"/>
            <w:vAlign w:val="center"/>
          </w:tcPr>
          <w:p w14:paraId="1AE4740C" w14:textId="4CACA066"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vAlign w:val="center"/>
          </w:tcPr>
          <w:p w14:paraId="4944B60B"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2EAC5896"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39CB1263"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6C089AFC" w14:textId="12509E06"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38509B51" w14:textId="77777777" w:rsidTr="00CE004B">
        <w:trPr>
          <w:trHeight w:val="20"/>
        </w:trPr>
        <w:tc>
          <w:tcPr>
            <w:tcW w:w="2835" w:type="dxa"/>
            <w:tcBorders>
              <w:left w:val="single" w:sz="4" w:space="0" w:color="auto"/>
              <w:right w:val="single" w:sz="4" w:space="0" w:color="auto"/>
            </w:tcBorders>
            <w:noWrap/>
            <w:vAlign w:val="center"/>
            <w:hideMark/>
          </w:tcPr>
          <w:p w14:paraId="1755C00E" w14:textId="1367A3D7"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Credit Card Balances/Debt</w:t>
            </w:r>
          </w:p>
        </w:tc>
        <w:tc>
          <w:tcPr>
            <w:tcW w:w="907" w:type="dxa"/>
            <w:tcBorders>
              <w:left w:val="single" w:sz="4" w:space="0" w:color="auto"/>
            </w:tcBorders>
            <w:noWrap/>
            <w:vAlign w:val="center"/>
            <w:hideMark/>
          </w:tcPr>
          <w:p w14:paraId="4FB59913" w14:textId="29450409"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-0.06</w:t>
            </w:r>
          </w:p>
        </w:tc>
        <w:tc>
          <w:tcPr>
            <w:tcW w:w="907" w:type="dxa"/>
            <w:noWrap/>
            <w:vAlign w:val="center"/>
            <w:hideMark/>
          </w:tcPr>
          <w:p w14:paraId="04BE4C64" w14:textId="5E469901"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-0.23</w:t>
            </w:r>
          </w:p>
        </w:tc>
        <w:tc>
          <w:tcPr>
            <w:tcW w:w="907" w:type="dxa"/>
            <w:noWrap/>
            <w:vAlign w:val="center"/>
            <w:hideMark/>
          </w:tcPr>
          <w:p w14:paraId="13854DAE" w14:textId="283C3D0C"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noWrap/>
            <w:vAlign w:val="center"/>
            <w:hideMark/>
          </w:tcPr>
          <w:p w14:paraId="7C01CC45" w14:textId="2CD6066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0.12</w:t>
            </w:r>
          </w:p>
        </w:tc>
        <w:tc>
          <w:tcPr>
            <w:tcW w:w="907" w:type="dxa"/>
            <w:noWrap/>
            <w:vAlign w:val="center"/>
            <w:hideMark/>
          </w:tcPr>
          <w:p w14:paraId="6C067EE1" w14:textId="7BB151C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hideMark/>
          </w:tcPr>
          <w:p w14:paraId="503E7BD8" w14:textId="3BCE2A7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0.22</w:t>
            </w:r>
          </w:p>
        </w:tc>
        <w:tc>
          <w:tcPr>
            <w:tcW w:w="907" w:type="dxa"/>
            <w:noWrap/>
            <w:vAlign w:val="center"/>
            <w:hideMark/>
          </w:tcPr>
          <w:p w14:paraId="0821DBEC" w14:textId="5CB7AADB"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0.07</w:t>
            </w:r>
          </w:p>
        </w:tc>
        <w:tc>
          <w:tcPr>
            <w:tcW w:w="907" w:type="dxa"/>
            <w:noWrap/>
            <w:vAlign w:val="center"/>
            <w:hideMark/>
          </w:tcPr>
          <w:p w14:paraId="15FEA708" w14:textId="0199FC61"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vAlign w:val="center"/>
          </w:tcPr>
          <w:p w14:paraId="655A9D85" w14:textId="73F9256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-0.45</w:t>
            </w:r>
          </w:p>
        </w:tc>
        <w:tc>
          <w:tcPr>
            <w:tcW w:w="907" w:type="dxa"/>
            <w:vAlign w:val="center"/>
          </w:tcPr>
          <w:p w14:paraId="6059D952" w14:textId="1C973CA8"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-0.09</w:t>
            </w:r>
          </w:p>
        </w:tc>
        <w:tc>
          <w:tcPr>
            <w:tcW w:w="907" w:type="dxa"/>
            <w:vAlign w:val="center"/>
          </w:tcPr>
          <w:p w14:paraId="71F30F1B" w14:textId="59C379B5" w:rsidR="00CE004B" w:rsidRPr="00CE004B" w:rsidRDefault="00036230" w:rsidP="00CE004B">
            <w:pPr>
              <w:spacing w:after="0" w:line="240" w:lineRule="auto"/>
              <w:ind w:firstLine="0"/>
              <w:jc w:val="right"/>
              <w:rPr>
                <w:rFonts w:cs="Times New Roman"/>
                <w:sz w:val="18"/>
                <w:szCs w:val="18"/>
                <w:lang w:eastAsia="en-GB"/>
              </w:rPr>
            </w:pPr>
            <w:r>
              <w:rPr>
                <w:color w:val="000000"/>
                <w:sz w:val="18"/>
                <w:szCs w:val="18"/>
              </w:rPr>
              <w:t>-0.22</w:t>
            </w:r>
          </w:p>
        </w:tc>
        <w:tc>
          <w:tcPr>
            <w:tcW w:w="907" w:type="dxa"/>
            <w:vAlign w:val="center"/>
          </w:tcPr>
          <w:p w14:paraId="1497635E" w14:textId="65836C18"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c>
          <w:tcPr>
            <w:tcW w:w="907" w:type="dxa"/>
            <w:vAlign w:val="center"/>
          </w:tcPr>
          <w:p w14:paraId="3D040955"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vAlign w:val="center"/>
          </w:tcPr>
          <w:p w14:paraId="4C11B872" w14:textId="77777777" w:rsidR="00CE004B" w:rsidRPr="00CE004B" w:rsidRDefault="00CE004B" w:rsidP="00CE004B">
            <w:pPr>
              <w:spacing w:after="0" w:line="240" w:lineRule="auto"/>
              <w:ind w:firstLine="0"/>
              <w:jc w:val="right"/>
              <w:rPr>
                <w:rFonts w:cs="Times New Roman"/>
                <w:sz w:val="18"/>
                <w:szCs w:val="18"/>
                <w:lang w:eastAsia="en-GB"/>
              </w:rPr>
            </w:pPr>
          </w:p>
        </w:tc>
        <w:tc>
          <w:tcPr>
            <w:tcW w:w="907" w:type="dxa"/>
            <w:tcBorders>
              <w:right w:val="single" w:sz="4" w:space="0" w:color="auto"/>
            </w:tcBorders>
            <w:vAlign w:val="center"/>
          </w:tcPr>
          <w:p w14:paraId="0ECBB7A3" w14:textId="3E8D415F"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692C978E" w14:textId="77777777" w:rsidTr="00CE004B">
        <w:trPr>
          <w:trHeight w:val="20"/>
        </w:trPr>
        <w:tc>
          <w:tcPr>
            <w:tcW w:w="2835" w:type="dxa"/>
            <w:tcBorders>
              <w:left w:val="single" w:sz="4" w:space="0" w:color="auto"/>
              <w:right w:val="single" w:sz="4" w:space="0" w:color="auto"/>
            </w:tcBorders>
            <w:noWrap/>
            <w:vAlign w:val="center"/>
          </w:tcPr>
          <w:p w14:paraId="0763479F" w14:textId="0522FC3D"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Other types of debt/Debt</w:t>
            </w:r>
          </w:p>
        </w:tc>
        <w:tc>
          <w:tcPr>
            <w:tcW w:w="907" w:type="dxa"/>
            <w:tcBorders>
              <w:left w:val="single" w:sz="4" w:space="0" w:color="auto"/>
            </w:tcBorders>
            <w:noWrap/>
            <w:vAlign w:val="center"/>
          </w:tcPr>
          <w:p w14:paraId="06BF6666" w14:textId="302FD2E8"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tcPr>
          <w:p w14:paraId="77C7FD0A" w14:textId="5CE0D08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-0.15</w:t>
            </w:r>
          </w:p>
        </w:tc>
        <w:tc>
          <w:tcPr>
            <w:tcW w:w="907" w:type="dxa"/>
            <w:noWrap/>
            <w:vAlign w:val="center"/>
          </w:tcPr>
          <w:p w14:paraId="4E436C5B" w14:textId="6D2E60A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tcPr>
          <w:p w14:paraId="0BA0C57D" w14:textId="0B9A1282"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0.07</w:t>
            </w:r>
          </w:p>
        </w:tc>
        <w:tc>
          <w:tcPr>
            <w:tcW w:w="907" w:type="dxa"/>
            <w:noWrap/>
            <w:vAlign w:val="center"/>
          </w:tcPr>
          <w:p w14:paraId="31C50B80" w14:textId="0459554D"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tcPr>
          <w:p w14:paraId="6F570517" w14:textId="55A54A86"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0.04</w:t>
            </w:r>
          </w:p>
        </w:tc>
        <w:tc>
          <w:tcPr>
            <w:tcW w:w="907" w:type="dxa"/>
            <w:noWrap/>
            <w:vAlign w:val="center"/>
          </w:tcPr>
          <w:p w14:paraId="786B2A27" w14:textId="592729B5"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0.07</w:t>
            </w:r>
          </w:p>
        </w:tc>
        <w:tc>
          <w:tcPr>
            <w:tcW w:w="907" w:type="dxa"/>
            <w:noWrap/>
            <w:vAlign w:val="center"/>
          </w:tcPr>
          <w:p w14:paraId="423D2276" w14:textId="68BCF237"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0.07</w:t>
            </w:r>
          </w:p>
        </w:tc>
        <w:tc>
          <w:tcPr>
            <w:tcW w:w="907" w:type="dxa"/>
            <w:vAlign w:val="center"/>
          </w:tcPr>
          <w:p w14:paraId="3E5FF24B" w14:textId="5EEA087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-0.20</w:t>
            </w:r>
          </w:p>
        </w:tc>
        <w:tc>
          <w:tcPr>
            <w:tcW w:w="907" w:type="dxa"/>
            <w:vAlign w:val="center"/>
          </w:tcPr>
          <w:p w14:paraId="01DEF088" w14:textId="2442448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vAlign w:val="center"/>
          </w:tcPr>
          <w:p w14:paraId="60BE373E" w14:textId="27768A57"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-0.11</w:t>
            </w:r>
          </w:p>
        </w:tc>
        <w:tc>
          <w:tcPr>
            <w:tcW w:w="907" w:type="dxa"/>
            <w:vAlign w:val="center"/>
          </w:tcPr>
          <w:p w14:paraId="7C5A3B4F" w14:textId="3F7C8B7C"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-0.06</w:t>
            </w:r>
          </w:p>
        </w:tc>
        <w:tc>
          <w:tcPr>
            <w:tcW w:w="907" w:type="dxa"/>
            <w:vAlign w:val="center"/>
          </w:tcPr>
          <w:p w14:paraId="56F89100" w14:textId="20EB686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vAlign w:val="center"/>
          </w:tcPr>
          <w:p w14:paraId="7DFDF119"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center"/>
          </w:tcPr>
          <w:p w14:paraId="2CA24B39" w14:textId="7A666828"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7B740CBA" w14:textId="77777777" w:rsidTr="00CE004B">
        <w:trPr>
          <w:trHeight w:val="20"/>
        </w:trPr>
        <w:tc>
          <w:tcPr>
            <w:tcW w:w="2835" w:type="dxa"/>
            <w:tcBorders>
              <w:left w:val="single" w:sz="4" w:space="0" w:color="auto"/>
              <w:right w:val="single" w:sz="4" w:space="0" w:color="auto"/>
            </w:tcBorders>
            <w:noWrap/>
            <w:vAlign w:val="center"/>
          </w:tcPr>
          <w:p w14:paraId="6EBF1839" w14:textId="13147846"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hAnsi="Times New Roman" w:cs="Times New Roman"/>
                <w:sz w:val="18"/>
                <w:szCs w:val="18"/>
                <w:lang w:eastAsia="en-GB"/>
              </w:rPr>
              <w:t>Debt-service-to-income ratio (</w:t>
            </w:r>
            <w:r w:rsidRPr="006E52D2">
              <w:rPr>
                <w:rFonts w:ascii="Times New Roman" w:eastAsia="Times New Roman" w:hAnsi="Times New Roman" w:cs="Times New Roman"/>
                <w:color w:val="000000"/>
                <w:sz w:val="18"/>
                <w:szCs w:val="18"/>
                <w:lang w:eastAsia="en-GB"/>
              </w:rPr>
              <w:t>DSY)</w:t>
            </w:r>
          </w:p>
        </w:tc>
        <w:tc>
          <w:tcPr>
            <w:tcW w:w="907" w:type="dxa"/>
            <w:tcBorders>
              <w:left w:val="single" w:sz="4" w:space="0" w:color="auto"/>
            </w:tcBorders>
            <w:noWrap/>
            <w:vAlign w:val="center"/>
          </w:tcPr>
          <w:p w14:paraId="3411234A" w14:textId="719F8393"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tcPr>
          <w:p w14:paraId="1083ACF8" w14:textId="600D924B"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tcPr>
          <w:p w14:paraId="268F6CD4" w14:textId="6677DA76"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noWrap/>
            <w:vAlign w:val="center"/>
          </w:tcPr>
          <w:p w14:paraId="674EC679" w14:textId="14DD1386"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noWrap/>
            <w:vAlign w:val="center"/>
          </w:tcPr>
          <w:p w14:paraId="5420F868" w14:textId="17FBD214"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0.04</w:t>
            </w:r>
          </w:p>
        </w:tc>
        <w:tc>
          <w:tcPr>
            <w:tcW w:w="907" w:type="dxa"/>
            <w:noWrap/>
            <w:vAlign w:val="center"/>
          </w:tcPr>
          <w:p w14:paraId="0FE68F91" w14:textId="3301EE6F"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tcPr>
          <w:p w14:paraId="1B1E62BA" w14:textId="5C37F74C"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tcPr>
          <w:p w14:paraId="77BE441F" w14:textId="0F379A97"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vAlign w:val="center"/>
          </w:tcPr>
          <w:p w14:paraId="59484F33" w14:textId="1A8D3EE2"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vAlign w:val="center"/>
          </w:tcPr>
          <w:p w14:paraId="46132DC5" w14:textId="45CC5F9C"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vAlign w:val="center"/>
          </w:tcPr>
          <w:p w14:paraId="68CFBB07" w14:textId="6A22C961"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vAlign w:val="center"/>
          </w:tcPr>
          <w:p w14:paraId="0446DAEE" w14:textId="012A04C4"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vAlign w:val="center"/>
          </w:tcPr>
          <w:p w14:paraId="5507D7F6" w14:textId="245FC3A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vAlign w:val="center"/>
          </w:tcPr>
          <w:p w14:paraId="24EA2645" w14:textId="2BCF912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tcBorders>
              <w:right w:val="single" w:sz="4" w:space="0" w:color="auto"/>
            </w:tcBorders>
            <w:vAlign w:val="center"/>
          </w:tcPr>
          <w:p w14:paraId="2D4998B4" w14:textId="23B15FC3" w:rsidR="00CE004B" w:rsidRPr="00CE004B" w:rsidRDefault="00CE004B" w:rsidP="00CE004B">
            <w:pPr>
              <w:spacing w:after="0" w:line="240" w:lineRule="auto"/>
              <w:ind w:firstLine="0"/>
              <w:jc w:val="right"/>
              <w:rPr>
                <w:rFonts w:cs="Times New Roman"/>
                <w:sz w:val="18"/>
                <w:szCs w:val="18"/>
                <w:lang w:eastAsia="en-GB"/>
              </w:rPr>
            </w:pPr>
          </w:p>
        </w:tc>
      </w:tr>
      <w:tr w:rsidR="00CE004B" w:rsidRPr="00620BD6" w14:paraId="3E8EF1C5" w14:textId="77777777" w:rsidTr="00CE004B">
        <w:trPr>
          <w:trHeight w:val="20"/>
        </w:trPr>
        <w:tc>
          <w:tcPr>
            <w:tcW w:w="2835" w:type="dxa"/>
            <w:tcBorders>
              <w:left w:val="single" w:sz="4" w:space="0" w:color="auto"/>
              <w:right w:val="single" w:sz="4" w:space="0" w:color="auto"/>
            </w:tcBorders>
            <w:noWrap/>
            <w:vAlign w:val="center"/>
          </w:tcPr>
          <w:p w14:paraId="2E192585" w14:textId="05A24439"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Debt-to-asset ratio</w:t>
            </w:r>
          </w:p>
        </w:tc>
        <w:tc>
          <w:tcPr>
            <w:tcW w:w="907" w:type="dxa"/>
            <w:tcBorders>
              <w:left w:val="single" w:sz="4" w:space="0" w:color="auto"/>
            </w:tcBorders>
            <w:noWrap/>
            <w:vAlign w:val="center"/>
          </w:tcPr>
          <w:p w14:paraId="15C1332A" w14:textId="75643212"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2FD48F8D" w14:textId="364B9D4B"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noWrap/>
            <w:vAlign w:val="center"/>
          </w:tcPr>
          <w:p w14:paraId="0893DE08" w14:textId="1A7100F9"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tcPr>
          <w:p w14:paraId="2BB98929" w14:textId="1A5584AD"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tcPr>
          <w:p w14:paraId="07CFC2D7" w14:textId="037957CA"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48725685" w14:textId="11A48169"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0.09</w:t>
            </w:r>
          </w:p>
        </w:tc>
        <w:tc>
          <w:tcPr>
            <w:tcW w:w="907" w:type="dxa"/>
            <w:noWrap/>
            <w:vAlign w:val="center"/>
          </w:tcPr>
          <w:p w14:paraId="656E10CB" w14:textId="3914448A"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tcPr>
          <w:p w14:paraId="4A872BD7" w14:textId="710F2D94"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vAlign w:val="center"/>
          </w:tcPr>
          <w:p w14:paraId="3EA9A6C1" w14:textId="399D02E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vAlign w:val="center"/>
          </w:tcPr>
          <w:p w14:paraId="0D6F172D" w14:textId="542220D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vAlign w:val="center"/>
          </w:tcPr>
          <w:p w14:paraId="79D8E3C0" w14:textId="75B97C51"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0.02</w:t>
            </w:r>
          </w:p>
        </w:tc>
        <w:tc>
          <w:tcPr>
            <w:tcW w:w="907" w:type="dxa"/>
            <w:vAlign w:val="center"/>
          </w:tcPr>
          <w:p w14:paraId="10A624C1" w14:textId="121FBFC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vAlign w:val="center"/>
          </w:tcPr>
          <w:p w14:paraId="566CE7AE" w14:textId="2151842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vAlign w:val="center"/>
          </w:tcPr>
          <w:p w14:paraId="128BB68A" w14:textId="097F1A8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right w:val="single" w:sz="4" w:space="0" w:color="auto"/>
            </w:tcBorders>
            <w:vAlign w:val="center"/>
          </w:tcPr>
          <w:p w14:paraId="50DCB816" w14:textId="606CE389"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1.00</w:t>
            </w:r>
          </w:p>
        </w:tc>
      </w:tr>
      <w:tr w:rsidR="00CE004B" w:rsidRPr="00620BD6" w14:paraId="5E5F297A" w14:textId="77777777" w:rsidTr="00CE004B">
        <w:trPr>
          <w:trHeight w:val="20"/>
        </w:trPr>
        <w:tc>
          <w:tcPr>
            <w:tcW w:w="2835" w:type="dxa"/>
            <w:tcBorders>
              <w:left w:val="single" w:sz="4" w:space="0" w:color="auto"/>
              <w:right w:val="single" w:sz="4" w:space="0" w:color="auto"/>
            </w:tcBorders>
            <w:noWrap/>
            <w:vAlign w:val="center"/>
          </w:tcPr>
          <w:p w14:paraId="0CDDDAE0" w14:textId="0B5EC07C"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Debt-to-income ratio</w:t>
            </w:r>
          </w:p>
        </w:tc>
        <w:tc>
          <w:tcPr>
            <w:tcW w:w="907" w:type="dxa"/>
            <w:tcBorders>
              <w:left w:val="single" w:sz="4" w:space="0" w:color="auto"/>
            </w:tcBorders>
            <w:noWrap/>
            <w:vAlign w:val="center"/>
          </w:tcPr>
          <w:p w14:paraId="362281B7" w14:textId="646E7FEC"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64D7281D" w14:textId="57AB1927"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2D2ACA2F" w14:textId="0811C6B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5D9B4B42" w14:textId="45E4A4FB"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29A3092E" w14:textId="03D3B4C9"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noWrap/>
            <w:vAlign w:val="center"/>
          </w:tcPr>
          <w:p w14:paraId="6EA3FA42" w14:textId="6F88E5B3"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23C499EF" w14:textId="60272048"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4852254A" w14:textId="3AA32DA6"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vAlign w:val="center"/>
          </w:tcPr>
          <w:p w14:paraId="126D5BF5" w14:textId="25391572"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0.01</w:t>
            </w:r>
          </w:p>
        </w:tc>
        <w:tc>
          <w:tcPr>
            <w:tcW w:w="907" w:type="dxa"/>
            <w:vAlign w:val="center"/>
          </w:tcPr>
          <w:p w14:paraId="086D71D7" w14:textId="6C368826"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vAlign w:val="center"/>
          </w:tcPr>
          <w:p w14:paraId="69B5028B" w14:textId="681AD4DE"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vAlign w:val="center"/>
          </w:tcPr>
          <w:p w14:paraId="602F8C99" w14:textId="0FA327A4"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vAlign w:val="center"/>
          </w:tcPr>
          <w:p w14:paraId="5AB7F908" w14:textId="571071D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vAlign w:val="center"/>
          </w:tcPr>
          <w:p w14:paraId="6D778A47" w14:textId="7955081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tcBorders>
              <w:right w:val="single" w:sz="4" w:space="0" w:color="auto"/>
            </w:tcBorders>
            <w:vAlign w:val="center"/>
          </w:tcPr>
          <w:p w14:paraId="1B31BE53" w14:textId="561FAE20"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r>
      <w:tr w:rsidR="00CE004B" w:rsidRPr="00620BD6" w14:paraId="78D8D007" w14:textId="77777777" w:rsidTr="00CE004B">
        <w:trPr>
          <w:trHeight w:val="20"/>
        </w:trPr>
        <w:tc>
          <w:tcPr>
            <w:tcW w:w="2835" w:type="dxa"/>
            <w:tcBorders>
              <w:left w:val="single" w:sz="4" w:space="0" w:color="auto"/>
              <w:right w:val="single" w:sz="4" w:space="0" w:color="auto"/>
            </w:tcBorders>
            <w:noWrap/>
            <w:vAlign w:val="center"/>
          </w:tcPr>
          <w:p w14:paraId="03C7176C" w14:textId="3D6C562B"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Age of household head</w:t>
            </w:r>
          </w:p>
        </w:tc>
        <w:tc>
          <w:tcPr>
            <w:tcW w:w="907" w:type="dxa"/>
            <w:tcBorders>
              <w:left w:val="single" w:sz="4" w:space="0" w:color="auto"/>
            </w:tcBorders>
            <w:noWrap/>
            <w:vAlign w:val="center"/>
          </w:tcPr>
          <w:p w14:paraId="07DA4582" w14:textId="64A5C707"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0.03</w:t>
            </w:r>
          </w:p>
        </w:tc>
        <w:tc>
          <w:tcPr>
            <w:tcW w:w="907" w:type="dxa"/>
            <w:noWrap/>
            <w:vAlign w:val="center"/>
          </w:tcPr>
          <w:p w14:paraId="5BA93356" w14:textId="6606843E"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0.18</w:t>
            </w:r>
          </w:p>
        </w:tc>
        <w:tc>
          <w:tcPr>
            <w:tcW w:w="907" w:type="dxa"/>
            <w:noWrap/>
            <w:vAlign w:val="center"/>
          </w:tcPr>
          <w:p w14:paraId="05236368" w14:textId="227F946A"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0.10</w:t>
            </w:r>
          </w:p>
        </w:tc>
        <w:tc>
          <w:tcPr>
            <w:tcW w:w="907" w:type="dxa"/>
            <w:noWrap/>
            <w:vAlign w:val="center"/>
          </w:tcPr>
          <w:p w14:paraId="39A9353E" w14:textId="69B99552"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-0.30</w:t>
            </w:r>
          </w:p>
        </w:tc>
        <w:tc>
          <w:tcPr>
            <w:tcW w:w="907" w:type="dxa"/>
            <w:noWrap/>
            <w:vAlign w:val="center"/>
          </w:tcPr>
          <w:p w14:paraId="2B6C68A9" w14:textId="653D0074"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0.00</w:t>
            </w:r>
          </w:p>
        </w:tc>
        <w:tc>
          <w:tcPr>
            <w:tcW w:w="907" w:type="dxa"/>
            <w:noWrap/>
            <w:vAlign w:val="center"/>
          </w:tcPr>
          <w:p w14:paraId="78F7ECC3" w14:textId="78563808"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-0.09</w:t>
            </w:r>
          </w:p>
        </w:tc>
        <w:tc>
          <w:tcPr>
            <w:tcW w:w="907" w:type="dxa"/>
            <w:noWrap/>
            <w:vAlign w:val="center"/>
          </w:tcPr>
          <w:p w14:paraId="5A42FF15" w14:textId="76BB7892"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0.09</w:t>
            </w:r>
          </w:p>
        </w:tc>
        <w:tc>
          <w:tcPr>
            <w:tcW w:w="907" w:type="dxa"/>
            <w:noWrap/>
            <w:vAlign w:val="center"/>
          </w:tcPr>
          <w:p w14:paraId="5740A769" w14:textId="4A814D69"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0.05</w:t>
            </w:r>
          </w:p>
        </w:tc>
        <w:tc>
          <w:tcPr>
            <w:tcW w:w="907" w:type="dxa"/>
            <w:vAlign w:val="center"/>
          </w:tcPr>
          <w:p w14:paraId="66635EBA" w14:textId="191FE198"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0.08</w:t>
            </w:r>
          </w:p>
        </w:tc>
        <w:tc>
          <w:tcPr>
            <w:tcW w:w="907" w:type="dxa"/>
            <w:vAlign w:val="center"/>
          </w:tcPr>
          <w:p w14:paraId="0D3601E1" w14:textId="6095B371"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0.08</w:t>
            </w:r>
          </w:p>
        </w:tc>
        <w:tc>
          <w:tcPr>
            <w:tcW w:w="907" w:type="dxa"/>
            <w:vAlign w:val="center"/>
          </w:tcPr>
          <w:p w14:paraId="6BF2D553" w14:textId="4B580D5C"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-0.21</w:t>
            </w:r>
          </w:p>
        </w:tc>
        <w:tc>
          <w:tcPr>
            <w:tcW w:w="907" w:type="dxa"/>
            <w:vAlign w:val="center"/>
          </w:tcPr>
          <w:p w14:paraId="5DEEC105" w14:textId="428F2095"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0.11</w:t>
            </w:r>
          </w:p>
        </w:tc>
        <w:tc>
          <w:tcPr>
            <w:tcW w:w="907" w:type="dxa"/>
            <w:vAlign w:val="center"/>
          </w:tcPr>
          <w:p w14:paraId="5A72C120" w14:textId="7EF1DA6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vAlign w:val="center"/>
          </w:tcPr>
          <w:p w14:paraId="1A37ED52" w14:textId="6AB7EAE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right w:val="single" w:sz="4" w:space="0" w:color="auto"/>
            </w:tcBorders>
            <w:vAlign w:val="center"/>
          </w:tcPr>
          <w:p w14:paraId="2B6FBE00" w14:textId="12FD7E68"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-0.01</w:t>
            </w:r>
          </w:p>
        </w:tc>
      </w:tr>
      <w:tr w:rsidR="00CE004B" w:rsidRPr="00620BD6" w14:paraId="1E7A47B4" w14:textId="77777777" w:rsidTr="00CE004B">
        <w:trPr>
          <w:trHeight w:val="20"/>
        </w:trPr>
        <w:tc>
          <w:tcPr>
            <w:tcW w:w="2835" w:type="dxa"/>
            <w:tcBorders>
              <w:left w:val="single" w:sz="4" w:space="0" w:color="auto"/>
              <w:right w:val="single" w:sz="4" w:space="0" w:color="auto"/>
            </w:tcBorders>
            <w:noWrap/>
            <w:vAlign w:val="center"/>
          </w:tcPr>
          <w:p w14:paraId="30B18811" w14:textId="2D3DAC23"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Proportion of adults aged 18-35</w:t>
            </w:r>
          </w:p>
        </w:tc>
        <w:tc>
          <w:tcPr>
            <w:tcW w:w="907" w:type="dxa"/>
            <w:tcBorders>
              <w:left w:val="single" w:sz="4" w:space="0" w:color="auto"/>
            </w:tcBorders>
            <w:noWrap/>
            <w:vAlign w:val="center"/>
          </w:tcPr>
          <w:p w14:paraId="25BDC0D4" w14:textId="39243E6F"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-0.06</w:t>
            </w:r>
          </w:p>
        </w:tc>
        <w:tc>
          <w:tcPr>
            <w:tcW w:w="907" w:type="dxa"/>
            <w:noWrap/>
            <w:vAlign w:val="center"/>
          </w:tcPr>
          <w:p w14:paraId="7B9B57E2" w14:textId="338ED7E9"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-0.17</w:t>
            </w:r>
          </w:p>
        </w:tc>
        <w:tc>
          <w:tcPr>
            <w:tcW w:w="907" w:type="dxa"/>
            <w:noWrap/>
            <w:vAlign w:val="center"/>
          </w:tcPr>
          <w:p w14:paraId="11877543" w14:textId="67E432B7"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-0.08</w:t>
            </w:r>
          </w:p>
        </w:tc>
        <w:tc>
          <w:tcPr>
            <w:tcW w:w="907" w:type="dxa"/>
            <w:noWrap/>
            <w:vAlign w:val="center"/>
          </w:tcPr>
          <w:p w14:paraId="14AA3E12" w14:textId="4C7028BF"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0.26</w:t>
            </w:r>
          </w:p>
        </w:tc>
        <w:tc>
          <w:tcPr>
            <w:tcW w:w="907" w:type="dxa"/>
            <w:noWrap/>
            <w:vAlign w:val="center"/>
          </w:tcPr>
          <w:p w14:paraId="621BEAE4" w14:textId="492A1176"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-0.03</w:t>
            </w:r>
          </w:p>
        </w:tc>
        <w:tc>
          <w:tcPr>
            <w:tcW w:w="907" w:type="dxa"/>
            <w:noWrap/>
            <w:vAlign w:val="center"/>
          </w:tcPr>
          <w:p w14:paraId="640F0910" w14:textId="2B51A5F5"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0.14</w:t>
            </w:r>
          </w:p>
        </w:tc>
        <w:tc>
          <w:tcPr>
            <w:tcW w:w="907" w:type="dxa"/>
            <w:noWrap/>
            <w:vAlign w:val="center"/>
          </w:tcPr>
          <w:p w14:paraId="2FDB9BA8" w14:textId="37F0C164"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-0.03</w:t>
            </w:r>
          </w:p>
        </w:tc>
        <w:tc>
          <w:tcPr>
            <w:tcW w:w="907" w:type="dxa"/>
            <w:noWrap/>
            <w:vAlign w:val="center"/>
          </w:tcPr>
          <w:p w14:paraId="16EF44A4" w14:textId="3BF7B2A5"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-0.09</w:t>
            </w:r>
          </w:p>
        </w:tc>
        <w:tc>
          <w:tcPr>
            <w:tcW w:w="907" w:type="dxa"/>
            <w:vAlign w:val="center"/>
          </w:tcPr>
          <w:p w14:paraId="7428FB6D" w14:textId="4AADD42D"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-0.17</w:t>
            </w:r>
          </w:p>
        </w:tc>
        <w:tc>
          <w:tcPr>
            <w:tcW w:w="907" w:type="dxa"/>
            <w:vAlign w:val="center"/>
          </w:tcPr>
          <w:p w14:paraId="6342791C" w14:textId="7F541D00"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-0.07</w:t>
            </w:r>
          </w:p>
        </w:tc>
        <w:tc>
          <w:tcPr>
            <w:tcW w:w="907" w:type="dxa"/>
            <w:vAlign w:val="center"/>
          </w:tcPr>
          <w:p w14:paraId="082D1266" w14:textId="11F6A501"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0.23</w:t>
            </w:r>
          </w:p>
        </w:tc>
        <w:tc>
          <w:tcPr>
            <w:tcW w:w="907" w:type="dxa"/>
            <w:vAlign w:val="center"/>
          </w:tcPr>
          <w:p w14:paraId="442783C2" w14:textId="244FCE3D"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-0.01</w:t>
            </w:r>
          </w:p>
        </w:tc>
        <w:tc>
          <w:tcPr>
            <w:tcW w:w="907" w:type="dxa"/>
            <w:vAlign w:val="center"/>
          </w:tcPr>
          <w:p w14:paraId="4C06509B" w14:textId="4FE835F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vAlign w:val="center"/>
          </w:tcPr>
          <w:p w14:paraId="5E10840D" w14:textId="7FECAAD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tcBorders>
              <w:right w:val="single" w:sz="4" w:space="0" w:color="auto"/>
            </w:tcBorders>
            <w:vAlign w:val="center"/>
          </w:tcPr>
          <w:p w14:paraId="3AF685DD" w14:textId="15E354A8"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0.01</w:t>
            </w:r>
          </w:p>
        </w:tc>
      </w:tr>
      <w:tr w:rsidR="00CE004B" w:rsidRPr="00620BD6" w14:paraId="610D7701" w14:textId="77777777" w:rsidTr="00CE004B">
        <w:trPr>
          <w:trHeight w:val="20"/>
        </w:trPr>
        <w:tc>
          <w:tcPr>
            <w:tcW w:w="2835" w:type="dxa"/>
            <w:tcBorders>
              <w:left w:val="single" w:sz="4" w:space="0" w:color="auto"/>
              <w:right w:val="single" w:sz="4" w:space="0" w:color="auto"/>
            </w:tcBorders>
            <w:noWrap/>
            <w:vAlign w:val="center"/>
          </w:tcPr>
          <w:p w14:paraId="72AED367" w14:textId="3201801A" w:rsidR="00CE004B" w:rsidRPr="006E52D2" w:rsidRDefault="00CE004B" w:rsidP="00CE004B">
            <w:pPr>
              <w:spacing w:after="0" w:line="240" w:lineRule="auto"/>
              <w:ind w:firstLine="0"/>
              <w:jc w:val="left"/>
              <w:rPr>
                <w:rFonts w:ascii="Times New Roman" w:eastAsia="Times New Roman" w:hAnsi="Times New Roman" w:cs="Times New Roman"/>
                <w:color w:val="000000"/>
                <w:sz w:val="18"/>
                <w:szCs w:val="18"/>
                <w:lang w:eastAsia="en-GB"/>
              </w:rPr>
            </w:pPr>
            <w:r w:rsidRPr="006E52D2">
              <w:rPr>
                <w:rFonts w:ascii="Times New Roman" w:eastAsia="Times New Roman" w:hAnsi="Times New Roman" w:cs="Times New Roman"/>
                <w:color w:val="000000"/>
                <w:sz w:val="18"/>
                <w:szCs w:val="18"/>
                <w:lang w:eastAsia="en-GB"/>
              </w:rPr>
              <w:t>Proportion of adults aged 36-65</w:t>
            </w:r>
          </w:p>
        </w:tc>
        <w:tc>
          <w:tcPr>
            <w:tcW w:w="907" w:type="dxa"/>
            <w:tcBorders>
              <w:left w:val="single" w:sz="4" w:space="0" w:color="auto"/>
            </w:tcBorders>
            <w:noWrap/>
            <w:vAlign w:val="center"/>
          </w:tcPr>
          <w:p w14:paraId="37F11400" w14:textId="493EAE6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tcPr>
          <w:p w14:paraId="369907F6" w14:textId="457A8F2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tcPr>
          <w:p w14:paraId="27D3388B" w14:textId="573AD8F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noWrap/>
            <w:vAlign w:val="center"/>
          </w:tcPr>
          <w:p w14:paraId="6D2CED9B" w14:textId="0BED221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-0.18</w:t>
            </w:r>
          </w:p>
        </w:tc>
        <w:tc>
          <w:tcPr>
            <w:tcW w:w="907" w:type="dxa"/>
            <w:noWrap/>
            <w:vAlign w:val="center"/>
          </w:tcPr>
          <w:p w14:paraId="6FA44D97" w14:textId="10C0D02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noWrap/>
            <w:vAlign w:val="center"/>
          </w:tcPr>
          <w:p w14:paraId="0D41847B" w14:textId="503E0C8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-0.10</w:t>
            </w:r>
          </w:p>
        </w:tc>
        <w:tc>
          <w:tcPr>
            <w:tcW w:w="907" w:type="dxa"/>
            <w:noWrap/>
            <w:vAlign w:val="center"/>
          </w:tcPr>
          <w:p w14:paraId="25842872" w14:textId="07EB34B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5A105502" w14:textId="36BF6B7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0.15</w:t>
            </w:r>
          </w:p>
        </w:tc>
        <w:tc>
          <w:tcPr>
            <w:tcW w:w="907" w:type="dxa"/>
            <w:vAlign w:val="center"/>
          </w:tcPr>
          <w:p w14:paraId="3F9A2563" w14:textId="36BB5EF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0.14</w:t>
            </w:r>
          </w:p>
        </w:tc>
        <w:tc>
          <w:tcPr>
            <w:tcW w:w="907" w:type="dxa"/>
            <w:vAlign w:val="center"/>
          </w:tcPr>
          <w:p w14:paraId="179923E1" w14:textId="385BB78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vAlign w:val="center"/>
          </w:tcPr>
          <w:p w14:paraId="69022B34" w14:textId="0A9D243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-0.15</w:t>
            </w:r>
          </w:p>
        </w:tc>
        <w:tc>
          <w:tcPr>
            <w:tcW w:w="907" w:type="dxa"/>
            <w:vAlign w:val="center"/>
          </w:tcPr>
          <w:p w14:paraId="13405A23" w14:textId="2ACF7B8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vAlign w:val="center"/>
          </w:tcPr>
          <w:p w14:paraId="5EC57979" w14:textId="7BA2F3D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vAlign w:val="center"/>
          </w:tcPr>
          <w:p w14:paraId="2CE24735" w14:textId="74F3452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tcBorders>
              <w:right w:val="single" w:sz="4" w:space="0" w:color="auto"/>
            </w:tcBorders>
            <w:vAlign w:val="center"/>
          </w:tcPr>
          <w:p w14:paraId="26CEA7F0" w14:textId="3DC9356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r>
      <w:tr w:rsidR="00CE004B" w:rsidRPr="00620BD6" w14:paraId="0891D655" w14:textId="77777777" w:rsidTr="00CE004B">
        <w:trPr>
          <w:trHeight w:val="20"/>
        </w:trPr>
        <w:tc>
          <w:tcPr>
            <w:tcW w:w="2835" w:type="dxa"/>
            <w:tcBorders>
              <w:left w:val="single" w:sz="4" w:space="0" w:color="auto"/>
              <w:right w:val="single" w:sz="4" w:space="0" w:color="auto"/>
            </w:tcBorders>
            <w:noWrap/>
            <w:vAlign w:val="center"/>
          </w:tcPr>
          <w:p w14:paraId="5C9B52E1" w14:textId="0BA9BB31" w:rsidR="00CE004B" w:rsidRPr="006E52D2" w:rsidRDefault="00CE004B" w:rsidP="00CE004B">
            <w:pPr>
              <w:spacing w:after="0" w:line="240" w:lineRule="auto"/>
              <w:ind w:firstLine="0"/>
              <w:jc w:val="left"/>
              <w:rPr>
                <w:rFonts w:ascii="Times New Roman" w:eastAsia="Times New Roman" w:hAnsi="Times New Roman" w:cs="Times New Roman"/>
                <w:color w:val="000000"/>
                <w:sz w:val="18"/>
                <w:szCs w:val="18"/>
                <w:lang w:eastAsia="en-GB"/>
              </w:rPr>
            </w:pPr>
            <w:r w:rsidRPr="006E52D2">
              <w:rPr>
                <w:rFonts w:ascii="Times New Roman" w:eastAsia="Times New Roman" w:hAnsi="Times New Roman" w:cs="Times New Roman"/>
                <w:color w:val="000000"/>
                <w:sz w:val="18"/>
                <w:szCs w:val="18"/>
                <w:lang w:eastAsia="en-GB"/>
              </w:rPr>
              <w:t>Proportion of adults aged 66</w:t>
            </w:r>
            <w:r>
              <w:rPr>
                <w:rFonts w:ascii="Times New Roman" w:eastAsia="Times New Roman" w:hAnsi="Times New Roman" w:cs="Times New Roman"/>
                <w:color w:val="000000"/>
                <w:sz w:val="18"/>
                <w:szCs w:val="18"/>
                <w:lang w:eastAsia="en-GB"/>
              </w:rPr>
              <w:t>+</w:t>
            </w:r>
          </w:p>
        </w:tc>
        <w:tc>
          <w:tcPr>
            <w:tcW w:w="907" w:type="dxa"/>
            <w:tcBorders>
              <w:left w:val="single" w:sz="4" w:space="0" w:color="auto"/>
            </w:tcBorders>
            <w:noWrap/>
            <w:vAlign w:val="center"/>
          </w:tcPr>
          <w:p w14:paraId="4DC762B2" w14:textId="34E6868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tcPr>
          <w:p w14:paraId="75222226" w14:textId="39902EB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noWrap/>
            <w:vAlign w:val="center"/>
          </w:tcPr>
          <w:p w14:paraId="398503B1" w14:textId="57CFF0B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noWrap/>
            <w:vAlign w:val="center"/>
          </w:tcPr>
          <w:p w14:paraId="3EEB68C1" w14:textId="57E27D7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-0.12</w:t>
            </w:r>
          </w:p>
        </w:tc>
        <w:tc>
          <w:tcPr>
            <w:tcW w:w="907" w:type="dxa"/>
            <w:noWrap/>
            <w:vAlign w:val="center"/>
          </w:tcPr>
          <w:p w14:paraId="681E8A94" w14:textId="5683BAE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noWrap/>
            <w:vAlign w:val="center"/>
          </w:tcPr>
          <w:p w14:paraId="76B74121" w14:textId="7AF3A79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tcPr>
          <w:p w14:paraId="6F4A885F" w14:textId="4984BEE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0.10</w:t>
            </w:r>
          </w:p>
        </w:tc>
        <w:tc>
          <w:tcPr>
            <w:tcW w:w="907" w:type="dxa"/>
            <w:noWrap/>
            <w:vAlign w:val="center"/>
          </w:tcPr>
          <w:p w14:paraId="195E883E" w14:textId="7B2DE23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vAlign w:val="center"/>
          </w:tcPr>
          <w:p w14:paraId="5A9D835F" w14:textId="743B1B0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vAlign w:val="center"/>
          </w:tcPr>
          <w:p w14:paraId="67C5ACF9" w14:textId="21E14B3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vAlign w:val="center"/>
          </w:tcPr>
          <w:p w14:paraId="2589C804" w14:textId="6D78901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vAlign w:val="center"/>
          </w:tcPr>
          <w:p w14:paraId="31CB0916" w14:textId="216BCA7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0.16</w:t>
            </w:r>
          </w:p>
        </w:tc>
        <w:tc>
          <w:tcPr>
            <w:tcW w:w="907" w:type="dxa"/>
            <w:vAlign w:val="center"/>
          </w:tcPr>
          <w:p w14:paraId="09714F63" w14:textId="197D29B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vAlign w:val="center"/>
          </w:tcPr>
          <w:p w14:paraId="49820EAC" w14:textId="10B2578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tcBorders>
              <w:right w:val="single" w:sz="4" w:space="0" w:color="auto"/>
            </w:tcBorders>
            <w:vAlign w:val="center"/>
          </w:tcPr>
          <w:p w14:paraId="55285D58" w14:textId="18874E6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r>
      <w:tr w:rsidR="00CE004B" w:rsidRPr="00620BD6" w14:paraId="25790BF3" w14:textId="77777777" w:rsidTr="00CE004B">
        <w:trPr>
          <w:trHeight w:val="20"/>
        </w:trPr>
        <w:tc>
          <w:tcPr>
            <w:tcW w:w="2835" w:type="dxa"/>
            <w:tcBorders>
              <w:left w:val="single" w:sz="4" w:space="0" w:color="auto"/>
              <w:right w:val="single" w:sz="4" w:space="0" w:color="auto"/>
            </w:tcBorders>
            <w:noWrap/>
            <w:vAlign w:val="center"/>
          </w:tcPr>
          <w:p w14:paraId="5DD83ACB" w14:textId="022AA38E" w:rsidR="00CE004B" w:rsidRPr="006E52D2" w:rsidRDefault="00CE004B" w:rsidP="00CE004B">
            <w:pPr>
              <w:spacing w:after="0" w:line="240" w:lineRule="auto"/>
              <w:ind w:firstLine="0"/>
              <w:jc w:val="left"/>
              <w:rPr>
                <w:rFonts w:ascii="Times New Roman" w:eastAsia="Times New Roman" w:hAnsi="Times New Roman" w:cs="Times New Roman"/>
                <w:color w:val="000000"/>
                <w:sz w:val="18"/>
                <w:szCs w:val="18"/>
                <w:lang w:eastAsia="en-GB"/>
              </w:rPr>
            </w:pPr>
            <w:r w:rsidRPr="006E52D2">
              <w:rPr>
                <w:rFonts w:ascii="Times New Roman" w:eastAsia="Times New Roman" w:hAnsi="Times New Roman" w:cs="Times New Roman"/>
                <w:color w:val="000000"/>
                <w:sz w:val="18"/>
                <w:szCs w:val="18"/>
                <w:lang w:eastAsia="en-GB"/>
              </w:rPr>
              <w:t>Total educ</w:t>
            </w:r>
            <w:r>
              <w:rPr>
                <w:rFonts w:ascii="Times New Roman" w:eastAsia="Times New Roman" w:hAnsi="Times New Roman" w:cs="Times New Roman"/>
                <w:color w:val="000000"/>
                <w:sz w:val="18"/>
                <w:szCs w:val="18"/>
                <w:lang w:eastAsia="en-GB"/>
              </w:rPr>
              <w:t>.</w:t>
            </w:r>
            <w:r w:rsidRPr="006E52D2">
              <w:rPr>
                <w:rFonts w:ascii="Times New Roman" w:eastAsia="Times New Roman" w:hAnsi="Times New Roman" w:cs="Times New Roman"/>
                <w:color w:val="000000"/>
                <w:sz w:val="18"/>
                <w:szCs w:val="18"/>
                <w:lang w:eastAsia="en-GB"/>
              </w:rPr>
              <w:t xml:space="preserve"> attainment in household</w:t>
            </w:r>
          </w:p>
        </w:tc>
        <w:tc>
          <w:tcPr>
            <w:tcW w:w="907" w:type="dxa"/>
            <w:tcBorders>
              <w:left w:val="single" w:sz="4" w:space="0" w:color="auto"/>
            </w:tcBorders>
            <w:noWrap/>
            <w:vAlign w:val="center"/>
          </w:tcPr>
          <w:p w14:paraId="4B545543" w14:textId="5F4D318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0.17</w:t>
            </w:r>
          </w:p>
        </w:tc>
        <w:tc>
          <w:tcPr>
            <w:tcW w:w="907" w:type="dxa"/>
            <w:noWrap/>
            <w:vAlign w:val="center"/>
          </w:tcPr>
          <w:p w14:paraId="7D57CB2B" w14:textId="1C8BF90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tcPr>
          <w:p w14:paraId="2C1A3D0A" w14:textId="07C547B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noWrap/>
            <w:vAlign w:val="center"/>
          </w:tcPr>
          <w:p w14:paraId="05A46B66" w14:textId="4D5741E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-0.19</w:t>
            </w:r>
          </w:p>
        </w:tc>
        <w:tc>
          <w:tcPr>
            <w:tcW w:w="907" w:type="dxa"/>
            <w:noWrap/>
            <w:vAlign w:val="center"/>
          </w:tcPr>
          <w:p w14:paraId="0FB8D577" w14:textId="225EC68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noWrap/>
            <w:vAlign w:val="center"/>
          </w:tcPr>
          <w:p w14:paraId="40E1EC8E" w14:textId="38567F5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-0.12</w:t>
            </w:r>
          </w:p>
        </w:tc>
        <w:tc>
          <w:tcPr>
            <w:tcW w:w="907" w:type="dxa"/>
            <w:noWrap/>
            <w:vAlign w:val="center"/>
          </w:tcPr>
          <w:p w14:paraId="363CD183" w14:textId="4FD6DAE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tcPr>
          <w:p w14:paraId="563E64D5" w14:textId="7ECEA57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vAlign w:val="center"/>
          </w:tcPr>
          <w:p w14:paraId="32AF1BD7" w14:textId="2EF49FF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0.26</w:t>
            </w:r>
          </w:p>
        </w:tc>
        <w:tc>
          <w:tcPr>
            <w:tcW w:w="907" w:type="dxa"/>
            <w:vAlign w:val="center"/>
          </w:tcPr>
          <w:p w14:paraId="02CBE67E" w14:textId="7E19D4D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vAlign w:val="center"/>
          </w:tcPr>
          <w:p w14:paraId="63562C04" w14:textId="6624AD3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-0.15</w:t>
            </w:r>
          </w:p>
        </w:tc>
        <w:tc>
          <w:tcPr>
            <w:tcW w:w="907" w:type="dxa"/>
            <w:vAlign w:val="center"/>
          </w:tcPr>
          <w:p w14:paraId="7BE370CA" w14:textId="0C65EDA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-0.19</w:t>
            </w:r>
          </w:p>
        </w:tc>
        <w:tc>
          <w:tcPr>
            <w:tcW w:w="907" w:type="dxa"/>
            <w:vAlign w:val="center"/>
          </w:tcPr>
          <w:p w14:paraId="0EACF67B" w14:textId="62938AE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vAlign w:val="center"/>
          </w:tcPr>
          <w:p w14:paraId="601DEDCA" w14:textId="44885AD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right w:val="single" w:sz="4" w:space="0" w:color="auto"/>
            </w:tcBorders>
            <w:vAlign w:val="center"/>
          </w:tcPr>
          <w:p w14:paraId="5F6AF655" w14:textId="6B8B910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r>
      <w:tr w:rsidR="00CE004B" w:rsidRPr="00620BD6" w14:paraId="3F735C11" w14:textId="77777777" w:rsidTr="00CE004B">
        <w:trPr>
          <w:trHeight w:val="20"/>
        </w:trPr>
        <w:tc>
          <w:tcPr>
            <w:tcW w:w="2835" w:type="dxa"/>
            <w:tcBorders>
              <w:left w:val="single" w:sz="4" w:space="0" w:color="auto"/>
              <w:right w:val="single" w:sz="4" w:space="0" w:color="auto"/>
            </w:tcBorders>
            <w:noWrap/>
            <w:vAlign w:val="center"/>
          </w:tcPr>
          <w:p w14:paraId="541D84C1" w14:textId="26DA33D3"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 xml:space="preserve">Number of household members </w:t>
            </w:r>
          </w:p>
        </w:tc>
        <w:tc>
          <w:tcPr>
            <w:tcW w:w="907" w:type="dxa"/>
            <w:tcBorders>
              <w:left w:val="single" w:sz="4" w:space="0" w:color="auto"/>
            </w:tcBorders>
            <w:noWrap/>
            <w:vAlign w:val="center"/>
          </w:tcPr>
          <w:p w14:paraId="0B7ABB14" w14:textId="15FCA273"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0.05</w:t>
            </w:r>
          </w:p>
        </w:tc>
        <w:tc>
          <w:tcPr>
            <w:tcW w:w="907" w:type="dxa"/>
            <w:noWrap/>
            <w:vAlign w:val="center"/>
          </w:tcPr>
          <w:p w14:paraId="7E67B55E" w14:textId="0C992673"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0.11</w:t>
            </w:r>
          </w:p>
        </w:tc>
        <w:tc>
          <w:tcPr>
            <w:tcW w:w="907" w:type="dxa"/>
            <w:noWrap/>
            <w:vAlign w:val="center"/>
          </w:tcPr>
          <w:p w14:paraId="6BA5E5CF" w14:textId="38947791"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-0.03</w:t>
            </w:r>
          </w:p>
        </w:tc>
        <w:tc>
          <w:tcPr>
            <w:tcW w:w="907" w:type="dxa"/>
            <w:noWrap/>
            <w:vAlign w:val="center"/>
          </w:tcPr>
          <w:p w14:paraId="566E3068" w14:textId="68FDF92B" w:rsidR="00CE004B" w:rsidRPr="00CE004B" w:rsidRDefault="00CE004B" w:rsidP="00CE004B">
            <w:pPr>
              <w:spacing w:after="0" w:line="240" w:lineRule="auto"/>
              <w:ind w:firstLine="0"/>
              <w:jc w:val="right"/>
              <w:rPr>
                <w:rFonts w:cs="Times New Roman"/>
                <w:sz w:val="18"/>
                <w:szCs w:val="18"/>
                <w:lang w:eastAsia="en-GB"/>
              </w:rPr>
            </w:pPr>
            <w:r w:rsidRPr="00CE004B">
              <w:rPr>
                <w:color w:val="000000"/>
                <w:sz w:val="18"/>
                <w:szCs w:val="18"/>
              </w:rPr>
              <w:t>0.00</w:t>
            </w:r>
          </w:p>
        </w:tc>
        <w:tc>
          <w:tcPr>
            <w:tcW w:w="907" w:type="dxa"/>
            <w:noWrap/>
            <w:vAlign w:val="center"/>
          </w:tcPr>
          <w:p w14:paraId="5C43E982" w14:textId="07D90584"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0.05</w:t>
            </w:r>
          </w:p>
        </w:tc>
        <w:tc>
          <w:tcPr>
            <w:tcW w:w="907" w:type="dxa"/>
            <w:noWrap/>
            <w:vAlign w:val="center"/>
          </w:tcPr>
          <w:p w14:paraId="3462175D" w14:textId="629B8827"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-0.12</w:t>
            </w:r>
          </w:p>
        </w:tc>
        <w:tc>
          <w:tcPr>
            <w:tcW w:w="907" w:type="dxa"/>
            <w:noWrap/>
            <w:vAlign w:val="center"/>
          </w:tcPr>
          <w:p w14:paraId="32271D48" w14:textId="70BDB9E5"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-0.10</w:t>
            </w:r>
          </w:p>
        </w:tc>
        <w:tc>
          <w:tcPr>
            <w:tcW w:w="907" w:type="dxa"/>
            <w:noWrap/>
            <w:vAlign w:val="center"/>
          </w:tcPr>
          <w:p w14:paraId="219B2C79" w14:textId="1AD2D100"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-0.04</w:t>
            </w:r>
          </w:p>
        </w:tc>
        <w:tc>
          <w:tcPr>
            <w:tcW w:w="907" w:type="dxa"/>
            <w:vAlign w:val="center"/>
          </w:tcPr>
          <w:p w14:paraId="5905E536" w14:textId="73386477"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0.14</w:t>
            </w:r>
          </w:p>
        </w:tc>
        <w:tc>
          <w:tcPr>
            <w:tcW w:w="907" w:type="dxa"/>
            <w:vAlign w:val="center"/>
          </w:tcPr>
          <w:p w14:paraId="52373EDA" w14:textId="3C404D8F"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-0.03</w:t>
            </w:r>
          </w:p>
        </w:tc>
        <w:tc>
          <w:tcPr>
            <w:tcW w:w="907" w:type="dxa"/>
            <w:vAlign w:val="center"/>
          </w:tcPr>
          <w:p w14:paraId="2C73232A" w14:textId="47E2F287"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-0.03</w:t>
            </w:r>
          </w:p>
        </w:tc>
        <w:tc>
          <w:tcPr>
            <w:tcW w:w="907" w:type="dxa"/>
            <w:vAlign w:val="center"/>
          </w:tcPr>
          <w:p w14:paraId="5818C04C" w14:textId="6C5546A4"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-0.13</w:t>
            </w:r>
          </w:p>
        </w:tc>
        <w:tc>
          <w:tcPr>
            <w:tcW w:w="907" w:type="dxa"/>
            <w:vAlign w:val="center"/>
          </w:tcPr>
          <w:p w14:paraId="58CA94AF" w14:textId="45EF6DE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vAlign w:val="center"/>
          </w:tcPr>
          <w:p w14:paraId="4635CD53" w14:textId="71014C1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right w:val="single" w:sz="4" w:space="0" w:color="auto"/>
            </w:tcBorders>
            <w:vAlign w:val="center"/>
          </w:tcPr>
          <w:p w14:paraId="48960CBC" w14:textId="1B6E8AB0"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0.00</w:t>
            </w:r>
          </w:p>
        </w:tc>
      </w:tr>
      <w:tr w:rsidR="00CE004B" w:rsidRPr="00620BD6" w14:paraId="385418A4" w14:textId="77777777" w:rsidTr="00CE004B">
        <w:trPr>
          <w:trHeight w:val="20"/>
        </w:trPr>
        <w:tc>
          <w:tcPr>
            <w:tcW w:w="2835" w:type="dxa"/>
            <w:tcBorders>
              <w:left w:val="single" w:sz="4" w:space="0" w:color="auto"/>
              <w:right w:val="single" w:sz="4" w:space="0" w:color="auto"/>
            </w:tcBorders>
            <w:noWrap/>
            <w:vAlign w:val="center"/>
          </w:tcPr>
          <w:p w14:paraId="479FD4DD" w14:textId="4D073B26"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 xml:space="preserve">No. of </w:t>
            </w:r>
            <w:proofErr w:type="spellStart"/>
            <w:r w:rsidRPr="006E52D2">
              <w:rPr>
                <w:rFonts w:ascii="Times New Roman" w:eastAsia="Times New Roman" w:hAnsi="Times New Roman" w:cs="Times New Roman"/>
                <w:color w:val="000000"/>
                <w:sz w:val="18"/>
                <w:szCs w:val="18"/>
                <w:lang w:eastAsia="en-GB"/>
              </w:rPr>
              <w:t>indep</w:t>
            </w:r>
            <w:proofErr w:type="spellEnd"/>
            <w:r>
              <w:rPr>
                <w:rFonts w:ascii="Times New Roman" w:eastAsia="Times New Roman" w:hAnsi="Times New Roman" w:cs="Times New Roman"/>
                <w:color w:val="000000"/>
                <w:sz w:val="18"/>
                <w:szCs w:val="18"/>
                <w:lang w:eastAsia="en-GB"/>
              </w:rPr>
              <w:t>.</w:t>
            </w:r>
            <w:r w:rsidRPr="006E52D2">
              <w:rPr>
                <w:rFonts w:ascii="Times New Roman" w:eastAsia="Times New Roman" w:hAnsi="Times New Roman" w:cs="Times New Roman"/>
                <w:color w:val="000000"/>
                <w:sz w:val="18"/>
                <w:szCs w:val="18"/>
                <w:lang w:eastAsia="en-GB"/>
              </w:rPr>
              <w:t xml:space="preserve"> earners in household </w:t>
            </w:r>
          </w:p>
        </w:tc>
        <w:tc>
          <w:tcPr>
            <w:tcW w:w="907" w:type="dxa"/>
            <w:tcBorders>
              <w:left w:val="single" w:sz="4" w:space="0" w:color="auto"/>
            </w:tcBorders>
            <w:noWrap/>
            <w:vAlign w:val="center"/>
          </w:tcPr>
          <w:p w14:paraId="59B5F036" w14:textId="644AECF5"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-0.04</w:t>
            </w:r>
          </w:p>
        </w:tc>
        <w:tc>
          <w:tcPr>
            <w:tcW w:w="907" w:type="dxa"/>
            <w:noWrap/>
            <w:vAlign w:val="center"/>
          </w:tcPr>
          <w:p w14:paraId="33CD1DDC" w14:textId="7DF66599"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0.01</w:t>
            </w:r>
          </w:p>
        </w:tc>
        <w:tc>
          <w:tcPr>
            <w:tcW w:w="907" w:type="dxa"/>
            <w:noWrap/>
            <w:vAlign w:val="center"/>
          </w:tcPr>
          <w:p w14:paraId="5EFF5D62" w14:textId="7649D851"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-0.02</w:t>
            </w:r>
          </w:p>
        </w:tc>
        <w:tc>
          <w:tcPr>
            <w:tcW w:w="907" w:type="dxa"/>
            <w:noWrap/>
            <w:vAlign w:val="center"/>
          </w:tcPr>
          <w:p w14:paraId="05AE57FD" w14:textId="37D1E4EE"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0.04</w:t>
            </w:r>
          </w:p>
        </w:tc>
        <w:tc>
          <w:tcPr>
            <w:tcW w:w="907" w:type="dxa"/>
            <w:noWrap/>
            <w:vAlign w:val="center"/>
          </w:tcPr>
          <w:p w14:paraId="0C724128" w14:textId="1364FFAD"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-0.02</w:t>
            </w:r>
          </w:p>
        </w:tc>
        <w:tc>
          <w:tcPr>
            <w:tcW w:w="907" w:type="dxa"/>
            <w:noWrap/>
            <w:vAlign w:val="center"/>
          </w:tcPr>
          <w:p w14:paraId="163A5082" w14:textId="3F50FA3F"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0.03</w:t>
            </w:r>
          </w:p>
        </w:tc>
        <w:tc>
          <w:tcPr>
            <w:tcW w:w="907" w:type="dxa"/>
            <w:noWrap/>
            <w:vAlign w:val="center"/>
          </w:tcPr>
          <w:p w14:paraId="562F4ED0" w14:textId="475DF1FE"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-0.02</w:t>
            </w:r>
          </w:p>
        </w:tc>
        <w:tc>
          <w:tcPr>
            <w:tcW w:w="907" w:type="dxa"/>
            <w:noWrap/>
            <w:vAlign w:val="center"/>
          </w:tcPr>
          <w:p w14:paraId="6FEF5541" w14:textId="3BED5CE0"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-0.05</w:t>
            </w:r>
          </w:p>
        </w:tc>
        <w:tc>
          <w:tcPr>
            <w:tcW w:w="907" w:type="dxa"/>
            <w:vAlign w:val="center"/>
          </w:tcPr>
          <w:p w14:paraId="4BA69AB2" w14:textId="4B17C1EE"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-0.06</w:t>
            </w:r>
          </w:p>
        </w:tc>
        <w:tc>
          <w:tcPr>
            <w:tcW w:w="907" w:type="dxa"/>
            <w:vAlign w:val="center"/>
          </w:tcPr>
          <w:p w14:paraId="518970B6" w14:textId="2F51032E"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-0.03</w:t>
            </w:r>
          </w:p>
        </w:tc>
        <w:tc>
          <w:tcPr>
            <w:tcW w:w="907" w:type="dxa"/>
            <w:vAlign w:val="center"/>
          </w:tcPr>
          <w:p w14:paraId="20B5CBFD" w14:textId="0D7A8BC4"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0.05</w:t>
            </w:r>
          </w:p>
        </w:tc>
        <w:tc>
          <w:tcPr>
            <w:tcW w:w="907" w:type="dxa"/>
            <w:vAlign w:val="center"/>
          </w:tcPr>
          <w:p w14:paraId="795F6287" w14:textId="7D3637C1"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0.04</w:t>
            </w:r>
          </w:p>
        </w:tc>
        <w:tc>
          <w:tcPr>
            <w:tcW w:w="907" w:type="dxa"/>
            <w:vAlign w:val="center"/>
          </w:tcPr>
          <w:p w14:paraId="768CD986" w14:textId="13314D0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vAlign w:val="center"/>
          </w:tcPr>
          <w:p w14:paraId="7D3479F2" w14:textId="7129D01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tcBorders>
              <w:right w:val="single" w:sz="4" w:space="0" w:color="auto"/>
            </w:tcBorders>
            <w:vAlign w:val="center"/>
          </w:tcPr>
          <w:p w14:paraId="5B53C908" w14:textId="38801C84" w:rsidR="00CE004B" w:rsidRPr="00CE004B" w:rsidRDefault="00CE004B" w:rsidP="00CE004B">
            <w:pPr>
              <w:spacing w:after="0" w:line="240" w:lineRule="auto"/>
              <w:ind w:firstLine="0"/>
              <w:jc w:val="right"/>
              <w:rPr>
                <w:rFonts w:cs="Times New Roman"/>
                <w:color w:val="000000" w:themeColor="text1"/>
                <w:sz w:val="18"/>
                <w:szCs w:val="18"/>
                <w:lang w:eastAsia="en-GB"/>
              </w:rPr>
            </w:pPr>
            <w:r w:rsidRPr="00CE004B">
              <w:rPr>
                <w:color w:val="000000"/>
                <w:sz w:val="18"/>
                <w:szCs w:val="18"/>
              </w:rPr>
              <w:t>0.00</w:t>
            </w:r>
          </w:p>
        </w:tc>
      </w:tr>
      <w:tr w:rsidR="00CE004B" w:rsidRPr="00620BD6" w14:paraId="25206202" w14:textId="77777777" w:rsidTr="00CE004B">
        <w:trPr>
          <w:trHeight w:val="20"/>
        </w:trPr>
        <w:tc>
          <w:tcPr>
            <w:tcW w:w="2835" w:type="dxa"/>
            <w:tcBorders>
              <w:left w:val="single" w:sz="4" w:space="0" w:color="auto"/>
              <w:right w:val="single" w:sz="4" w:space="0" w:color="auto"/>
            </w:tcBorders>
            <w:noWrap/>
            <w:vAlign w:val="center"/>
          </w:tcPr>
          <w:p w14:paraId="0D42122A" w14:textId="5E6FA428"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Single household head</w:t>
            </w:r>
          </w:p>
        </w:tc>
        <w:tc>
          <w:tcPr>
            <w:tcW w:w="907" w:type="dxa"/>
            <w:tcBorders>
              <w:left w:val="single" w:sz="4" w:space="0" w:color="auto"/>
            </w:tcBorders>
            <w:noWrap/>
            <w:vAlign w:val="center"/>
          </w:tcPr>
          <w:p w14:paraId="3ABF8CC8" w14:textId="2275BEB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noWrap/>
            <w:vAlign w:val="center"/>
          </w:tcPr>
          <w:p w14:paraId="61889EFC" w14:textId="134ECB9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noWrap/>
            <w:vAlign w:val="center"/>
          </w:tcPr>
          <w:p w14:paraId="51480A94" w14:textId="020ED3E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noWrap/>
            <w:vAlign w:val="center"/>
          </w:tcPr>
          <w:p w14:paraId="53CAB238" w14:textId="265178F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0.12</w:t>
            </w:r>
          </w:p>
        </w:tc>
        <w:tc>
          <w:tcPr>
            <w:tcW w:w="907" w:type="dxa"/>
            <w:noWrap/>
            <w:vAlign w:val="center"/>
          </w:tcPr>
          <w:p w14:paraId="2224021C" w14:textId="3FB5B2A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-0.09</w:t>
            </w:r>
          </w:p>
        </w:tc>
        <w:tc>
          <w:tcPr>
            <w:tcW w:w="907" w:type="dxa"/>
            <w:noWrap/>
            <w:vAlign w:val="center"/>
          </w:tcPr>
          <w:p w14:paraId="5A71B7FF" w14:textId="25A1CCA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0.15</w:t>
            </w:r>
          </w:p>
        </w:tc>
        <w:tc>
          <w:tcPr>
            <w:tcW w:w="907" w:type="dxa"/>
            <w:noWrap/>
            <w:vAlign w:val="center"/>
          </w:tcPr>
          <w:p w14:paraId="57ACAAF2" w14:textId="30B8251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noWrap/>
            <w:vAlign w:val="center"/>
          </w:tcPr>
          <w:p w14:paraId="1626E2AE" w14:textId="03BE938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vAlign w:val="center"/>
          </w:tcPr>
          <w:p w14:paraId="6CD2DBBD" w14:textId="2210978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-0.20</w:t>
            </w:r>
          </w:p>
        </w:tc>
        <w:tc>
          <w:tcPr>
            <w:tcW w:w="907" w:type="dxa"/>
            <w:vAlign w:val="center"/>
          </w:tcPr>
          <w:p w14:paraId="7044DA24" w14:textId="6916378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vAlign w:val="center"/>
          </w:tcPr>
          <w:p w14:paraId="1C719A48" w14:textId="6E3AD49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vAlign w:val="center"/>
          </w:tcPr>
          <w:p w14:paraId="4D3871BB" w14:textId="69F6A70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0.15</w:t>
            </w:r>
          </w:p>
        </w:tc>
        <w:tc>
          <w:tcPr>
            <w:tcW w:w="907" w:type="dxa"/>
            <w:vAlign w:val="center"/>
          </w:tcPr>
          <w:p w14:paraId="5494F044" w14:textId="7343615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vAlign w:val="center"/>
          </w:tcPr>
          <w:p w14:paraId="1E12CB99" w14:textId="0D5381C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right w:val="single" w:sz="4" w:space="0" w:color="auto"/>
            </w:tcBorders>
            <w:vAlign w:val="center"/>
          </w:tcPr>
          <w:p w14:paraId="096FE7E8" w14:textId="156FA64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r>
      <w:tr w:rsidR="00CE004B" w:rsidRPr="00620BD6" w14:paraId="1907EF82" w14:textId="77777777" w:rsidTr="00CE004B">
        <w:trPr>
          <w:trHeight w:val="20"/>
        </w:trPr>
        <w:tc>
          <w:tcPr>
            <w:tcW w:w="2835" w:type="dxa"/>
            <w:tcBorders>
              <w:left w:val="single" w:sz="4" w:space="0" w:color="auto"/>
              <w:right w:val="single" w:sz="4" w:space="0" w:color="auto"/>
            </w:tcBorders>
            <w:noWrap/>
            <w:vAlign w:val="center"/>
          </w:tcPr>
          <w:p w14:paraId="665CBF71" w14:textId="2CB373AF"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Self-employed household head</w:t>
            </w:r>
          </w:p>
        </w:tc>
        <w:tc>
          <w:tcPr>
            <w:tcW w:w="907" w:type="dxa"/>
            <w:tcBorders>
              <w:left w:val="single" w:sz="4" w:space="0" w:color="auto"/>
            </w:tcBorders>
            <w:noWrap/>
            <w:vAlign w:val="center"/>
          </w:tcPr>
          <w:p w14:paraId="0F292E4A" w14:textId="249F759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0.10</w:t>
            </w:r>
          </w:p>
        </w:tc>
        <w:tc>
          <w:tcPr>
            <w:tcW w:w="907" w:type="dxa"/>
            <w:noWrap/>
            <w:vAlign w:val="center"/>
          </w:tcPr>
          <w:p w14:paraId="39E1975D" w14:textId="6A962C5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noWrap/>
            <w:vAlign w:val="center"/>
          </w:tcPr>
          <w:p w14:paraId="1E789365" w14:textId="54D7663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noWrap/>
            <w:vAlign w:val="center"/>
          </w:tcPr>
          <w:p w14:paraId="12BB3D8B" w14:textId="5A324D4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noWrap/>
            <w:vAlign w:val="center"/>
          </w:tcPr>
          <w:p w14:paraId="3434CBA6" w14:textId="6CF6B4A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0.49</w:t>
            </w:r>
          </w:p>
        </w:tc>
        <w:tc>
          <w:tcPr>
            <w:tcW w:w="907" w:type="dxa"/>
            <w:noWrap/>
            <w:vAlign w:val="center"/>
          </w:tcPr>
          <w:p w14:paraId="68756416" w14:textId="0CC3D12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noWrap/>
            <w:vAlign w:val="center"/>
          </w:tcPr>
          <w:p w14:paraId="7A8D9673" w14:textId="41BF4E5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24D1C0A6" w14:textId="33F6A6B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vAlign w:val="center"/>
          </w:tcPr>
          <w:p w14:paraId="1DD87859" w14:textId="4B78DDE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vAlign w:val="center"/>
          </w:tcPr>
          <w:p w14:paraId="148DB238" w14:textId="6415A73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vAlign w:val="center"/>
          </w:tcPr>
          <w:p w14:paraId="1AFAD78D" w14:textId="2161885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vAlign w:val="center"/>
          </w:tcPr>
          <w:p w14:paraId="242C0175" w14:textId="4E855D2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vAlign w:val="center"/>
          </w:tcPr>
          <w:p w14:paraId="4BC95BEB" w14:textId="4713101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vAlign w:val="center"/>
          </w:tcPr>
          <w:p w14:paraId="332AC9C0" w14:textId="07FE9B3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tcBorders>
              <w:right w:val="single" w:sz="4" w:space="0" w:color="auto"/>
            </w:tcBorders>
            <w:vAlign w:val="center"/>
          </w:tcPr>
          <w:p w14:paraId="4740B90D" w14:textId="0EBD8D4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r>
      <w:tr w:rsidR="00CE004B" w:rsidRPr="00620BD6" w14:paraId="71701A78" w14:textId="77777777" w:rsidTr="00CE004B">
        <w:trPr>
          <w:trHeight w:val="20"/>
        </w:trPr>
        <w:tc>
          <w:tcPr>
            <w:tcW w:w="2835" w:type="dxa"/>
            <w:tcBorders>
              <w:left w:val="single" w:sz="4" w:space="0" w:color="auto"/>
              <w:right w:val="single" w:sz="4" w:space="0" w:color="auto"/>
            </w:tcBorders>
            <w:noWrap/>
            <w:vAlign w:val="center"/>
            <w:hideMark/>
          </w:tcPr>
          <w:p w14:paraId="607C0226" w14:textId="5A344E0B"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 xml:space="preserve">At least one </w:t>
            </w:r>
            <w:proofErr w:type="spellStart"/>
            <w:r w:rsidRPr="006E52D2">
              <w:rPr>
                <w:rFonts w:ascii="Times New Roman" w:eastAsia="Times New Roman" w:hAnsi="Times New Roman" w:cs="Times New Roman"/>
                <w:color w:val="000000"/>
                <w:sz w:val="18"/>
                <w:szCs w:val="18"/>
                <w:lang w:eastAsia="en-GB"/>
              </w:rPr>
              <w:t>unempl</w:t>
            </w:r>
            <w:proofErr w:type="spellEnd"/>
            <w:r>
              <w:rPr>
                <w:rFonts w:ascii="Times New Roman" w:eastAsia="Times New Roman" w:hAnsi="Times New Roman" w:cs="Times New Roman"/>
                <w:color w:val="000000"/>
                <w:sz w:val="18"/>
                <w:szCs w:val="18"/>
                <w:lang w:eastAsia="en-GB"/>
              </w:rPr>
              <w:t>.</w:t>
            </w:r>
            <w:r w:rsidRPr="006E52D2">
              <w:rPr>
                <w:rFonts w:ascii="Times New Roman" w:eastAsia="Times New Roman" w:hAnsi="Times New Roman" w:cs="Times New Roman"/>
                <w:color w:val="000000"/>
                <w:sz w:val="18"/>
                <w:szCs w:val="18"/>
                <w:lang w:eastAsia="en-GB"/>
              </w:rPr>
              <w:t xml:space="preserve"> in household </w:t>
            </w:r>
          </w:p>
        </w:tc>
        <w:tc>
          <w:tcPr>
            <w:tcW w:w="907" w:type="dxa"/>
            <w:tcBorders>
              <w:left w:val="single" w:sz="4" w:space="0" w:color="auto"/>
            </w:tcBorders>
            <w:noWrap/>
            <w:vAlign w:val="center"/>
            <w:hideMark/>
          </w:tcPr>
          <w:p w14:paraId="106B674A" w14:textId="3A304FC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hideMark/>
          </w:tcPr>
          <w:p w14:paraId="0366428D" w14:textId="4499468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noWrap/>
            <w:vAlign w:val="center"/>
            <w:hideMark/>
          </w:tcPr>
          <w:p w14:paraId="0513C556" w14:textId="752F421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noWrap/>
            <w:vAlign w:val="center"/>
            <w:hideMark/>
          </w:tcPr>
          <w:p w14:paraId="62862ADD" w14:textId="640D359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noWrap/>
            <w:vAlign w:val="center"/>
            <w:hideMark/>
          </w:tcPr>
          <w:p w14:paraId="50274A15" w14:textId="0F3A0BC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hideMark/>
          </w:tcPr>
          <w:p w14:paraId="0E51F3C1" w14:textId="748FA42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noWrap/>
            <w:vAlign w:val="center"/>
            <w:hideMark/>
          </w:tcPr>
          <w:p w14:paraId="7900EAB5" w14:textId="12B534F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noWrap/>
            <w:vAlign w:val="center"/>
            <w:hideMark/>
          </w:tcPr>
          <w:p w14:paraId="3339196A" w14:textId="41293F2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vAlign w:val="center"/>
          </w:tcPr>
          <w:p w14:paraId="3090D47F" w14:textId="4F77E0F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vAlign w:val="center"/>
          </w:tcPr>
          <w:p w14:paraId="3F34CF93" w14:textId="6B24DDD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vAlign w:val="center"/>
          </w:tcPr>
          <w:p w14:paraId="680C0029" w14:textId="6070DE4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vAlign w:val="center"/>
          </w:tcPr>
          <w:p w14:paraId="2F6F02DB" w14:textId="31749AF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vAlign w:val="center"/>
          </w:tcPr>
          <w:p w14:paraId="2CF3C24F" w14:textId="12BFBCA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vAlign w:val="center"/>
          </w:tcPr>
          <w:p w14:paraId="6012AF73" w14:textId="7B8E1DA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tcBorders>
              <w:right w:val="single" w:sz="4" w:space="0" w:color="auto"/>
            </w:tcBorders>
            <w:vAlign w:val="center"/>
          </w:tcPr>
          <w:p w14:paraId="50CD5CDB" w14:textId="09F4AD6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r>
      <w:tr w:rsidR="00CE004B" w:rsidRPr="00620BD6" w14:paraId="7CC640EA" w14:textId="77777777" w:rsidTr="00CE004B">
        <w:trPr>
          <w:trHeight w:val="20"/>
        </w:trPr>
        <w:tc>
          <w:tcPr>
            <w:tcW w:w="2835" w:type="dxa"/>
            <w:tcBorders>
              <w:left w:val="single" w:sz="4" w:space="0" w:color="auto"/>
              <w:right w:val="single" w:sz="4" w:space="0" w:color="auto"/>
            </w:tcBorders>
            <w:noWrap/>
            <w:vAlign w:val="center"/>
            <w:hideMark/>
          </w:tcPr>
          <w:p w14:paraId="74B4506C" w14:textId="4BF4466A"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Household head out of labour force</w:t>
            </w:r>
          </w:p>
        </w:tc>
        <w:tc>
          <w:tcPr>
            <w:tcW w:w="907" w:type="dxa"/>
            <w:tcBorders>
              <w:left w:val="single" w:sz="4" w:space="0" w:color="auto"/>
            </w:tcBorders>
            <w:noWrap/>
            <w:vAlign w:val="center"/>
            <w:hideMark/>
          </w:tcPr>
          <w:p w14:paraId="447E2F8D" w14:textId="27290A4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hideMark/>
          </w:tcPr>
          <w:p w14:paraId="37F318DA" w14:textId="1AC0D8C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hideMark/>
          </w:tcPr>
          <w:p w14:paraId="040D3ADE" w14:textId="2FA6CE9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noWrap/>
            <w:vAlign w:val="center"/>
            <w:hideMark/>
          </w:tcPr>
          <w:p w14:paraId="0A97F7B2" w14:textId="541BE7A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noWrap/>
            <w:vAlign w:val="center"/>
            <w:hideMark/>
          </w:tcPr>
          <w:p w14:paraId="03061F1D" w14:textId="2B7538F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-0.09</w:t>
            </w:r>
          </w:p>
        </w:tc>
        <w:tc>
          <w:tcPr>
            <w:tcW w:w="907" w:type="dxa"/>
            <w:noWrap/>
            <w:vAlign w:val="center"/>
            <w:hideMark/>
          </w:tcPr>
          <w:p w14:paraId="1CE45EE6" w14:textId="40F0D43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hideMark/>
          </w:tcPr>
          <w:p w14:paraId="00195C5A" w14:textId="1151777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0.09</w:t>
            </w:r>
          </w:p>
        </w:tc>
        <w:tc>
          <w:tcPr>
            <w:tcW w:w="907" w:type="dxa"/>
            <w:noWrap/>
            <w:vAlign w:val="center"/>
            <w:hideMark/>
          </w:tcPr>
          <w:p w14:paraId="67F8950D" w14:textId="72F60F9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vAlign w:val="center"/>
          </w:tcPr>
          <w:p w14:paraId="467B01F2" w14:textId="5518BDB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-0.10</w:t>
            </w:r>
          </w:p>
        </w:tc>
        <w:tc>
          <w:tcPr>
            <w:tcW w:w="907" w:type="dxa"/>
            <w:vAlign w:val="center"/>
          </w:tcPr>
          <w:p w14:paraId="78066971" w14:textId="67649DF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vAlign w:val="center"/>
          </w:tcPr>
          <w:p w14:paraId="29080DA9" w14:textId="63E635D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vAlign w:val="center"/>
          </w:tcPr>
          <w:p w14:paraId="3500DEBE" w14:textId="331269E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0.14</w:t>
            </w:r>
          </w:p>
        </w:tc>
        <w:tc>
          <w:tcPr>
            <w:tcW w:w="907" w:type="dxa"/>
            <w:vAlign w:val="center"/>
          </w:tcPr>
          <w:p w14:paraId="182AF79B" w14:textId="2DD28DA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vAlign w:val="center"/>
          </w:tcPr>
          <w:p w14:paraId="395BCC8F" w14:textId="4AED972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right w:val="single" w:sz="4" w:space="0" w:color="auto"/>
            </w:tcBorders>
            <w:vAlign w:val="center"/>
          </w:tcPr>
          <w:p w14:paraId="7D6DEA66" w14:textId="3A22F6A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r>
      <w:tr w:rsidR="00CE004B" w:rsidRPr="00620BD6" w14:paraId="32FE5001" w14:textId="77777777" w:rsidTr="00CE004B">
        <w:trPr>
          <w:trHeight w:val="20"/>
        </w:trPr>
        <w:tc>
          <w:tcPr>
            <w:tcW w:w="2835" w:type="dxa"/>
            <w:tcBorders>
              <w:left w:val="single" w:sz="4" w:space="0" w:color="auto"/>
              <w:right w:val="single" w:sz="4" w:space="0" w:color="auto"/>
            </w:tcBorders>
            <w:noWrap/>
            <w:vAlign w:val="center"/>
          </w:tcPr>
          <w:p w14:paraId="5CB54692" w14:textId="6F978B39"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Female household head</w:t>
            </w:r>
          </w:p>
        </w:tc>
        <w:tc>
          <w:tcPr>
            <w:tcW w:w="907" w:type="dxa"/>
            <w:tcBorders>
              <w:left w:val="single" w:sz="4" w:space="0" w:color="auto"/>
            </w:tcBorders>
            <w:noWrap/>
            <w:vAlign w:val="center"/>
          </w:tcPr>
          <w:p w14:paraId="316128BB" w14:textId="6CE1AED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-0.09</w:t>
            </w:r>
          </w:p>
        </w:tc>
        <w:tc>
          <w:tcPr>
            <w:tcW w:w="907" w:type="dxa"/>
            <w:noWrap/>
            <w:vAlign w:val="center"/>
          </w:tcPr>
          <w:p w14:paraId="776451AA" w14:textId="76FA1A0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noWrap/>
            <w:vAlign w:val="center"/>
          </w:tcPr>
          <w:p w14:paraId="5E9DEEC0" w14:textId="7E36ED8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tcPr>
          <w:p w14:paraId="6BDD2FA9" w14:textId="722E5E5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noWrap/>
            <w:vAlign w:val="center"/>
          </w:tcPr>
          <w:p w14:paraId="1F7A6686" w14:textId="72E52F0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noWrap/>
            <w:vAlign w:val="center"/>
          </w:tcPr>
          <w:p w14:paraId="35BBED89" w14:textId="0BFF266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noWrap/>
            <w:vAlign w:val="center"/>
          </w:tcPr>
          <w:p w14:paraId="059465DB" w14:textId="3CD7DA7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noWrap/>
            <w:vAlign w:val="center"/>
          </w:tcPr>
          <w:p w14:paraId="2914482B" w14:textId="398CE5A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vAlign w:val="center"/>
          </w:tcPr>
          <w:p w14:paraId="0A2169A6" w14:textId="2D81CCF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-0.15</w:t>
            </w:r>
          </w:p>
        </w:tc>
        <w:tc>
          <w:tcPr>
            <w:tcW w:w="907" w:type="dxa"/>
            <w:vAlign w:val="center"/>
          </w:tcPr>
          <w:p w14:paraId="3EDEB87B" w14:textId="0F016BA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vAlign w:val="center"/>
          </w:tcPr>
          <w:p w14:paraId="015822D9" w14:textId="457473E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vAlign w:val="center"/>
          </w:tcPr>
          <w:p w14:paraId="2D3DA258" w14:textId="44FCE73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0.15</w:t>
            </w:r>
          </w:p>
        </w:tc>
        <w:tc>
          <w:tcPr>
            <w:tcW w:w="907" w:type="dxa"/>
            <w:vAlign w:val="center"/>
          </w:tcPr>
          <w:p w14:paraId="4B5F8BF2" w14:textId="5914FCF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vAlign w:val="center"/>
          </w:tcPr>
          <w:p w14:paraId="0FA73042" w14:textId="38E96D6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right w:val="single" w:sz="4" w:space="0" w:color="auto"/>
            </w:tcBorders>
            <w:vAlign w:val="center"/>
          </w:tcPr>
          <w:p w14:paraId="3089D6B3" w14:textId="6C88A3B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r>
      <w:tr w:rsidR="00CE004B" w:rsidRPr="00620BD6" w14:paraId="21A2A208" w14:textId="77777777" w:rsidTr="00CE004B">
        <w:trPr>
          <w:trHeight w:val="20"/>
        </w:trPr>
        <w:tc>
          <w:tcPr>
            <w:tcW w:w="2835" w:type="dxa"/>
            <w:tcBorders>
              <w:left w:val="single" w:sz="4" w:space="0" w:color="auto"/>
              <w:bottom w:val="single" w:sz="4" w:space="0" w:color="auto"/>
              <w:right w:val="single" w:sz="4" w:space="0" w:color="auto"/>
            </w:tcBorders>
            <w:noWrap/>
            <w:vAlign w:val="center"/>
          </w:tcPr>
          <w:p w14:paraId="615016AF" w14:textId="55C727AC" w:rsidR="00CE004B" w:rsidRPr="006E52D2"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Black or Latino household head</w:t>
            </w:r>
          </w:p>
        </w:tc>
        <w:tc>
          <w:tcPr>
            <w:tcW w:w="907" w:type="dxa"/>
            <w:tcBorders>
              <w:left w:val="single" w:sz="4" w:space="0" w:color="auto"/>
              <w:bottom w:val="single" w:sz="4" w:space="0" w:color="auto"/>
            </w:tcBorders>
            <w:noWrap/>
            <w:vAlign w:val="center"/>
          </w:tcPr>
          <w:p w14:paraId="58831160" w14:textId="50ED2A2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tcBorders>
              <w:bottom w:val="single" w:sz="4" w:space="0" w:color="auto"/>
            </w:tcBorders>
            <w:noWrap/>
            <w:vAlign w:val="center"/>
          </w:tcPr>
          <w:p w14:paraId="373E7148" w14:textId="47524FD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tcBorders>
              <w:bottom w:val="single" w:sz="4" w:space="0" w:color="auto"/>
            </w:tcBorders>
            <w:noWrap/>
            <w:vAlign w:val="center"/>
          </w:tcPr>
          <w:p w14:paraId="718CB616" w14:textId="5FA4AE1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tcBorders>
              <w:bottom w:val="single" w:sz="4" w:space="0" w:color="auto"/>
            </w:tcBorders>
            <w:noWrap/>
            <w:vAlign w:val="center"/>
          </w:tcPr>
          <w:p w14:paraId="3E326F84" w14:textId="7B162D3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0.13</w:t>
            </w:r>
          </w:p>
        </w:tc>
        <w:tc>
          <w:tcPr>
            <w:tcW w:w="907" w:type="dxa"/>
            <w:tcBorders>
              <w:bottom w:val="single" w:sz="4" w:space="0" w:color="auto"/>
            </w:tcBorders>
            <w:noWrap/>
            <w:vAlign w:val="center"/>
          </w:tcPr>
          <w:p w14:paraId="2FECE8CE" w14:textId="3FFDDB5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tcBorders>
              <w:bottom w:val="single" w:sz="4" w:space="0" w:color="auto"/>
            </w:tcBorders>
            <w:noWrap/>
            <w:vAlign w:val="center"/>
          </w:tcPr>
          <w:p w14:paraId="2EABF61D" w14:textId="39735EF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tcBorders>
              <w:bottom w:val="single" w:sz="4" w:space="0" w:color="auto"/>
            </w:tcBorders>
            <w:noWrap/>
            <w:vAlign w:val="center"/>
          </w:tcPr>
          <w:p w14:paraId="160D70C2" w14:textId="35603A3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tcBorders>
              <w:bottom w:val="single" w:sz="4" w:space="0" w:color="auto"/>
            </w:tcBorders>
            <w:noWrap/>
            <w:vAlign w:val="center"/>
          </w:tcPr>
          <w:p w14:paraId="1CAB7B20" w14:textId="3780423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tcBorders>
              <w:bottom w:val="single" w:sz="4" w:space="0" w:color="auto"/>
            </w:tcBorders>
            <w:vAlign w:val="center"/>
          </w:tcPr>
          <w:p w14:paraId="799F3A63" w14:textId="2174CF4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-0.13</w:t>
            </w:r>
          </w:p>
        </w:tc>
        <w:tc>
          <w:tcPr>
            <w:tcW w:w="907" w:type="dxa"/>
            <w:tcBorders>
              <w:bottom w:val="single" w:sz="4" w:space="0" w:color="auto"/>
            </w:tcBorders>
            <w:vAlign w:val="center"/>
          </w:tcPr>
          <w:p w14:paraId="6C8FD7E8" w14:textId="0041496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tcBorders>
              <w:bottom w:val="single" w:sz="4" w:space="0" w:color="auto"/>
            </w:tcBorders>
            <w:vAlign w:val="center"/>
          </w:tcPr>
          <w:p w14:paraId="655AC781" w14:textId="064BD54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tcBorders>
              <w:bottom w:val="single" w:sz="4" w:space="0" w:color="auto"/>
            </w:tcBorders>
            <w:vAlign w:val="center"/>
          </w:tcPr>
          <w:p w14:paraId="66A4932D" w14:textId="46C1ED2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tcBorders>
              <w:bottom w:val="single" w:sz="4" w:space="0" w:color="auto"/>
            </w:tcBorders>
            <w:vAlign w:val="center"/>
          </w:tcPr>
          <w:p w14:paraId="31E9F5AF" w14:textId="2E3BBDD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tcBorders>
              <w:bottom w:val="single" w:sz="4" w:space="0" w:color="auto"/>
            </w:tcBorders>
            <w:vAlign w:val="center"/>
          </w:tcPr>
          <w:p w14:paraId="5460AB19" w14:textId="26CE808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bottom w:val="single" w:sz="4" w:space="0" w:color="auto"/>
              <w:right w:val="single" w:sz="4" w:space="0" w:color="auto"/>
            </w:tcBorders>
            <w:vAlign w:val="center"/>
          </w:tcPr>
          <w:p w14:paraId="52AF1417" w14:textId="72201A6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r>
      <w:tr w:rsidR="007B7EC1" w:rsidRPr="00620BD6" w14:paraId="7CED76AA" w14:textId="77777777" w:rsidTr="00CE004B">
        <w:trPr>
          <w:trHeight w:val="20"/>
        </w:trPr>
        <w:tc>
          <w:tcPr>
            <w:tcW w:w="2835" w:type="dxa"/>
            <w:tcBorders>
              <w:top w:val="single" w:sz="4" w:space="0" w:color="auto"/>
              <w:left w:val="single" w:sz="4" w:space="0" w:color="auto"/>
              <w:bottom w:val="single" w:sz="4" w:space="0" w:color="auto"/>
              <w:right w:val="single" w:sz="4" w:space="0" w:color="auto"/>
            </w:tcBorders>
            <w:noWrap/>
            <w:hideMark/>
          </w:tcPr>
          <w:p w14:paraId="772EC10E" w14:textId="77777777" w:rsidR="007B7EC1" w:rsidRPr="00620BD6" w:rsidRDefault="007B7EC1" w:rsidP="00CE004B">
            <w:pPr>
              <w:spacing w:after="0" w:line="240" w:lineRule="auto"/>
              <w:ind w:firstLine="0"/>
              <w:jc w:val="left"/>
              <w:rPr>
                <w:rFonts w:ascii="Times New Roman" w:hAnsi="Times New Roman" w:cs="Times New Roman"/>
                <w:sz w:val="18"/>
                <w:szCs w:val="18"/>
                <w:lang w:eastAsia="en-GB"/>
              </w:rPr>
            </w:pPr>
          </w:p>
        </w:tc>
        <w:tc>
          <w:tcPr>
            <w:tcW w:w="907" w:type="dxa"/>
            <w:tcBorders>
              <w:top w:val="single" w:sz="4" w:space="0" w:color="auto"/>
              <w:left w:val="single" w:sz="4" w:space="0" w:color="auto"/>
              <w:bottom w:val="single" w:sz="4" w:space="0" w:color="auto"/>
            </w:tcBorders>
            <w:noWrap/>
            <w:vAlign w:val="center"/>
            <w:hideMark/>
          </w:tcPr>
          <w:p w14:paraId="57B1201C" w14:textId="3DBE1516"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Debt-to-income ratio</w:t>
            </w:r>
          </w:p>
        </w:tc>
        <w:tc>
          <w:tcPr>
            <w:tcW w:w="907" w:type="dxa"/>
            <w:tcBorders>
              <w:top w:val="single" w:sz="4" w:space="0" w:color="auto"/>
              <w:bottom w:val="single" w:sz="4" w:space="0" w:color="auto"/>
            </w:tcBorders>
            <w:noWrap/>
            <w:vAlign w:val="center"/>
          </w:tcPr>
          <w:p w14:paraId="4129ACE9" w14:textId="55CEEB68"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Age of HH head</w:t>
            </w:r>
          </w:p>
        </w:tc>
        <w:tc>
          <w:tcPr>
            <w:tcW w:w="907" w:type="dxa"/>
            <w:tcBorders>
              <w:top w:val="single" w:sz="4" w:space="0" w:color="auto"/>
              <w:bottom w:val="single" w:sz="4" w:space="0" w:color="auto"/>
            </w:tcBorders>
            <w:noWrap/>
            <w:vAlign w:val="center"/>
            <w:hideMark/>
          </w:tcPr>
          <w:p w14:paraId="76DB3F35" w14:textId="2807DE74"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Prop. Adults 18-35</w:t>
            </w:r>
          </w:p>
        </w:tc>
        <w:tc>
          <w:tcPr>
            <w:tcW w:w="907" w:type="dxa"/>
            <w:tcBorders>
              <w:top w:val="single" w:sz="4" w:space="0" w:color="auto"/>
              <w:bottom w:val="single" w:sz="4" w:space="0" w:color="auto"/>
            </w:tcBorders>
            <w:noWrap/>
            <w:vAlign w:val="center"/>
            <w:hideMark/>
          </w:tcPr>
          <w:p w14:paraId="5414C8EB" w14:textId="21C3C935"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Prop. Adults 36-65</w:t>
            </w:r>
          </w:p>
        </w:tc>
        <w:tc>
          <w:tcPr>
            <w:tcW w:w="907" w:type="dxa"/>
            <w:tcBorders>
              <w:top w:val="single" w:sz="4" w:space="0" w:color="auto"/>
              <w:bottom w:val="single" w:sz="4" w:space="0" w:color="auto"/>
            </w:tcBorders>
            <w:noWrap/>
            <w:vAlign w:val="center"/>
            <w:hideMark/>
          </w:tcPr>
          <w:p w14:paraId="3C6CB22B" w14:textId="6FF51500"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Prop. Adults 66+</w:t>
            </w:r>
          </w:p>
        </w:tc>
        <w:tc>
          <w:tcPr>
            <w:tcW w:w="907" w:type="dxa"/>
            <w:tcBorders>
              <w:top w:val="single" w:sz="4" w:space="0" w:color="auto"/>
              <w:bottom w:val="single" w:sz="4" w:space="0" w:color="auto"/>
            </w:tcBorders>
            <w:noWrap/>
            <w:vAlign w:val="center"/>
            <w:hideMark/>
          </w:tcPr>
          <w:p w14:paraId="30FBEA72" w14:textId="53B673B1"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Total educ. att.</w:t>
            </w:r>
          </w:p>
        </w:tc>
        <w:tc>
          <w:tcPr>
            <w:tcW w:w="907" w:type="dxa"/>
            <w:tcBorders>
              <w:top w:val="single" w:sz="4" w:space="0" w:color="auto"/>
              <w:bottom w:val="single" w:sz="4" w:space="0" w:color="auto"/>
            </w:tcBorders>
            <w:noWrap/>
            <w:vAlign w:val="center"/>
            <w:hideMark/>
          </w:tcPr>
          <w:p w14:paraId="4B5DF48D" w14:textId="02CD61CA"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 xml:space="preserve">HH members </w:t>
            </w:r>
          </w:p>
        </w:tc>
        <w:tc>
          <w:tcPr>
            <w:tcW w:w="907" w:type="dxa"/>
            <w:tcBorders>
              <w:top w:val="single" w:sz="4" w:space="0" w:color="auto"/>
              <w:bottom w:val="single" w:sz="4" w:space="0" w:color="auto"/>
            </w:tcBorders>
            <w:noWrap/>
            <w:vAlign w:val="center"/>
            <w:hideMark/>
          </w:tcPr>
          <w:p w14:paraId="6E7B9698" w14:textId="5504BC62" w:rsidR="007B7EC1" w:rsidRPr="00620BD6" w:rsidRDefault="007B7EC1" w:rsidP="00CE004B">
            <w:pPr>
              <w:spacing w:after="0" w:line="240" w:lineRule="auto"/>
              <w:ind w:firstLine="0"/>
              <w:jc w:val="center"/>
              <w:rPr>
                <w:rFonts w:ascii="Times New Roman" w:hAnsi="Times New Roman" w:cs="Times New Roman"/>
                <w:sz w:val="18"/>
                <w:szCs w:val="18"/>
                <w:lang w:eastAsia="en-GB"/>
              </w:rPr>
            </w:pPr>
            <w:proofErr w:type="spellStart"/>
            <w:r>
              <w:rPr>
                <w:rFonts w:ascii="Times New Roman" w:hAnsi="Times New Roman" w:cs="Times New Roman"/>
                <w:sz w:val="18"/>
                <w:szCs w:val="18"/>
                <w:lang w:eastAsia="en-GB"/>
              </w:rPr>
              <w:t>Nr</w:t>
            </w:r>
            <w:proofErr w:type="spellEnd"/>
            <w:r>
              <w:rPr>
                <w:rFonts w:ascii="Times New Roman" w:hAnsi="Times New Roman" w:cs="Times New Roman"/>
                <w:sz w:val="18"/>
                <w:szCs w:val="18"/>
                <w:lang w:eastAsia="en-GB"/>
              </w:rPr>
              <w:t xml:space="preserve">. </w:t>
            </w:r>
            <w:proofErr w:type="spellStart"/>
            <w:r>
              <w:rPr>
                <w:rFonts w:ascii="Times New Roman" w:hAnsi="Times New Roman" w:cs="Times New Roman"/>
                <w:sz w:val="18"/>
                <w:szCs w:val="18"/>
                <w:lang w:eastAsia="en-GB"/>
              </w:rPr>
              <w:t>indep</w:t>
            </w:r>
            <w:proofErr w:type="spellEnd"/>
            <w:r>
              <w:rPr>
                <w:rFonts w:ascii="Times New Roman" w:hAnsi="Times New Roman" w:cs="Times New Roman"/>
                <w:sz w:val="18"/>
                <w:szCs w:val="18"/>
                <w:lang w:eastAsia="en-GB"/>
              </w:rPr>
              <w:t>. earners</w:t>
            </w:r>
          </w:p>
        </w:tc>
        <w:tc>
          <w:tcPr>
            <w:tcW w:w="907" w:type="dxa"/>
            <w:tcBorders>
              <w:top w:val="single" w:sz="4" w:space="0" w:color="auto"/>
              <w:bottom w:val="single" w:sz="4" w:space="0" w:color="auto"/>
            </w:tcBorders>
            <w:vAlign w:val="center"/>
          </w:tcPr>
          <w:p w14:paraId="164D291A" w14:textId="25AD9EEA"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Single</w:t>
            </w:r>
          </w:p>
        </w:tc>
        <w:tc>
          <w:tcPr>
            <w:tcW w:w="907" w:type="dxa"/>
            <w:tcBorders>
              <w:top w:val="single" w:sz="4" w:space="0" w:color="auto"/>
              <w:bottom w:val="single" w:sz="4" w:space="0" w:color="auto"/>
            </w:tcBorders>
            <w:vAlign w:val="center"/>
          </w:tcPr>
          <w:p w14:paraId="292E82DE" w14:textId="6A9591AB" w:rsidR="007B7EC1" w:rsidRPr="00620BD6" w:rsidRDefault="007B7EC1" w:rsidP="00CE004B">
            <w:pPr>
              <w:spacing w:after="0" w:line="240" w:lineRule="auto"/>
              <w:ind w:firstLine="0"/>
              <w:jc w:val="center"/>
              <w:rPr>
                <w:rFonts w:ascii="Times New Roman" w:hAnsi="Times New Roman" w:cs="Times New Roman"/>
                <w:sz w:val="18"/>
                <w:szCs w:val="18"/>
                <w:lang w:eastAsia="en-GB"/>
              </w:rPr>
            </w:pPr>
            <w:proofErr w:type="spellStart"/>
            <w:r>
              <w:rPr>
                <w:rFonts w:ascii="Times New Roman" w:hAnsi="Times New Roman" w:cs="Times New Roman"/>
                <w:sz w:val="18"/>
                <w:szCs w:val="18"/>
                <w:lang w:eastAsia="en-GB"/>
              </w:rPr>
              <w:t>Self employ</w:t>
            </w:r>
            <w:proofErr w:type="spellEnd"/>
            <w:r>
              <w:rPr>
                <w:rFonts w:ascii="Times New Roman" w:hAnsi="Times New Roman" w:cs="Times New Roman"/>
                <w:sz w:val="18"/>
                <w:szCs w:val="18"/>
                <w:lang w:eastAsia="en-GB"/>
              </w:rPr>
              <w:t>.</w:t>
            </w:r>
          </w:p>
        </w:tc>
        <w:tc>
          <w:tcPr>
            <w:tcW w:w="907" w:type="dxa"/>
            <w:tcBorders>
              <w:top w:val="single" w:sz="4" w:space="0" w:color="auto"/>
              <w:bottom w:val="single" w:sz="4" w:space="0" w:color="auto"/>
            </w:tcBorders>
            <w:vAlign w:val="center"/>
          </w:tcPr>
          <w:p w14:paraId="785F4FDE" w14:textId="68B69088"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 xml:space="preserve">Min. one </w:t>
            </w:r>
            <w:proofErr w:type="spellStart"/>
            <w:r>
              <w:rPr>
                <w:rFonts w:ascii="Times New Roman" w:hAnsi="Times New Roman" w:cs="Times New Roman"/>
                <w:sz w:val="18"/>
                <w:szCs w:val="18"/>
                <w:lang w:eastAsia="en-GB"/>
              </w:rPr>
              <w:t>unempl</w:t>
            </w:r>
            <w:proofErr w:type="spellEnd"/>
            <w:r>
              <w:rPr>
                <w:rFonts w:ascii="Times New Roman" w:hAnsi="Times New Roman" w:cs="Times New Roman"/>
                <w:sz w:val="18"/>
                <w:szCs w:val="18"/>
                <w:lang w:eastAsia="en-GB"/>
              </w:rPr>
              <w:t>.</w:t>
            </w:r>
          </w:p>
        </w:tc>
        <w:tc>
          <w:tcPr>
            <w:tcW w:w="907" w:type="dxa"/>
            <w:tcBorders>
              <w:top w:val="single" w:sz="4" w:space="0" w:color="auto"/>
              <w:bottom w:val="single" w:sz="4" w:space="0" w:color="auto"/>
            </w:tcBorders>
            <w:vAlign w:val="center"/>
          </w:tcPr>
          <w:p w14:paraId="7B87F3F3" w14:textId="551F21D2" w:rsidR="007B7EC1" w:rsidRPr="00620BD6"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Out of labour force</w:t>
            </w:r>
          </w:p>
        </w:tc>
        <w:tc>
          <w:tcPr>
            <w:tcW w:w="907" w:type="dxa"/>
            <w:tcBorders>
              <w:top w:val="single" w:sz="4" w:space="0" w:color="auto"/>
              <w:bottom w:val="single" w:sz="4" w:space="0" w:color="auto"/>
            </w:tcBorders>
            <w:vAlign w:val="center"/>
          </w:tcPr>
          <w:p w14:paraId="79F540B6" w14:textId="7C40D6B9" w:rsidR="007B7EC1"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Female</w:t>
            </w:r>
          </w:p>
        </w:tc>
        <w:tc>
          <w:tcPr>
            <w:tcW w:w="907" w:type="dxa"/>
            <w:tcBorders>
              <w:top w:val="single" w:sz="4" w:space="0" w:color="auto"/>
              <w:bottom w:val="single" w:sz="4" w:space="0" w:color="auto"/>
            </w:tcBorders>
            <w:vAlign w:val="center"/>
          </w:tcPr>
          <w:p w14:paraId="1B093D9B" w14:textId="6D1337F5" w:rsidR="007B7EC1" w:rsidRDefault="007B7EC1" w:rsidP="00CE004B">
            <w:pPr>
              <w:spacing w:after="0" w:line="240" w:lineRule="auto"/>
              <w:ind w:firstLine="0"/>
              <w:jc w:val="center"/>
              <w:rPr>
                <w:rFonts w:ascii="Times New Roman" w:hAnsi="Times New Roman" w:cs="Times New Roman"/>
                <w:sz w:val="18"/>
                <w:szCs w:val="18"/>
                <w:lang w:eastAsia="en-GB"/>
              </w:rPr>
            </w:pPr>
            <w:r>
              <w:rPr>
                <w:rFonts w:ascii="Times New Roman" w:hAnsi="Times New Roman" w:cs="Times New Roman"/>
                <w:sz w:val="18"/>
                <w:szCs w:val="18"/>
                <w:lang w:eastAsia="en-GB"/>
              </w:rPr>
              <w:t>Black or Latino</w:t>
            </w:r>
          </w:p>
        </w:tc>
        <w:tc>
          <w:tcPr>
            <w:tcW w:w="907" w:type="dxa"/>
            <w:tcBorders>
              <w:top w:val="single" w:sz="4" w:space="0" w:color="auto"/>
              <w:bottom w:val="single" w:sz="4" w:space="0" w:color="auto"/>
              <w:right w:val="single" w:sz="4" w:space="0" w:color="auto"/>
            </w:tcBorders>
            <w:vAlign w:val="center"/>
          </w:tcPr>
          <w:p w14:paraId="29A6BEAB" w14:textId="266150DA" w:rsidR="007B7EC1" w:rsidRPr="00620BD6" w:rsidRDefault="007B7EC1" w:rsidP="00CE004B">
            <w:pPr>
              <w:spacing w:after="0" w:line="240" w:lineRule="auto"/>
              <w:ind w:firstLine="0"/>
              <w:jc w:val="center"/>
              <w:rPr>
                <w:rFonts w:ascii="Times New Roman" w:hAnsi="Times New Roman" w:cs="Times New Roman"/>
                <w:sz w:val="18"/>
                <w:szCs w:val="18"/>
                <w:lang w:eastAsia="en-GB"/>
              </w:rPr>
            </w:pPr>
          </w:p>
        </w:tc>
      </w:tr>
      <w:tr w:rsidR="00CE004B" w:rsidRPr="00620BD6" w14:paraId="0E1B02AA" w14:textId="77777777" w:rsidTr="00CE004B">
        <w:trPr>
          <w:trHeight w:val="20"/>
        </w:trPr>
        <w:tc>
          <w:tcPr>
            <w:tcW w:w="2835" w:type="dxa"/>
            <w:tcBorders>
              <w:left w:val="single" w:sz="4" w:space="0" w:color="auto"/>
              <w:right w:val="single" w:sz="4" w:space="0" w:color="auto"/>
            </w:tcBorders>
            <w:noWrap/>
            <w:vAlign w:val="center"/>
            <w:hideMark/>
          </w:tcPr>
          <w:p w14:paraId="3CEE6213" w14:textId="4A47C149"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Debt-to-income ratio</w:t>
            </w:r>
          </w:p>
        </w:tc>
        <w:tc>
          <w:tcPr>
            <w:tcW w:w="907" w:type="dxa"/>
            <w:tcBorders>
              <w:left w:val="single" w:sz="4" w:space="0" w:color="auto"/>
            </w:tcBorders>
            <w:noWrap/>
            <w:vAlign w:val="center"/>
            <w:hideMark/>
          </w:tcPr>
          <w:p w14:paraId="203558BB" w14:textId="50B82E0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noWrap/>
            <w:vAlign w:val="center"/>
          </w:tcPr>
          <w:p w14:paraId="3999D201"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5D1A428F"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53784BC1"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48FF02DB"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7A1D59EE"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530FFF83"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27CA2EC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270D771"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0E05D369"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08C0FF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684CCEF1"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0560C45E"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5DB83748"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65ABE271" w14:textId="4C8D2459"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14A8E290" w14:textId="77777777" w:rsidTr="00CE004B">
        <w:trPr>
          <w:trHeight w:val="20"/>
        </w:trPr>
        <w:tc>
          <w:tcPr>
            <w:tcW w:w="2835" w:type="dxa"/>
            <w:tcBorders>
              <w:left w:val="single" w:sz="4" w:space="0" w:color="auto"/>
              <w:right w:val="single" w:sz="4" w:space="0" w:color="auto"/>
            </w:tcBorders>
            <w:noWrap/>
            <w:vAlign w:val="center"/>
            <w:hideMark/>
          </w:tcPr>
          <w:p w14:paraId="3D41DFAB" w14:textId="4BAB3450" w:rsidR="00CE004B" w:rsidRPr="00620BD6" w:rsidRDefault="00CE004B" w:rsidP="00CE004B">
            <w:pPr>
              <w:spacing w:after="0" w:line="240" w:lineRule="auto"/>
              <w:ind w:firstLine="0"/>
              <w:jc w:val="left"/>
              <w:rPr>
                <w:rFonts w:ascii="Times New Roman" w:hAnsi="Times New Roman" w:cs="Times New Roman"/>
                <w:color w:val="000000" w:themeColor="text1"/>
                <w:sz w:val="18"/>
                <w:szCs w:val="18"/>
                <w:lang w:eastAsia="en-GB"/>
              </w:rPr>
            </w:pPr>
            <w:r w:rsidRPr="006E52D2">
              <w:rPr>
                <w:rFonts w:ascii="Times New Roman" w:eastAsia="Times New Roman" w:hAnsi="Times New Roman" w:cs="Times New Roman"/>
                <w:color w:val="000000"/>
                <w:sz w:val="18"/>
                <w:szCs w:val="18"/>
                <w:lang w:eastAsia="en-GB"/>
              </w:rPr>
              <w:t>Age of household head</w:t>
            </w:r>
          </w:p>
        </w:tc>
        <w:tc>
          <w:tcPr>
            <w:tcW w:w="907" w:type="dxa"/>
            <w:tcBorders>
              <w:left w:val="single" w:sz="4" w:space="0" w:color="auto"/>
            </w:tcBorders>
            <w:noWrap/>
            <w:vAlign w:val="center"/>
            <w:hideMark/>
          </w:tcPr>
          <w:p w14:paraId="232E6788" w14:textId="437A9C0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4646A007" w14:textId="0E4DC10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noWrap/>
            <w:vAlign w:val="center"/>
            <w:hideMark/>
          </w:tcPr>
          <w:p w14:paraId="1E75FB4C"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2F36426A"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4F9EB200"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161F8D82"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53847018"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1ACD2795"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B7430F5"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386F8D3"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2C049DFB"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82D6C2B"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52A8DD3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75B6A3B"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119B7A20" w14:textId="7F2DB3E6"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5DC9D503" w14:textId="77777777" w:rsidTr="00CE004B">
        <w:trPr>
          <w:trHeight w:val="20"/>
        </w:trPr>
        <w:tc>
          <w:tcPr>
            <w:tcW w:w="2835" w:type="dxa"/>
            <w:tcBorders>
              <w:left w:val="single" w:sz="4" w:space="0" w:color="auto"/>
              <w:right w:val="single" w:sz="4" w:space="0" w:color="auto"/>
            </w:tcBorders>
            <w:noWrap/>
            <w:vAlign w:val="center"/>
            <w:hideMark/>
          </w:tcPr>
          <w:p w14:paraId="2E0865FC" w14:textId="3F97CCC5"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Proportion of adults aged 18-35</w:t>
            </w:r>
          </w:p>
        </w:tc>
        <w:tc>
          <w:tcPr>
            <w:tcW w:w="907" w:type="dxa"/>
            <w:tcBorders>
              <w:left w:val="single" w:sz="4" w:space="0" w:color="auto"/>
            </w:tcBorders>
            <w:noWrap/>
            <w:vAlign w:val="center"/>
            <w:hideMark/>
          </w:tcPr>
          <w:p w14:paraId="133D4CD1" w14:textId="0DAFC88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31B8A05B" w14:textId="7B183C3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-0.63</w:t>
            </w:r>
          </w:p>
        </w:tc>
        <w:tc>
          <w:tcPr>
            <w:tcW w:w="907" w:type="dxa"/>
            <w:noWrap/>
            <w:vAlign w:val="center"/>
            <w:hideMark/>
          </w:tcPr>
          <w:p w14:paraId="12EC7FE7" w14:textId="489700D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noWrap/>
            <w:vAlign w:val="center"/>
            <w:hideMark/>
          </w:tcPr>
          <w:p w14:paraId="15F38747"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3A9977C6"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2C94BDA0"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613B5CAB"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3D5EF92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7F88BEEE"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3C119D08"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0AC21D6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53EE44DE"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7696B26A"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0EA3D707"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76D4D3AF" w14:textId="29070DA9"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2B1A1B36" w14:textId="77777777" w:rsidTr="00CE004B">
        <w:trPr>
          <w:trHeight w:val="20"/>
        </w:trPr>
        <w:tc>
          <w:tcPr>
            <w:tcW w:w="2835" w:type="dxa"/>
            <w:tcBorders>
              <w:left w:val="single" w:sz="4" w:space="0" w:color="auto"/>
              <w:right w:val="single" w:sz="4" w:space="0" w:color="auto"/>
            </w:tcBorders>
            <w:noWrap/>
            <w:vAlign w:val="center"/>
            <w:hideMark/>
          </w:tcPr>
          <w:p w14:paraId="22FDB86C" w14:textId="75A2E1C2"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Proportion of adults aged 36-65</w:t>
            </w:r>
          </w:p>
        </w:tc>
        <w:tc>
          <w:tcPr>
            <w:tcW w:w="907" w:type="dxa"/>
            <w:tcBorders>
              <w:left w:val="single" w:sz="4" w:space="0" w:color="auto"/>
            </w:tcBorders>
            <w:noWrap/>
            <w:vAlign w:val="center"/>
            <w:hideMark/>
          </w:tcPr>
          <w:p w14:paraId="7A98C306" w14:textId="43805F3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517EBB6F" w14:textId="21FD928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0.32</w:t>
            </w:r>
          </w:p>
        </w:tc>
        <w:tc>
          <w:tcPr>
            <w:tcW w:w="907" w:type="dxa"/>
            <w:noWrap/>
            <w:vAlign w:val="center"/>
            <w:hideMark/>
          </w:tcPr>
          <w:p w14:paraId="05E96DB7" w14:textId="34347CF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-0.61</w:t>
            </w:r>
          </w:p>
        </w:tc>
        <w:tc>
          <w:tcPr>
            <w:tcW w:w="907" w:type="dxa"/>
            <w:noWrap/>
            <w:vAlign w:val="center"/>
            <w:hideMark/>
          </w:tcPr>
          <w:p w14:paraId="6722B788" w14:textId="03678CF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noWrap/>
            <w:vAlign w:val="center"/>
            <w:hideMark/>
          </w:tcPr>
          <w:p w14:paraId="39E7C322"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0B35CA51"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299F4C89"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hideMark/>
          </w:tcPr>
          <w:p w14:paraId="5F47E5B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64442499"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253CE53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2C331EF7"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037C059"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6702957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566CA62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35DAEF46" w14:textId="3E7CD7B9"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03FC4732" w14:textId="77777777" w:rsidTr="00CE004B">
        <w:trPr>
          <w:trHeight w:val="20"/>
        </w:trPr>
        <w:tc>
          <w:tcPr>
            <w:tcW w:w="2835" w:type="dxa"/>
            <w:tcBorders>
              <w:left w:val="single" w:sz="4" w:space="0" w:color="auto"/>
              <w:right w:val="single" w:sz="4" w:space="0" w:color="auto"/>
            </w:tcBorders>
            <w:noWrap/>
            <w:vAlign w:val="center"/>
          </w:tcPr>
          <w:p w14:paraId="2392A4BC" w14:textId="31E7B14F"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Proportion of adults aged 66</w:t>
            </w:r>
            <w:r>
              <w:rPr>
                <w:rFonts w:ascii="Times New Roman" w:eastAsia="Times New Roman" w:hAnsi="Times New Roman" w:cs="Times New Roman"/>
                <w:color w:val="000000"/>
                <w:sz w:val="18"/>
                <w:szCs w:val="18"/>
                <w:lang w:eastAsia="en-GB"/>
              </w:rPr>
              <w:t>+</w:t>
            </w:r>
          </w:p>
        </w:tc>
        <w:tc>
          <w:tcPr>
            <w:tcW w:w="907" w:type="dxa"/>
            <w:tcBorders>
              <w:left w:val="single" w:sz="4" w:space="0" w:color="auto"/>
            </w:tcBorders>
            <w:noWrap/>
            <w:vAlign w:val="center"/>
          </w:tcPr>
          <w:p w14:paraId="4BC68A07" w14:textId="147C5BF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1AA9FE32" w14:textId="4D83252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0.64</w:t>
            </w:r>
          </w:p>
        </w:tc>
        <w:tc>
          <w:tcPr>
            <w:tcW w:w="907" w:type="dxa"/>
            <w:noWrap/>
            <w:vAlign w:val="center"/>
          </w:tcPr>
          <w:p w14:paraId="06897ADE" w14:textId="2A51F44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-0.27</w:t>
            </w:r>
          </w:p>
        </w:tc>
        <w:tc>
          <w:tcPr>
            <w:tcW w:w="907" w:type="dxa"/>
            <w:noWrap/>
            <w:vAlign w:val="center"/>
          </w:tcPr>
          <w:p w14:paraId="633B3AB0" w14:textId="6123ECE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-0.32</w:t>
            </w:r>
          </w:p>
        </w:tc>
        <w:tc>
          <w:tcPr>
            <w:tcW w:w="907" w:type="dxa"/>
            <w:noWrap/>
            <w:vAlign w:val="center"/>
          </w:tcPr>
          <w:p w14:paraId="724759EF" w14:textId="0E9B11D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noWrap/>
            <w:vAlign w:val="center"/>
          </w:tcPr>
          <w:p w14:paraId="36522A86"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tcPr>
          <w:p w14:paraId="09362489"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tcPr>
          <w:p w14:paraId="7D2444A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736BA7CA"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0410F5D6"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9B3B330"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DEE04DE"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A48205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9BAA1C7"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4F3D769D" w14:textId="2130019D"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0BAD34A8" w14:textId="77777777" w:rsidTr="00CE004B">
        <w:trPr>
          <w:trHeight w:val="20"/>
        </w:trPr>
        <w:tc>
          <w:tcPr>
            <w:tcW w:w="2835" w:type="dxa"/>
            <w:tcBorders>
              <w:left w:val="single" w:sz="4" w:space="0" w:color="auto"/>
              <w:right w:val="single" w:sz="4" w:space="0" w:color="auto"/>
            </w:tcBorders>
            <w:noWrap/>
            <w:vAlign w:val="center"/>
          </w:tcPr>
          <w:p w14:paraId="0043FAB2" w14:textId="645B3C25"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Total educ</w:t>
            </w:r>
            <w:r>
              <w:rPr>
                <w:rFonts w:ascii="Times New Roman" w:eastAsia="Times New Roman" w:hAnsi="Times New Roman" w:cs="Times New Roman"/>
                <w:color w:val="000000"/>
                <w:sz w:val="18"/>
                <w:szCs w:val="18"/>
                <w:lang w:eastAsia="en-GB"/>
              </w:rPr>
              <w:t>.</w:t>
            </w:r>
            <w:r w:rsidRPr="006E52D2">
              <w:rPr>
                <w:rFonts w:ascii="Times New Roman" w:eastAsia="Times New Roman" w:hAnsi="Times New Roman" w:cs="Times New Roman"/>
                <w:color w:val="000000"/>
                <w:sz w:val="18"/>
                <w:szCs w:val="18"/>
                <w:lang w:eastAsia="en-GB"/>
              </w:rPr>
              <w:t xml:space="preserve"> attainment in household</w:t>
            </w:r>
          </w:p>
        </w:tc>
        <w:tc>
          <w:tcPr>
            <w:tcW w:w="907" w:type="dxa"/>
            <w:tcBorders>
              <w:left w:val="single" w:sz="4" w:space="0" w:color="auto"/>
            </w:tcBorders>
            <w:noWrap/>
            <w:vAlign w:val="center"/>
          </w:tcPr>
          <w:p w14:paraId="4AF5349D" w14:textId="549A652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3BF03C7C" w14:textId="6A62E52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noWrap/>
            <w:vAlign w:val="center"/>
          </w:tcPr>
          <w:p w14:paraId="0A4D33EC" w14:textId="44A34C9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tcPr>
          <w:p w14:paraId="4ECD942A" w14:textId="0E0A868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noWrap/>
            <w:vAlign w:val="center"/>
          </w:tcPr>
          <w:p w14:paraId="3FB9E846" w14:textId="47F44FC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-0.15</w:t>
            </w:r>
          </w:p>
        </w:tc>
        <w:tc>
          <w:tcPr>
            <w:tcW w:w="907" w:type="dxa"/>
            <w:noWrap/>
            <w:vAlign w:val="center"/>
          </w:tcPr>
          <w:p w14:paraId="5A10972D" w14:textId="4DE3BCC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noWrap/>
            <w:vAlign w:val="center"/>
          </w:tcPr>
          <w:p w14:paraId="498479B5"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noWrap/>
            <w:vAlign w:val="center"/>
          </w:tcPr>
          <w:p w14:paraId="7A3DDEDB"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329B6A0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0F403D2E"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2E77D9F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6F2954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7967C530"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89CE4C1"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6356955E" w14:textId="17DD1C8C"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35F5EBC1" w14:textId="77777777" w:rsidTr="00CE004B">
        <w:trPr>
          <w:trHeight w:val="20"/>
        </w:trPr>
        <w:tc>
          <w:tcPr>
            <w:tcW w:w="2835" w:type="dxa"/>
            <w:tcBorders>
              <w:left w:val="single" w:sz="4" w:space="0" w:color="auto"/>
              <w:right w:val="single" w:sz="4" w:space="0" w:color="auto"/>
            </w:tcBorders>
            <w:noWrap/>
            <w:vAlign w:val="center"/>
          </w:tcPr>
          <w:p w14:paraId="0EC9CE07" w14:textId="1A589ECD"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 xml:space="preserve">Number of household members </w:t>
            </w:r>
          </w:p>
        </w:tc>
        <w:tc>
          <w:tcPr>
            <w:tcW w:w="907" w:type="dxa"/>
            <w:tcBorders>
              <w:left w:val="single" w:sz="4" w:space="0" w:color="auto"/>
            </w:tcBorders>
            <w:noWrap/>
            <w:vAlign w:val="center"/>
          </w:tcPr>
          <w:p w14:paraId="6EF19079" w14:textId="01666ED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4440590F" w14:textId="6E532A9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-0.23</w:t>
            </w:r>
          </w:p>
        </w:tc>
        <w:tc>
          <w:tcPr>
            <w:tcW w:w="907" w:type="dxa"/>
            <w:noWrap/>
            <w:vAlign w:val="center"/>
          </w:tcPr>
          <w:p w14:paraId="73A56BE3" w14:textId="3D00EE5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noWrap/>
            <w:vAlign w:val="center"/>
          </w:tcPr>
          <w:p w14:paraId="2C28E2B2" w14:textId="109A832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-0.27</w:t>
            </w:r>
          </w:p>
        </w:tc>
        <w:tc>
          <w:tcPr>
            <w:tcW w:w="907" w:type="dxa"/>
            <w:noWrap/>
            <w:vAlign w:val="center"/>
          </w:tcPr>
          <w:p w14:paraId="378D8AA0" w14:textId="2FE1979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-0.25</w:t>
            </w:r>
          </w:p>
        </w:tc>
        <w:tc>
          <w:tcPr>
            <w:tcW w:w="907" w:type="dxa"/>
            <w:noWrap/>
            <w:vAlign w:val="center"/>
          </w:tcPr>
          <w:p w14:paraId="4C0BEC4C" w14:textId="1EA9830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0.37</w:t>
            </w:r>
          </w:p>
        </w:tc>
        <w:tc>
          <w:tcPr>
            <w:tcW w:w="907" w:type="dxa"/>
            <w:noWrap/>
            <w:vAlign w:val="center"/>
          </w:tcPr>
          <w:p w14:paraId="00750717" w14:textId="6BF7138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noWrap/>
            <w:vAlign w:val="center"/>
          </w:tcPr>
          <w:p w14:paraId="249DAAEA"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FB29745"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1620341"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782393DA"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07EBF7BA"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5A6402A2"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6A92F732"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028B52D8" w14:textId="560074F0"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421A274F" w14:textId="77777777" w:rsidTr="00CE004B">
        <w:trPr>
          <w:trHeight w:val="20"/>
        </w:trPr>
        <w:tc>
          <w:tcPr>
            <w:tcW w:w="2835" w:type="dxa"/>
            <w:tcBorders>
              <w:left w:val="single" w:sz="4" w:space="0" w:color="auto"/>
              <w:right w:val="single" w:sz="4" w:space="0" w:color="auto"/>
            </w:tcBorders>
            <w:noWrap/>
            <w:vAlign w:val="center"/>
          </w:tcPr>
          <w:p w14:paraId="3662294D" w14:textId="6A8343E7"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 xml:space="preserve">No. of </w:t>
            </w:r>
            <w:proofErr w:type="spellStart"/>
            <w:r w:rsidRPr="006E52D2">
              <w:rPr>
                <w:rFonts w:ascii="Times New Roman" w:eastAsia="Times New Roman" w:hAnsi="Times New Roman" w:cs="Times New Roman"/>
                <w:color w:val="000000"/>
                <w:sz w:val="18"/>
                <w:szCs w:val="18"/>
                <w:lang w:eastAsia="en-GB"/>
              </w:rPr>
              <w:t>indep</w:t>
            </w:r>
            <w:proofErr w:type="spellEnd"/>
            <w:r>
              <w:rPr>
                <w:rFonts w:ascii="Times New Roman" w:eastAsia="Times New Roman" w:hAnsi="Times New Roman" w:cs="Times New Roman"/>
                <w:color w:val="000000"/>
                <w:sz w:val="18"/>
                <w:szCs w:val="18"/>
                <w:lang w:eastAsia="en-GB"/>
              </w:rPr>
              <w:t>.</w:t>
            </w:r>
            <w:r w:rsidRPr="006E52D2">
              <w:rPr>
                <w:rFonts w:ascii="Times New Roman" w:eastAsia="Times New Roman" w:hAnsi="Times New Roman" w:cs="Times New Roman"/>
                <w:color w:val="000000"/>
                <w:sz w:val="18"/>
                <w:szCs w:val="18"/>
                <w:lang w:eastAsia="en-GB"/>
              </w:rPr>
              <w:t xml:space="preserve"> earners in household </w:t>
            </w:r>
          </w:p>
        </w:tc>
        <w:tc>
          <w:tcPr>
            <w:tcW w:w="907" w:type="dxa"/>
            <w:tcBorders>
              <w:left w:val="single" w:sz="4" w:space="0" w:color="auto"/>
            </w:tcBorders>
            <w:noWrap/>
            <w:vAlign w:val="center"/>
          </w:tcPr>
          <w:p w14:paraId="6ED745D0" w14:textId="7947D79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539E2A68" w14:textId="1821B83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noWrap/>
            <w:vAlign w:val="center"/>
          </w:tcPr>
          <w:p w14:paraId="75CDBCB5" w14:textId="5C2DFDA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0.18</w:t>
            </w:r>
          </w:p>
        </w:tc>
        <w:tc>
          <w:tcPr>
            <w:tcW w:w="907" w:type="dxa"/>
            <w:noWrap/>
            <w:vAlign w:val="center"/>
          </w:tcPr>
          <w:p w14:paraId="70CD5F4A" w14:textId="55990A2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noWrap/>
            <w:vAlign w:val="center"/>
          </w:tcPr>
          <w:p w14:paraId="11CD9DAF" w14:textId="6152856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noWrap/>
            <w:vAlign w:val="center"/>
          </w:tcPr>
          <w:p w14:paraId="18270989" w14:textId="60055CC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-0.18</w:t>
            </w:r>
          </w:p>
        </w:tc>
        <w:tc>
          <w:tcPr>
            <w:tcW w:w="907" w:type="dxa"/>
            <w:noWrap/>
            <w:vAlign w:val="center"/>
          </w:tcPr>
          <w:p w14:paraId="2CA580C5" w14:textId="6DE55E4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0.24</w:t>
            </w:r>
          </w:p>
        </w:tc>
        <w:tc>
          <w:tcPr>
            <w:tcW w:w="907" w:type="dxa"/>
            <w:noWrap/>
            <w:vAlign w:val="center"/>
          </w:tcPr>
          <w:p w14:paraId="6449E1A7" w14:textId="589A843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vAlign w:val="center"/>
          </w:tcPr>
          <w:p w14:paraId="0162A69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09D2640"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67D13EB7"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615FD323"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69A278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73501932"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3433CBB1" w14:textId="23223B77"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4E5280DA" w14:textId="77777777" w:rsidTr="00CE004B">
        <w:trPr>
          <w:trHeight w:val="20"/>
        </w:trPr>
        <w:tc>
          <w:tcPr>
            <w:tcW w:w="2835" w:type="dxa"/>
            <w:tcBorders>
              <w:left w:val="single" w:sz="4" w:space="0" w:color="auto"/>
              <w:right w:val="single" w:sz="4" w:space="0" w:color="auto"/>
            </w:tcBorders>
            <w:noWrap/>
            <w:vAlign w:val="center"/>
          </w:tcPr>
          <w:p w14:paraId="0062CBA8" w14:textId="12306542"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Single household head</w:t>
            </w:r>
          </w:p>
        </w:tc>
        <w:tc>
          <w:tcPr>
            <w:tcW w:w="907" w:type="dxa"/>
            <w:tcBorders>
              <w:left w:val="single" w:sz="4" w:space="0" w:color="auto"/>
            </w:tcBorders>
            <w:noWrap/>
            <w:vAlign w:val="center"/>
          </w:tcPr>
          <w:p w14:paraId="692BAA38" w14:textId="4E8237E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4B2E1D68" w14:textId="37C1950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noWrap/>
            <w:vAlign w:val="center"/>
          </w:tcPr>
          <w:p w14:paraId="432AF8B2" w14:textId="5CC9869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tcPr>
          <w:p w14:paraId="62939D4D" w14:textId="4D50B96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54068E9A" w14:textId="2C91429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0.09</w:t>
            </w:r>
          </w:p>
        </w:tc>
        <w:tc>
          <w:tcPr>
            <w:tcW w:w="907" w:type="dxa"/>
            <w:noWrap/>
            <w:vAlign w:val="center"/>
          </w:tcPr>
          <w:p w14:paraId="1A999EE9" w14:textId="5954BF0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-0.83</w:t>
            </w:r>
          </w:p>
        </w:tc>
        <w:tc>
          <w:tcPr>
            <w:tcW w:w="907" w:type="dxa"/>
            <w:noWrap/>
            <w:vAlign w:val="center"/>
          </w:tcPr>
          <w:p w14:paraId="127218E1" w14:textId="6704447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-0.48</w:t>
            </w:r>
          </w:p>
        </w:tc>
        <w:tc>
          <w:tcPr>
            <w:tcW w:w="907" w:type="dxa"/>
            <w:noWrap/>
            <w:vAlign w:val="center"/>
          </w:tcPr>
          <w:p w14:paraId="3E31271C" w14:textId="2B26047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0.13</w:t>
            </w:r>
          </w:p>
        </w:tc>
        <w:tc>
          <w:tcPr>
            <w:tcW w:w="907" w:type="dxa"/>
            <w:vAlign w:val="center"/>
          </w:tcPr>
          <w:p w14:paraId="7EB63FED" w14:textId="7F4496B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vAlign w:val="center"/>
          </w:tcPr>
          <w:p w14:paraId="30BF5060"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367B2E4B"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2EABCEA9"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2471BCE9"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F7C9030"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1023F3F4" w14:textId="62E3929E"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68B318D4" w14:textId="77777777" w:rsidTr="00CE004B">
        <w:trPr>
          <w:trHeight w:val="20"/>
        </w:trPr>
        <w:tc>
          <w:tcPr>
            <w:tcW w:w="2835" w:type="dxa"/>
            <w:tcBorders>
              <w:left w:val="single" w:sz="4" w:space="0" w:color="auto"/>
              <w:right w:val="single" w:sz="4" w:space="0" w:color="auto"/>
            </w:tcBorders>
            <w:noWrap/>
            <w:vAlign w:val="center"/>
          </w:tcPr>
          <w:p w14:paraId="4E26014A" w14:textId="2A9AF853"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Self-employed household head</w:t>
            </w:r>
          </w:p>
        </w:tc>
        <w:tc>
          <w:tcPr>
            <w:tcW w:w="907" w:type="dxa"/>
            <w:tcBorders>
              <w:left w:val="single" w:sz="4" w:space="0" w:color="auto"/>
            </w:tcBorders>
            <w:noWrap/>
            <w:vAlign w:val="center"/>
          </w:tcPr>
          <w:p w14:paraId="230C4269" w14:textId="633C3CA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noWrap/>
            <w:vAlign w:val="center"/>
          </w:tcPr>
          <w:p w14:paraId="285C7769" w14:textId="70831FF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noWrap/>
            <w:vAlign w:val="center"/>
          </w:tcPr>
          <w:p w14:paraId="7E5DB2A2" w14:textId="1E142F4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noWrap/>
            <w:vAlign w:val="center"/>
          </w:tcPr>
          <w:p w14:paraId="6B9AF998" w14:textId="5F0D1B0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0.09</w:t>
            </w:r>
          </w:p>
        </w:tc>
        <w:tc>
          <w:tcPr>
            <w:tcW w:w="907" w:type="dxa"/>
            <w:noWrap/>
            <w:vAlign w:val="center"/>
          </w:tcPr>
          <w:p w14:paraId="33662917" w14:textId="2015F57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tcPr>
          <w:p w14:paraId="71432E58" w14:textId="3B74AD5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0.12</w:t>
            </w:r>
          </w:p>
        </w:tc>
        <w:tc>
          <w:tcPr>
            <w:tcW w:w="907" w:type="dxa"/>
            <w:noWrap/>
            <w:vAlign w:val="center"/>
          </w:tcPr>
          <w:p w14:paraId="3955E1C0" w14:textId="313E6B1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noWrap/>
            <w:vAlign w:val="center"/>
          </w:tcPr>
          <w:p w14:paraId="2EC25F4A" w14:textId="4EAD666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vAlign w:val="center"/>
          </w:tcPr>
          <w:p w14:paraId="71CE59DE" w14:textId="059056B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-0.10</w:t>
            </w:r>
          </w:p>
        </w:tc>
        <w:tc>
          <w:tcPr>
            <w:tcW w:w="907" w:type="dxa"/>
            <w:vAlign w:val="center"/>
          </w:tcPr>
          <w:p w14:paraId="145A9E80" w14:textId="3464B1F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vAlign w:val="center"/>
          </w:tcPr>
          <w:p w14:paraId="737F49EC"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7543D020"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6B065E17"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3B85D44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45946352" w14:textId="78B464A4"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46C20697" w14:textId="77777777" w:rsidTr="00CE004B">
        <w:trPr>
          <w:trHeight w:val="20"/>
        </w:trPr>
        <w:tc>
          <w:tcPr>
            <w:tcW w:w="2835" w:type="dxa"/>
            <w:tcBorders>
              <w:left w:val="single" w:sz="4" w:space="0" w:color="auto"/>
              <w:right w:val="single" w:sz="4" w:space="0" w:color="auto"/>
            </w:tcBorders>
            <w:noWrap/>
            <w:vAlign w:val="center"/>
          </w:tcPr>
          <w:p w14:paraId="39CC6744" w14:textId="13BEBB58"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 xml:space="preserve">At least one </w:t>
            </w:r>
            <w:proofErr w:type="spellStart"/>
            <w:r w:rsidRPr="006E52D2">
              <w:rPr>
                <w:rFonts w:ascii="Times New Roman" w:eastAsia="Times New Roman" w:hAnsi="Times New Roman" w:cs="Times New Roman"/>
                <w:color w:val="000000"/>
                <w:sz w:val="18"/>
                <w:szCs w:val="18"/>
                <w:lang w:eastAsia="en-GB"/>
              </w:rPr>
              <w:t>unempl</w:t>
            </w:r>
            <w:proofErr w:type="spellEnd"/>
            <w:r>
              <w:rPr>
                <w:rFonts w:ascii="Times New Roman" w:eastAsia="Times New Roman" w:hAnsi="Times New Roman" w:cs="Times New Roman"/>
                <w:color w:val="000000"/>
                <w:sz w:val="18"/>
                <w:szCs w:val="18"/>
                <w:lang w:eastAsia="en-GB"/>
              </w:rPr>
              <w:t>.</w:t>
            </w:r>
            <w:r w:rsidRPr="006E52D2">
              <w:rPr>
                <w:rFonts w:ascii="Times New Roman" w:eastAsia="Times New Roman" w:hAnsi="Times New Roman" w:cs="Times New Roman"/>
                <w:color w:val="000000"/>
                <w:sz w:val="18"/>
                <w:szCs w:val="18"/>
                <w:lang w:eastAsia="en-GB"/>
              </w:rPr>
              <w:t xml:space="preserve"> in household </w:t>
            </w:r>
          </w:p>
        </w:tc>
        <w:tc>
          <w:tcPr>
            <w:tcW w:w="907" w:type="dxa"/>
            <w:tcBorders>
              <w:left w:val="single" w:sz="4" w:space="0" w:color="auto"/>
            </w:tcBorders>
            <w:noWrap/>
            <w:vAlign w:val="center"/>
          </w:tcPr>
          <w:p w14:paraId="71A264E8" w14:textId="10818DD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7E0603E0" w14:textId="54CA977F"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noWrap/>
            <w:vAlign w:val="center"/>
          </w:tcPr>
          <w:p w14:paraId="47CFA248" w14:textId="0159363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tcPr>
          <w:p w14:paraId="03919261" w14:textId="5F4D8BE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02A94E23" w14:textId="7A6974C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-0.06</w:t>
            </w:r>
          </w:p>
        </w:tc>
        <w:tc>
          <w:tcPr>
            <w:tcW w:w="907" w:type="dxa"/>
            <w:noWrap/>
            <w:vAlign w:val="center"/>
          </w:tcPr>
          <w:p w14:paraId="34273F5A" w14:textId="480AD2F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60B620BC" w14:textId="7E8DEEA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noWrap/>
            <w:vAlign w:val="center"/>
          </w:tcPr>
          <w:p w14:paraId="4612B040" w14:textId="74703EF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vAlign w:val="center"/>
          </w:tcPr>
          <w:p w14:paraId="56006CED" w14:textId="66802B3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vAlign w:val="center"/>
          </w:tcPr>
          <w:p w14:paraId="695FAC97" w14:textId="6C40288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vAlign w:val="center"/>
          </w:tcPr>
          <w:p w14:paraId="166D1DA9" w14:textId="34463D5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vAlign w:val="center"/>
          </w:tcPr>
          <w:p w14:paraId="73179915"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39519277"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44CD8534"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6B58BFC6" w14:textId="182E5708"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318061EE" w14:textId="77777777" w:rsidTr="00CE004B">
        <w:trPr>
          <w:trHeight w:val="20"/>
        </w:trPr>
        <w:tc>
          <w:tcPr>
            <w:tcW w:w="2835" w:type="dxa"/>
            <w:tcBorders>
              <w:left w:val="single" w:sz="4" w:space="0" w:color="auto"/>
              <w:right w:val="single" w:sz="4" w:space="0" w:color="auto"/>
            </w:tcBorders>
            <w:noWrap/>
            <w:vAlign w:val="center"/>
          </w:tcPr>
          <w:p w14:paraId="12427424" w14:textId="1725D85E" w:rsidR="00CE004B" w:rsidRPr="006E52D2" w:rsidRDefault="00CE004B" w:rsidP="00CE004B">
            <w:pPr>
              <w:spacing w:after="0" w:line="240" w:lineRule="auto"/>
              <w:ind w:firstLine="0"/>
              <w:jc w:val="left"/>
              <w:rPr>
                <w:rFonts w:ascii="Times New Roman" w:eastAsia="Times New Roman" w:hAnsi="Times New Roman" w:cs="Times New Roman"/>
                <w:color w:val="000000"/>
                <w:sz w:val="18"/>
                <w:szCs w:val="18"/>
                <w:lang w:eastAsia="en-GB"/>
              </w:rPr>
            </w:pPr>
            <w:r w:rsidRPr="006E52D2">
              <w:rPr>
                <w:rFonts w:ascii="Times New Roman" w:eastAsia="Times New Roman" w:hAnsi="Times New Roman" w:cs="Times New Roman"/>
                <w:color w:val="000000"/>
                <w:sz w:val="18"/>
                <w:szCs w:val="18"/>
                <w:lang w:eastAsia="en-GB"/>
              </w:rPr>
              <w:t>Household head out of labour force</w:t>
            </w:r>
          </w:p>
        </w:tc>
        <w:tc>
          <w:tcPr>
            <w:tcW w:w="907" w:type="dxa"/>
            <w:tcBorders>
              <w:left w:val="single" w:sz="4" w:space="0" w:color="auto"/>
            </w:tcBorders>
            <w:noWrap/>
            <w:vAlign w:val="center"/>
          </w:tcPr>
          <w:p w14:paraId="1A6E555C" w14:textId="68A28FE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15CD5A74" w14:textId="4D5F237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0.51</w:t>
            </w:r>
          </w:p>
        </w:tc>
        <w:tc>
          <w:tcPr>
            <w:tcW w:w="907" w:type="dxa"/>
            <w:noWrap/>
            <w:vAlign w:val="center"/>
          </w:tcPr>
          <w:p w14:paraId="0213D82E" w14:textId="55E0693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-0.21</w:t>
            </w:r>
          </w:p>
        </w:tc>
        <w:tc>
          <w:tcPr>
            <w:tcW w:w="907" w:type="dxa"/>
            <w:noWrap/>
            <w:vAlign w:val="center"/>
          </w:tcPr>
          <w:p w14:paraId="4E590D7D" w14:textId="1D314CC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noWrap/>
            <w:vAlign w:val="center"/>
          </w:tcPr>
          <w:p w14:paraId="496757C4" w14:textId="075B5A6B"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0.52</w:t>
            </w:r>
          </w:p>
        </w:tc>
        <w:tc>
          <w:tcPr>
            <w:tcW w:w="907" w:type="dxa"/>
            <w:noWrap/>
            <w:vAlign w:val="center"/>
          </w:tcPr>
          <w:p w14:paraId="1C9EE581" w14:textId="56A87278"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-0.19</w:t>
            </w:r>
          </w:p>
        </w:tc>
        <w:tc>
          <w:tcPr>
            <w:tcW w:w="907" w:type="dxa"/>
            <w:noWrap/>
            <w:vAlign w:val="center"/>
          </w:tcPr>
          <w:p w14:paraId="16D73D8A" w14:textId="173C36E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-0.19</w:t>
            </w:r>
          </w:p>
        </w:tc>
        <w:tc>
          <w:tcPr>
            <w:tcW w:w="907" w:type="dxa"/>
            <w:noWrap/>
            <w:vAlign w:val="center"/>
          </w:tcPr>
          <w:p w14:paraId="5A608909" w14:textId="7C12A5B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vAlign w:val="center"/>
          </w:tcPr>
          <w:p w14:paraId="4475F70F" w14:textId="726D267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vAlign w:val="center"/>
          </w:tcPr>
          <w:p w14:paraId="7C93DDA7" w14:textId="606A79B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-0.17</w:t>
            </w:r>
          </w:p>
        </w:tc>
        <w:tc>
          <w:tcPr>
            <w:tcW w:w="907" w:type="dxa"/>
            <w:vAlign w:val="center"/>
          </w:tcPr>
          <w:p w14:paraId="4FAB3C63" w14:textId="6FCCB93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-0.09</w:t>
            </w:r>
          </w:p>
        </w:tc>
        <w:tc>
          <w:tcPr>
            <w:tcW w:w="907" w:type="dxa"/>
            <w:vAlign w:val="center"/>
          </w:tcPr>
          <w:p w14:paraId="77389161" w14:textId="1BE9B13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vAlign w:val="center"/>
          </w:tcPr>
          <w:p w14:paraId="502E3A43"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vAlign w:val="center"/>
          </w:tcPr>
          <w:p w14:paraId="187DF848"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33AA90C3" w14:textId="77777777"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620BD6" w14:paraId="62D7B610" w14:textId="77777777" w:rsidTr="00CE004B">
        <w:trPr>
          <w:trHeight w:val="20"/>
        </w:trPr>
        <w:tc>
          <w:tcPr>
            <w:tcW w:w="2835" w:type="dxa"/>
            <w:tcBorders>
              <w:left w:val="single" w:sz="4" w:space="0" w:color="auto"/>
              <w:right w:val="single" w:sz="4" w:space="0" w:color="auto"/>
            </w:tcBorders>
            <w:noWrap/>
            <w:vAlign w:val="center"/>
          </w:tcPr>
          <w:p w14:paraId="1C83ABD8" w14:textId="33AD9FBF"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Female household head</w:t>
            </w:r>
          </w:p>
        </w:tc>
        <w:tc>
          <w:tcPr>
            <w:tcW w:w="907" w:type="dxa"/>
            <w:tcBorders>
              <w:left w:val="single" w:sz="4" w:space="0" w:color="auto"/>
            </w:tcBorders>
            <w:noWrap/>
            <w:vAlign w:val="center"/>
          </w:tcPr>
          <w:p w14:paraId="026440E9" w14:textId="53A33A4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noWrap/>
            <w:vAlign w:val="center"/>
          </w:tcPr>
          <w:p w14:paraId="5B1ACA0A" w14:textId="22708AF7"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noWrap/>
            <w:vAlign w:val="center"/>
          </w:tcPr>
          <w:p w14:paraId="2DC5BF99" w14:textId="7389B80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-0.02</w:t>
            </w:r>
          </w:p>
        </w:tc>
        <w:tc>
          <w:tcPr>
            <w:tcW w:w="907" w:type="dxa"/>
            <w:noWrap/>
            <w:vAlign w:val="center"/>
          </w:tcPr>
          <w:p w14:paraId="16541286" w14:textId="5410916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-0.03</w:t>
            </w:r>
          </w:p>
        </w:tc>
        <w:tc>
          <w:tcPr>
            <w:tcW w:w="907" w:type="dxa"/>
            <w:noWrap/>
            <w:vAlign w:val="center"/>
          </w:tcPr>
          <w:p w14:paraId="32574C2A" w14:textId="3EAAB42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noWrap/>
            <w:vAlign w:val="center"/>
          </w:tcPr>
          <w:p w14:paraId="5A11A48C" w14:textId="5034ACD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-0.61</w:t>
            </w:r>
          </w:p>
        </w:tc>
        <w:tc>
          <w:tcPr>
            <w:tcW w:w="907" w:type="dxa"/>
            <w:noWrap/>
            <w:vAlign w:val="center"/>
          </w:tcPr>
          <w:p w14:paraId="71E27F06" w14:textId="4D7E0F1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-0.29</w:t>
            </w:r>
          </w:p>
        </w:tc>
        <w:tc>
          <w:tcPr>
            <w:tcW w:w="907" w:type="dxa"/>
            <w:noWrap/>
            <w:vAlign w:val="center"/>
          </w:tcPr>
          <w:p w14:paraId="1930062A" w14:textId="65CD45B1"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0.09</w:t>
            </w:r>
          </w:p>
        </w:tc>
        <w:tc>
          <w:tcPr>
            <w:tcW w:w="907" w:type="dxa"/>
            <w:vAlign w:val="center"/>
          </w:tcPr>
          <w:p w14:paraId="62692BD5" w14:textId="48EC9F0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0.72</w:t>
            </w:r>
          </w:p>
        </w:tc>
        <w:tc>
          <w:tcPr>
            <w:tcW w:w="907" w:type="dxa"/>
            <w:vAlign w:val="center"/>
          </w:tcPr>
          <w:p w14:paraId="77C37B84" w14:textId="0ABB8AE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-0.12</w:t>
            </w:r>
          </w:p>
        </w:tc>
        <w:tc>
          <w:tcPr>
            <w:tcW w:w="907" w:type="dxa"/>
            <w:vAlign w:val="center"/>
          </w:tcPr>
          <w:p w14:paraId="216681CC" w14:textId="4B705CC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vAlign w:val="center"/>
          </w:tcPr>
          <w:p w14:paraId="748E38E9" w14:textId="0B8A678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0.12</w:t>
            </w:r>
          </w:p>
        </w:tc>
        <w:tc>
          <w:tcPr>
            <w:tcW w:w="907" w:type="dxa"/>
            <w:vAlign w:val="center"/>
          </w:tcPr>
          <w:p w14:paraId="2A414202" w14:textId="57B23AA6"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vAlign w:val="center"/>
          </w:tcPr>
          <w:p w14:paraId="7DD9953D" w14:textId="77777777" w:rsidR="00CE004B" w:rsidRPr="00CE004B" w:rsidRDefault="00CE004B" w:rsidP="00CE004B">
            <w:pPr>
              <w:spacing w:after="0" w:line="240" w:lineRule="auto"/>
              <w:ind w:firstLine="0"/>
              <w:jc w:val="right"/>
              <w:rPr>
                <w:rFonts w:cs="Times New Roman"/>
                <w:color w:val="000000"/>
                <w:sz w:val="18"/>
                <w:szCs w:val="18"/>
              </w:rPr>
            </w:pPr>
          </w:p>
        </w:tc>
        <w:tc>
          <w:tcPr>
            <w:tcW w:w="907" w:type="dxa"/>
            <w:tcBorders>
              <w:right w:val="single" w:sz="4" w:space="0" w:color="auto"/>
            </w:tcBorders>
            <w:vAlign w:val="bottom"/>
          </w:tcPr>
          <w:p w14:paraId="0F2A3FA1" w14:textId="1B7BF7AE"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r w:rsidR="00CE004B" w:rsidRPr="00947FF6" w14:paraId="16AA491A" w14:textId="77777777" w:rsidTr="00CE004B">
        <w:trPr>
          <w:trHeight w:val="20"/>
        </w:trPr>
        <w:tc>
          <w:tcPr>
            <w:tcW w:w="2835" w:type="dxa"/>
            <w:tcBorders>
              <w:left w:val="single" w:sz="4" w:space="0" w:color="auto"/>
              <w:bottom w:val="single" w:sz="4" w:space="0" w:color="auto"/>
              <w:right w:val="single" w:sz="4" w:space="0" w:color="auto"/>
            </w:tcBorders>
            <w:noWrap/>
            <w:vAlign w:val="center"/>
            <w:hideMark/>
          </w:tcPr>
          <w:p w14:paraId="087074F5" w14:textId="00C371EC" w:rsidR="00CE004B" w:rsidRPr="00620BD6" w:rsidRDefault="00CE004B" w:rsidP="00CE004B">
            <w:pPr>
              <w:spacing w:after="0" w:line="240" w:lineRule="auto"/>
              <w:ind w:firstLine="0"/>
              <w:jc w:val="left"/>
              <w:rPr>
                <w:rFonts w:ascii="Times New Roman" w:hAnsi="Times New Roman" w:cs="Times New Roman"/>
                <w:sz w:val="18"/>
                <w:szCs w:val="18"/>
                <w:lang w:eastAsia="en-GB"/>
              </w:rPr>
            </w:pPr>
            <w:r w:rsidRPr="006E52D2">
              <w:rPr>
                <w:rFonts w:ascii="Times New Roman" w:eastAsia="Times New Roman" w:hAnsi="Times New Roman" w:cs="Times New Roman"/>
                <w:color w:val="000000"/>
                <w:sz w:val="18"/>
                <w:szCs w:val="18"/>
                <w:lang w:eastAsia="en-GB"/>
              </w:rPr>
              <w:t>Black or Latino household head</w:t>
            </w:r>
          </w:p>
        </w:tc>
        <w:tc>
          <w:tcPr>
            <w:tcW w:w="907" w:type="dxa"/>
            <w:tcBorders>
              <w:left w:val="single" w:sz="4" w:space="0" w:color="auto"/>
              <w:bottom w:val="single" w:sz="4" w:space="0" w:color="auto"/>
            </w:tcBorders>
            <w:noWrap/>
            <w:vAlign w:val="center"/>
          </w:tcPr>
          <w:p w14:paraId="5D43991E" w14:textId="46DC9C5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0.01</w:t>
            </w:r>
          </w:p>
        </w:tc>
        <w:tc>
          <w:tcPr>
            <w:tcW w:w="907" w:type="dxa"/>
            <w:tcBorders>
              <w:bottom w:val="single" w:sz="4" w:space="0" w:color="auto"/>
            </w:tcBorders>
            <w:noWrap/>
            <w:vAlign w:val="center"/>
          </w:tcPr>
          <w:p w14:paraId="055603FF" w14:textId="3B3C2B20"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tcBorders>
              <w:bottom w:val="single" w:sz="4" w:space="0" w:color="auto"/>
            </w:tcBorders>
            <w:noWrap/>
            <w:vAlign w:val="center"/>
          </w:tcPr>
          <w:p w14:paraId="4FE3F6EC" w14:textId="10F9E6C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tcBorders>
              <w:bottom w:val="single" w:sz="4" w:space="0" w:color="auto"/>
            </w:tcBorders>
            <w:noWrap/>
            <w:vAlign w:val="center"/>
          </w:tcPr>
          <w:p w14:paraId="778498CB" w14:textId="5DDEB745"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-0.07</w:t>
            </w:r>
          </w:p>
        </w:tc>
        <w:tc>
          <w:tcPr>
            <w:tcW w:w="907" w:type="dxa"/>
            <w:tcBorders>
              <w:bottom w:val="single" w:sz="4" w:space="0" w:color="auto"/>
            </w:tcBorders>
            <w:noWrap/>
            <w:vAlign w:val="center"/>
          </w:tcPr>
          <w:p w14:paraId="34E69484" w14:textId="0E27AFC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-0.04</w:t>
            </w:r>
          </w:p>
        </w:tc>
        <w:tc>
          <w:tcPr>
            <w:tcW w:w="907" w:type="dxa"/>
            <w:tcBorders>
              <w:bottom w:val="single" w:sz="4" w:space="0" w:color="auto"/>
            </w:tcBorders>
            <w:noWrap/>
            <w:vAlign w:val="center"/>
          </w:tcPr>
          <w:p w14:paraId="0CDC4DAB" w14:textId="4D6F5F3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-0.21</w:t>
            </w:r>
          </w:p>
        </w:tc>
        <w:tc>
          <w:tcPr>
            <w:tcW w:w="907" w:type="dxa"/>
            <w:tcBorders>
              <w:bottom w:val="single" w:sz="4" w:space="0" w:color="auto"/>
            </w:tcBorders>
            <w:noWrap/>
            <w:vAlign w:val="center"/>
          </w:tcPr>
          <w:p w14:paraId="7A9C580F" w14:textId="21D8EF0C"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tcBorders>
              <w:bottom w:val="single" w:sz="4" w:space="0" w:color="auto"/>
            </w:tcBorders>
            <w:noWrap/>
            <w:vAlign w:val="center"/>
          </w:tcPr>
          <w:p w14:paraId="5AEB2777" w14:textId="23DAE45D"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tcBorders>
              <w:bottom w:val="single" w:sz="4" w:space="0" w:color="auto"/>
            </w:tcBorders>
            <w:vAlign w:val="center"/>
          </w:tcPr>
          <w:p w14:paraId="0A55EF5A" w14:textId="47D8F7F9"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0.11</w:t>
            </w:r>
          </w:p>
        </w:tc>
        <w:tc>
          <w:tcPr>
            <w:tcW w:w="907" w:type="dxa"/>
            <w:tcBorders>
              <w:bottom w:val="single" w:sz="4" w:space="0" w:color="auto"/>
            </w:tcBorders>
            <w:vAlign w:val="center"/>
          </w:tcPr>
          <w:p w14:paraId="1DCC117C" w14:textId="50731892"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-0.08</w:t>
            </w:r>
          </w:p>
        </w:tc>
        <w:tc>
          <w:tcPr>
            <w:tcW w:w="907" w:type="dxa"/>
            <w:tcBorders>
              <w:bottom w:val="single" w:sz="4" w:space="0" w:color="auto"/>
            </w:tcBorders>
            <w:vAlign w:val="center"/>
          </w:tcPr>
          <w:p w14:paraId="38C787F5" w14:textId="2CF34B94"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0.05</w:t>
            </w:r>
          </w:p>
        </w:tc>
        <w:tc>
          <w:tcPr>
            <w:tcW w:w="907" w:type="dxa"/>
            <w:tcBorders>
              <w:bottom w:val="single" w:sz="4" w:space="0" w:color="auto"/>
            </w:tcBorders>
            <w:vAlign w:val="center"/>
          </w:tcPr>
          <w:p w14:paraId="59B78789" w14:textId="07BCC073"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0.00</w:t>
            </w:r>
          </w:p>
        </w:tc>
        <w:tc>
          <w:tcPr>
            <w:tcW w:w="907" w:type="dxa"/>
            <w:tcBorders>
              <w:bottom w:val="single" w:sz="4" w:space="0" w:color="auto"/>
            </w:tcBorders>
            <w:vAlign w:val="center"/>
          </w:tcPr>
          <w:p w14:paraId="77739B29" w14:textId="6F2FBD0A"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0.14</w:t>
            </w:r>
          </w:p>
        </w:tc>
        <w:tc>
          <w:tcPr>
            <w:tcW w:w="907" w:type="dxa"/>
            <w:tcBorders>
              <w:bottom w:val="single" w:sz="4" w:space="0" w:color="auto"/>
            </w:tcBorders>
            <w:vAlign w:val="center"/>
          </w:tcPr>
          <w:p w14:paraId="5A744599" w14:textId="15740A7E" w:rsidR="00CE004B" w:rsidRPr="00CE004B" w:rsidRDefault="00CE004B" w:rsidP="00CE004B">
            <w:pPr>
              <w:spacing w:after="0" w:line="240" w:lineRule="auto"/>
              <w:ind w:firstLine="0"/>
              <w:jc w:val="right"/>
              <w:rPr>
                <w:rFonts w:cs="Times New Roman"/>
                <w:color w:val="000000"/>
                <w:sz w:val="18"/>
                <w:szCs w:val="18"/>
              </w:rPr>
            </w:pPr>
            <w:r w:rsidRPr="00CE004B">
              <w:rPr>
                <w:color w:val="000000"/>
                <w:sz w:val="18"/>
                <w:szCs w:val="18"/>
              </w:rPr>
              <w:t>1.00</w:t>
            </w:r>
          </w:p>
        </w:tc>
        <w:tc>
          <w:tcPr>
            <w:tcW w:w="907" w:type="dxa"/>
            <w:tcBorders>
              <w:bottom w:val="single" w:sz="4" w:space="0" w:color="auto"/>
              <w:right w:val="single" w:sz="4" w:space="0" w:color="auto"/>
            </w:tcBorders>
            <w:vAlign w:val="bottom"/>
          </w:tcPr>
          <w:p w14:paraId="70D7822F" w14:textId="1FC33FF1" w:rsidR="00CE004B" w:rsidRPr="002B6AE1" w:rsidRDefault="00CE004B" w:rsidP="00CE004B">
            <w:pPr>
              <w:spacing w:after="0" w:line="240" w:lineRule="auto"/>
              <w:ind w:firstLine="0"/>
              <w:jc w:val="right"/>
              <w:rPr>
                <w:rFonts w:ascii="Times New Roman" w:hAnsi="Times New Roman" w:cs="Times New Roman"/>
                <w:color w:val="000000"/>
                <w:sz w:val="18"/>
                <w:szCs w:val="18"/>
              </w:rPr>
            </w:pPr>
          </w:p>
        </w:tc>
      </w:tr>
    </w:tbl>
    <w:p w14:paraId="5EFA3A58" w14:textId="144FE4AA" w:rsidR="00947FF6" w:rsidRPr="00947FF6" w:rsidRDefault="002B6AE1" w:rsidP="00947FF6">
      <w:pPr>
        <w:spacing w:after="0" w:line="240" w:lineRule="auto"/>
        <w:ind w:firstLine="0"/>
        <w:jc w:val="left"/>
        <w:rPr>
          <w:sz w:val="2"/>
          <w:szCs w:val="2"/>
        </w:rPr>
        <w:sectPr w:rsidR="00947FF6" w:rsidRPr="00947FF6" w:rsidSect="003B74E2">
          <w:headerReference w:type="even" r:id="rId15"/>
          <w:headerReference w:type="default" r:id="rId16"/>
          <w:pgSz w:w="16840" w:h="11900" w:orient="landscape"/>
          <w:pgMar w:top="822" w:right="822" w:bottom="822" w:left="822" w:header="709" w:footer="709" w:gutter="0"/>
          <w:cols w:space="708"/>
          <w:docGrid w:linePitch="360"/>
        </w:sectPr>
      </w:pPr>
      <w:r w:rsidRPr="00620BD6">
        <w:rPr>
          <w:rFonts w:ascii="Times New Roman" w:hAnsi="Times New Roman" w:cs="Times New Roman"/>
          <w:noProof/>
          <w:sz w:val="18"/>
          <w:szCs w:val="18"/>
          <w:lang w:eastAsia="en-GB"/>
        </w:rPr>
        <mc:AlternateContent>
          <mc:Choice Requires="wps">
            <w:drawing>
              <wp:anchor distT="0" distB="0" distL="114300" distR="114300" simplePos="0" relativeHeight="251661312" behindDoc="0" locked="0" layoutInCell="1" allowOverlap="1" wp14:anchorId="1DC32005" wp14:editId="199BE982">
                <wp:simplePos x="0" y="0"/>
                <wp:positionH relativeFrom="margin">
                  <wp:posOffset>604412</wp:posOffset>
                </wp:positionH>
                <wp:positionV relativeFrom="paragraph">
                  <wp:posOffset>6369050</wp:posOffset>
                </wp:positionV>
                <wp:extent cx="9281972" cy="51371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1972" cy="513715"/>
                        </a:xfrm>
                        <a:prstGeom prst="rect">
                          <a:avLst/>
                        </a:prstGeom>
                        <a:noFill/>
                        <a:ln w="9525">
                          <a:noFill/>
                          <a:miter lim="800000"/>
                          <a:headEnd/>
                          <a:tailEnd/>
                        </a:ln>
                      </wps:spPr>
                      <wps:txbx>
                        <w:txbxContent>
                          <w:p w14:paraId="2496E07F" w14:textId="5BEDC97A" w:rsidR="007506EB" w:rsidRPr="00947FF6" w:rsidRDefault="007506EB" w:rsidP="002B6AE1">
                            <w:pPr>
                              <w:spacing w:after="0" w:line="240" w:lineRule="auto"/>
                              <w:jc w:val="center"/>
                              <w:rPr>
                                <w:sz w:val="2"/>
                                <w:szCs w:val="2"/>
                              </w:rPr>
                            </w:pPr>
                            <w:r w:rsidRPr="00DF579A">
                              <w:rPr>
                                <w:b/>
                                <w:sz w:val="20"/>
                              </w:rPr>
                              <w:t>Note</w:t>
                            </w:r>
                            <w:r w:rsidRPr="00DF579A">
                              <w:rPr>
                                <w:sz w:val="20"/>
                              </w:rPr>
                              <w:t xml:space="preserve">: </w:t>
                            </w:r>
                            <w:r>
                              <w:rPr>
                                <w:sz w:val="20"/>
                              </w:rPr>
                              <w:t>Assets and debt variables in terms of s</w:t>
                            </w:r>
                            <w:r w:rsidRPr="00DF579A">
                              <w:rPr>
                                <w:sz w:val="20"/>
                              </w:rPr>
                              <w:t>hares of total assets or total debt</w:t>
                            </w:r>
                            <w:r>
                              <w:rPr>
                                <w:sz w:val="20"/>
                              </w:rPr>
                              <w:t>.</w:t>
                            </w:r>
                            <w:r w:rsidRPr="00DF579A">
                              <w:rPr>
                                <w:sz w:val="20"/>
                              </w:rPr>
                              <w:t xml:space="preserve"> </w:t>
                            </w:r>
                            <w:r>
                              <w:rPr>
                                <w:sz w:val="20"/>
                              </w:rPr>
                              <w:t>Ca</w:t>
                            </w:r>
                            <w:r w:rsidRPr="00DF579A">
                              <w:rPr>
                                <w:sz w:val="20"/>
                              </w:rPr>
                              <w:t>lculated only for respondents with posi</w:t>
                            </w:r>
                            <w:r>
                              <w:rPr>
                                <w:sz w:val="20"/>
                              </w:rPr>
                              <w:t>tive values of assets and debt.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32005" id="_x0000_t202" coordsize="21600,21600" o:spt="202" path="m,l,21600r21600,l21600,xe">
                <v:stroke joinstyle="miter"/>
                <v:path gradientshapeok="t" o:connecttype="rect"/>
              </v:shapetype>
              <v:shape id="Text Box 2" o:spid="_x0000_s1026" type="#_x0000_t202" style="position:absolute;margin-left:47.6pt;margin-top:501.5pt;width:730.85pt;height:40.4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" filled="f" stroked="f">
                <v:textbox style="mso-fit-shape-to-text:t">
                  <w:txbxContent>
                    <w:p w14:paraId="2496E07F" w14:textId="5BEDC97A" w:rsidR="007506EB" w:rsidRPr="00947FF6" w:rsidRDefault="007506EB" w:rsidP="002B6AE1">
                      <w:pPr>
                        <w:spacing w:after="0" w:line="240" w:lineRule="auto"/>
                        <w:jc w:val="center"/>
                        <w:rPr>
                          <w:sz w:val="2"/>
                          <w:szCs w:val="2"/>
                        </w:rPr>
                      </w:pPr>
                      <w:r w:rsidRPr="00DF579A">
                        <w:rPr>
                          <w:b/>
                          <w:sz w:val="20"/>
                        </w:rPr>
                        <w:t>Note</w:t>
                      </w:r>
                      <w:r w:rsidRPr="00DF579A">
                        <w:rPr>
                          <w:sz w:val="20"/>
                        </w:rPr>
                        <w:t xml:space="preserve">: </w:t>
                      </w:r>
                      <w:r>
                        <w:rPr>
                          <w:sz w:val="20"/>
                        </w:rPr>
                        <w:t>Assets and debt variables in terms of s</w:t>
                      </w:r>
                      <w:r w:rsidRPr="00DF579A">
                        <w:rPr>
                          <w:sz w:val="20"/>
                        </w:rPr>
                        <w:t>hares of total assets or total debt</w:t>
                      </w:r>
                      <w:r>
                        <w:rPr>
                          <w:sz w:val="20"/>
                        </w:rPr>
                        <w:t>.</w:t>
                      </w:r>
                      <w:r w:rsidRPr="00DF579A">
                        <w:rPr>
                          <w:sz w:val="20"/>
                        </w:rPr>
                        <w:t xml:space="preserve"> </w:t>
                      </w:r>
                      <w:r>
                        <w:rPr>
                          <w:sz w:val="20"/>
                        </w:rPr>
                        <w:t>Ca</w:t>
                      </w:r>
                      <w:r w:rsidRPr="00DF579A">
                        <w:rPr>
                          <w:sz w:val="20"/>
                        </w:rPr>
                        <w:t>lculated only for respondents with posi</w:t>
                      </w:r>
                      <w:r>
                        <w:rPr>
                          <w:sz w:val="20"/>
                        </w:rPr>
                        <w:t>tive values of assets and debt.</w:t>
                      </w:r>
                    </w:p>
                  </w:txbxContent>
                </v:textbox>
                <w10:wrap anchorx="margin"/>
              </v:shape>
            </w:pict>
          </mc:Fallback>
        </mc:AlternateContent>
      </w:r>
      <w:bookmarkStart w:id="7" w:name="_Toc496807502"/>
      <w:bookmarkStart w:id="8" w:name="_Toc496874367"/>
      <w:bookmarkEnd w:id="6"/>
    </w:p>
    <w:tbl>
      <w:tblPr>
        <w:tblpPr w:leftFromText="180" w:rightFromText="180" w:vertAnchor="page" w:horzAnchor="margin" w:tblpXSpec="center" w:tblpY="2060"/>
        <w:tblW w:w="4616" w:type="pct"/>
        <w:tblLook w:val="04A0" w:firstRow="1" w:lastRow="0" w:firstColumn="1" w:lastColumn="0" w:noHBand="0" w:noVBand="1"/>
      </w:tblPr>
      <w:tblGrid>
        <w:gridCol w:w="3550"/>
        <w:gridCol w:w="1038"/>
        <w:gridCol w:w="1038"/>
        <w:gridCol w:w="1038"/>
        <w:gridCol w:w="1038"/>
        <w:gridCol w:w="1038"/>
        <w:gridCol w:w="1038"/>
        <w:gridCol w:w="1038"/>
        <w:gridCol w:w="1038"/>
        <w:gridCol w:w="1025"/>
      </w:tblGrid>
      <w:tr w:rsidR="00947FF6" w:rsidRPr="00F64681" w14:paraId="5976EF7E" w14:textId="77777777" w:rsidTr="003D4EEF">
        <w:trPr>
          <w:trHeight w:val="416"/>
        </w:trPr>
        <w:tc>
          <w:tcPr>
            <w:tcW w:w="1378" w:type="pct"/>
            <w:tcBorders>
              <w:top w:val="single" w:sz="4" w:space="0" w:color="auto"/>
              <w:left w:val="single" w:sz="4" w:space="0" w:color="auto"/>
              <w:bottom w:val="nil"/>
              <w:right w:val="single" w:sz="4" w:space="0" w:color="auto"/>
            </w:tcBorders>
            <w:shd w:val="clear" w:color="auto" w:fill="auto"/>
            <w:noWrap/>
            <w:vAlign w:val="bottom"/>
            <w:hideMark/>
          </w:tcPr>
          <w:p w14:paraId="690C459F" w14:textId="62A03E63" w:rsidR="00AC1549" w:rsidRPr="00F64681" w:rsidRDefault="00AE300C" w:rsidP="00AC1549">
            <w:pPr>
              <w:spacing w:after="0" w:line="240" w:lineRule="auto"/>
              <w:ind w:firstLine="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Median income ratio</w:t>
            </w:r>
          </w:p>
        </w:tc>
        <w:tc>
          <w:tcPr>
            <w:tcW w:w="403" w:type="pct"/>
            <w:tcBorders>
              <w:top w:val="single" w:sz="4" w:space="0" w:color="auto"/>
              <w:left w:val="nil"/>
              <w:bottom w:val="nil"/>
              <w:right w:val="single" w:sz="4" w:space="0" w:color="auto"/>
            </w:tcBorders>
            <w:shd w:val="clear" w:color="auto" w:fill="auto"/>
            <w:noWrap/>
            <w:vAlign w:val="bottom"/>
            <w:hideMark/>
          </w:tcPr>
          <w:p w14:paraId="16D7C233"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1989</w:t>
            </w:r>
          </w:p>
        </w:tc>
        <w:tc>
          <w:tcPr>
            <w:tcW w:w="403" w:type="pct"/>
            <w:tcBorders>
              <w:top w:val="single" w:sz="4" w:space="0" w:color="auto"/>
              <w:left w:val="nil"/>
              <w:bottom w:val="nil"/>
              <w:right w:val="single" w:sz="4" w:space="0" w:color="auto"/>
            </w:tcBorders>
            <w:shd w:val="clear" w:color="auto" w:fill="auto"/>
            <w:noWrap/>
            <w:vAlign w:val="bottom"/>
            <w:hideMark/>
          </w:tcPr>
          <w:p w14:paraId="6E41E568"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1992</w:t>
            </w:r>
          </w:p>
        </w:tc>
        <w:tc>
          <w:tcPr>
            <w:tcW w:w="403" w:type="pct"/>
            <w:tcBorders>
              <w:top w:val="single" w:sz="4" w:space="0" w:color="auto"/>
              <w:left w:val="nil"/>
              <w:bottom w:val="nil"/>
              <w:right w:val="single" w:sz="4" w:space="0" w:color="auto"/>
            </w:tcBorders>
            <w:shd w:val="clear" w:color="auto" w:fill="auto"/>
            <w:noWrap/>
            <w:vAlign w:val="bottom"/>
            <w:hideMark/>
          </w:tcPr>
          <w:p w14:paraId="710AC089"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1995</w:t>
            </w:r>
          </w:p>
        </w:tc>
        <w:tc>
          <w:tcPr>
            <w:tcW w:w="403" w:type="pct"/>
            <w:tcBorders>
              <w:top w:val="single" w:sz="4" w:space="0" w:color="auto"/>
              <w:left w:val="nil"/>
              <w:bottom w:val="nil"/>
              <w:right w:val="single" w:sz="4" w:space="0" w:color="auto"/>
            </w:tcBorders>
            <w:shd w:val="clear" w:color="auto" w:fill="auto"/>
            <w:noWrap/>
            <w:vAlign w:val="bottom"/>
            <w:hideMark/>
          </w:tcPr>
          <w:p w14:paraId="44894E6A"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1998</w:t>
            </w:r>
          </w:p>
        </w:tc>
        <w:tc>
          <w:tcPr>
            <w:tcW w:w="403" w:type="pct"/>
            <w:tcBorders>
              <w:top w:val="single" w:sz="4" w:space="0" w:color="auto"/>
              <w:left w:val="nil"/>
              <w:bottom w:val="nil"/>
              <w:right w:val="single" w:sz="4" w:space="0" w:color="auto"/>
            </w:tcBorders>
            <w:shd w:val="clear" w:color="auto" w:fill="auto"/>
            <w:noWrap/>
            <w:vAlign w:val="bottom"/>
            <w:hideMark/>
          </w:tcPr>
          <w:p w14:paraId="62922214"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2001</w:t>
            </w:r>
          </w:p>
        </w:tc>
        <w:tc>
          <w:tcPr>
            <w:tcW w:w="403" w:type="pct"/>
            <w:tcBorders>
              <w:top w:val="single" w:sz="4" w:space="0" w:color="auto"/>
              <w:left w:val="nil"/>
              <w:bottom w:val="nil"/>
              <w:right w:val="single" w:sz="4" w:space="0" w:color="auto"/>
            </w:tcBorders>
            <w:shd w:val="clear" w:color="auto" w:fill="auto"/>
            <w:noWrap/>
            <w:vAlign w:val="bottom"/>
            <w:hideMark/>
          </w:tcPr>
          <w:p w14:paraId="1B3256D9"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2004</w:t>
            </w:r>
          </w:p>
        </w:tc>
        <w:tc>
          <w:tcPr>
            <w:tcW w:w="403" w:type="pct"/>
            <w:tcBorders>
              <w:top w:val="single" w:sz="4" w:space="0" w:color="auto"/>
              <w:left w:val="nil"/>
              <w:bottom w:val="nil"/>
              <w:right w:val="single" w:sz="4" w:space="0" w:color="auto"/>
            </w:tcBorders>
            <w:shd w:val="clear" w:color="auto" w:fill="auto"/>
            <w:noWrap/>
            <w:vAlign w:val="bottom"/>
            <w:hideMark/>
          </w:tcPr>
          <w:p w14:paraId="753A86CA"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2007</w:t>
            </w:r>
          </w:p>
        </w:tc>
        <w:tc>
          <w:tcPr>
            <w:tcW w:w="403" w:type="pct"/>
            <w:tcBorders>
              <w:top w:val="single" w:sz="4" w:space="0" w:color="auto"/>
              <w:left w:val="nil"/>
              <w:bottom w:val="nil"/>
              <w:right w:val="single" w:sz="4" w:space="0" w:color="auto"/>
            </w:tcBorders>
            <w:shd w:val="clear" w:color="auto" w:fill="auto"/>
            <w:noWrap/>
            <w:vAlign w:val="bottom"/>
            <w:hideMark/>
          </w:tcPr>
          <w:p w14:paraId="6151E9EB"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2010</w:t>
            </w:r>
          </w:p>
        </w:tc>
        <w:tc>
          <w:tcPr>
            <w:tcW w:w="398" w:type="pct"/>
            <w:tcBorders>
              <w:top w:val="single" w:sz="4" w:space="0" w:color="auto"/>
              <w:left w:val="nil"/>
              <w:bottom w:val="nil"/>
              <w:right w:val="single" w:sz="4" w:space="0" w:color="auto"/>
            </w:tcBorders>
            <w:shd w:val="clear" w:color="auto" w:fill="auto"/>
            <w:noWrap/>
            <w:vAlign w:val="bottom"/>
            <w:hideMark/>
          </w:tcPr>
          <w:p w14:paraId="1E87C400" w14:textId="77777777" w:rsidR="00AC1549" w:rsidRPr="00F64681" w:rsidRDefault="00AC1549" w:rsidP="00AC1549">
            <w:pPr>
              <w:spacing w:after="0" w:line="240" w:lineRule="auto"/>
              <w:ind w:firstLine="0"/>
              <w:jc w:val="center"/>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2013</w:t>
            </w:r>
          </w:p>
        </w:tc>
      </w:tr>
      <w:tr w:rsidR="00947FF6" w:rsidRPr="00F64681" w14:paraId="352282E0" w14:textId="77777777" w:rsidTr="003D4EEF">
        <w:trPr>
          <w:trHeight w:val="227"/>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14:paraId="42CE9728"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bottom"/>
            <w:hideMark/>
          </w:tcPr>
          <w:p w14:paraId="0A899FF8"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bottom"/>
            <w:hideMark/>
          </w:tcPr>
          <w:p w14:paraId="5CCA96AD"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bottom"/>
            <w:hideMark/>
          </w:tcPr>
          <w:p w14:paraId="630363C8"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bottom"/>
            <w:hideMark/>
          </w:tcPr>
          <w:p w14:paraId="1417CFF1"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bottom"/>
            <w:hideMark/>
          </w:tcPr>
          <w:p w14:paraId="709113AF"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bottom"/>
            <w:hideMark/>
          </w:tcPr>
          <w:p w14:paraId="08AD1730"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bottom"/>
            <w:hideMark/>
          </w:tcPr>
          <w:p w14:paraId="735F5497"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single" w:sz="4" w:space="0" w:color="auto"/>
              <w:right w:val="single" w:sz="4" w:space="0" w:color="auto"/>
            </w:tcBorders>
            <w:shd w:val="clear" w:color="auto" w:fill="auto"/>
            <w:noWrap/>
            <w:vAlign w:val="bottom"/>
            <w:hideMark/>
          </w:tcPr>
          <w:p w14:paraId="2B3D21FD"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98" w:type="pct"/>
            <w:tcBorders>
              <w:top w:val="nil"/>
              <w:left w:val="nil"/>
              <w:bottom w:val="single" w:sz="4" w:space="0" w:color="auto"/>
              <w:right w:val="single" w:sz="4" w:space="0" w:color="auto"/>
            </w:tcBorders>
            <w:shd w:val="clear" w:color="auto" w:fill="auto"/>
            <w:noWrap/>
            <w:vAlign w:val="bottom"/>
            <w:hideMark/>
          </w:tcPr>
          <w:p w14:paraId="634DA792"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r>
      <w:tr w:rsidR="00947FF6" w:rsidRPr="00F64681" w14:paraId="6C9EE833" w14:textId="77777777" w:rsidTr="003D4EEF">
        <w:trPr>
          <w:trHeight w:val="227"/>
        </w:trPr>
        <w:tc>
          <w:tcPr>
            <w:tcW w:w="1378" w:type="pct"/>
            <w:tcBorders>
              <w:top w:val="nil"/>
              <w:left w:val="single" w:sz="4" w:space="0" w:color="auto"/>
              <w:bottom w:val="nil"/>
              <w:right w:val="single" w:sz="4" w:space="0" w:color="auto"/>
            </w:tcBorders>
            <w:shd w:val="clear" w:color="auto" w:fill="auto"/>
            <w:noWrap/>
            <w:vAlign w:val="bottom"/>
          </w:tcPr>
          <w:p w14:paraId="1D781AE0" w14:textId="77777777" w:rsidR="00947FF6" w:rsidRPr="00F64681" w:rsidRDefault="00947FF6" w:rsidP="00AC1549">
            <w:pPr>
              <w:spacing w:after="0" w:line="240" w:lineRule="auto"/>
              <w:ind w:firstLine="0"/>
              <w:jc w:val="left"/>
              <w:rPr>
                <w:rFonts w:ascii="Times New Roman" w:eastAsia="Times New Roman" w:hAnsi="Times New Roman" w:cs="Times New Roman"/>
                <w:b/>
                <w:bCs/>
                <w:color w:val="000000"/>
                <w:sz w:val="20"/>
                <w:szCs w:val="20"/>
              </w:rPr>
            </w:pPr>
          </w:p>
        </w:tc>
        <w:tc>
          <w:tcPr>
            <w:tcW w:w="403" w:type="pct"/>
            <w:tcBorders>
              <w:top w:val="nil"/>
              <w:left w:val="nil"/>
              <w:bottom w:val="nil"/>
              <w:right w:val="single" w:sz="4" w:space="0" w:color="auto"/>
            </w:tcBorders>
            <w:shd w:val="clear" w:color="auto" w:fill="auto"/>
            <w:noWrap/>
            <w:vAlign w:val="bottom"/>
          </w:tcPr>
          <w:p w14:paraId="23ABB38E"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0D142090"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5831DCD9"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0BF254F1"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6AB14870"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2E34D4F1"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3BD9FCBD"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34C1BAAC"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398" w:type="pct"/>
            <w:tcBorders>
              <w:top w:val="nil"/>
              <w:left w:val="nil"/>
              <w:bottom w:val="nil"/>
              <w:right w:val="single" w:sz="4" w:space="0" w:color="auto"/>
            </w:tcBorders>
            <w:shd w:val="clear" w:color="auto" w:fill="auto"/>
            <w:noWrap/>
            <w:vAlign w:val="bottom"/>
          </w:tcPr>
          <w:p w14:paraId="0723346D"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r>
      <w:tr w:rsidR="00947FF6" w:rsidRPr="00F64681" w14:paraId="7409DDA6" w14:textId="77777777" w:rsidTr="003D4EEF">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0803A85D" w14:textId="77777777" w:rsidR="00AC1549" w:rsidRPr="00F64681" w:rsidRDefault="00AC1549" w:rsidP="00AC1549">
            <w:pPr>
              <w:spacing w:after="0" w:line="240" w:lineRule="auto"/>
              <w:ind w:firstLine="0"/>
              <w:jc w:val="left"/>
              <w:rPr>
                <w:rFonts w:ascii="Times New Roman" w:eastAsia="Times New Roman" w:hAnsi="Times New Roman" w:cs="Times New Roman"/>
                <w:b/>
                <w:bCs/>
                <w:color w:val="000000"/>
                <w:sz w:val="20"/>
                <w:szCs w:val="20"/>
              </w:rPr>
            </w:pPr>
            <w:r w:rsidRPr="00F64681">
              <w:rPr>
                <w:rFonts w:ascii="Times New Roman" w:eastAsia="Times New Roman" w:hAnsi="Times New Roman" w:cs="Times New Roman"/>
                <w:b/>
                <w:bCs/>
                <w:color w:val="000000"/>
                <w:sz w:val="20"/>
                <w:szCs w:val="20"/>
              </w:rPr>
              <w:t>Share of total assets</w:t>
            </w:r>
          </w:p>
        </w:tc>
        <w:tc>
          <w:tcPr>
            <w:tcW w:w="403" w:type="pct"/>
            <w:tcBorders>
              <w:top w:val="nil"/>
              <w:left w:val="nil"/>
              <w:bottom w:val="nil"/>
              <w:right w:val="single" w:sz="4" w:space="0" w:color="auto"/>
            </w:tcBorders>
            <w:shd w:val="clear" w:color="auto" w:fill="auto"/>
            <w:noWrap/>
            <w:vAlign w:val="bottom"/>
            <w:hideMark/>
          </w:tcPr>
          <w:p w14:paraId="0F5EBB39"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40413F77"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222C9631"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238AA71A"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193946FF"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4565611B"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5D4B12B0"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2418C786"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98" w:type="pct"/>
            <w:tcBorders>
              <w:top w:val="nil"/>
              <w:left w:val="nil"/>
              <w:bottom w:val="nil"/>
              <w:right w:val="single" w:sz="4" w:space="0" w:color="auto"/>
            </w:tcBorders>
            <w:shd w:val="clear" w:color="auto" w:fill="auto"/>
            <w:noWrap/>
            <w:vAlign w:val="bottom"/>
            <w:hideMark/>
          </w:tcPr>
          <w:p w14:paraId="65AB347F"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r>
      <w:tr w:rsidR="003D4EEF" w:rsidRPr="00F64681" w14:paraId="056FEE2E"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398930A0" w14:textId="77777777" w:rsidR="003D4EEF" w:rsidRPr="00F64681" w:rsidRDefault="003D4EEF" w:rsidP="003D4EEF">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Primary residence</w:t>
            </w:r>
          </w:p>
        </w:tc>
        <w:tc>
          <w:tcPr>
            <w:tcW w:w="403" w:type="pct"/>
            <w:tcBorders>
              <w:top w:val="nil"/>
              <w:left w:val="nil"/>
              <w:bottom w:val="nil"/>
              <w:right w:val="single" w:sz="4" w:space="0" w:color="auto"/>
            </w:tcBorders>
            <w:shd w:val="clear" w:color="auto" w:fill="auto"/>
            <w:noWrap/>
            <w:vAlign w:val="center"/>
            <w:hideMark/>
          </w:tcPr>
          <w:p w14:paraId="5F1B45C3" w14:textId="5F66FC8F" w:rsidR="003D4EEF" w:rsidRPr="00CF4014" w:rsidRDefault="003D4EEF" w:rsidP="00CF4014">
            <w:pPr>
              <w:spacing w:after="0" w:line="240" w:lineRule="auto"/>
              <w:ind w:firstLine="0"/>
              <w:jc w:val="right"/>
              <w:rPr>
                <w:rFonts w:eastAsia="Calibri" w:cs="Times New Roman"/>
                <w:color w:val="000000"/>
                <w:sz w:val="20"/>
                <w:szCs w:val="20"/>
              </w:rPr>
            </w:pPr>
            <w:r w:rsidRPr="00CF4014">
              <w:rPr>
                <w:i/>
                <w:iCs/>
                <w:color w:val="000000"/>
                <w:sz w:val="20"/>
                <w:szCs w:val="20"/>
              </w:rPr>
              <w:t>0.03</w:t>
            </w:r>
          </w:p>
        </w:tc>
        <w:tc>
          <w:tcPr>
            <w:tcW w:w="403" w:type="pct"/>
            <w:tcBorders>
              <w:top w:val="nil"/>
              <w:left w:val="nil"/>
              <w:bottom w:val="nil"/>
              <w:right w:val="single" w:sz="4" w:space="0" w:color="auto"/>
            </w:tcBorders>
            <w:shd w:val="clear" w:color="auto" w:fill="auto"/>
            <w:noWrap/>
            <w:vAlign w:val="center"/>
            <w:hideMark/>
          </w:tcPr>
          <w:p w14:paraId="3450294D" w14:textId="72D9C094"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-0.11</w:t>
            </w:r>
          </w:p>
        </w:tc>
        <w:tc>
          <w:tcPr>
            <w:tcW w:w="403" w:type="pct"/>
            <w:tcBorders>
              <w:top w:val="nil"/>
              <w:left w:val="nil"/>
              <w:bottom w:val="nil"/>
              <w:right w:val="single" w:sz="4" w:space="0" w:color="auto"/>
            </w:tcBorders>
            <w:shd w:val="clear" w:color="auto" w:fill="auto"/>
            <w:noWrap/>
            <w:vAlign w:val="center"/>
            <w:hideMark/>
          </w:tcPr>
          <w:p w14:paraId="024D3230" w14:textId="5FE34EE4"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-0.13</w:t>
            </w:r>
          </w:p>
        </w:tc>
        <w:tc>
          <w:tcPr>
            <w:tcW w:w="403" w:type="pct"/>
            <w:tcBorders>
              <w:top w:val="nil"/>
              <w:left w:val="nil"/>
              <w:bottom w:val="nil"/>
              <w:right w:val="single" w:sz="4" w:space="0" w:color="auto"/>
            </w:tcBorders>
            <w:shd w:val="clear" w:color="auto" w:fill="auto"/>
            <w:noWrap/>
            <w:vAlign w:val="center"/>
            <w:hideMark/>
          </w:tcPr>
          <w:p w14:paraId="668B0C4A" w14:textId="433174A9"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-0.14</w:t>
            </w:r>
          </w:p>
        </w:tc>
        <w:tc>
          <w:tcPr>
            <w:tcW w:w="403" w:type="pct"/>
            <w:tcBorders>
              <w:top w:val="nil"/>
              <w:left w:val="nil"/>
              <w:bottom w:val="nil"/>
              <w:right w:val="single" w:sz="4" w:space="0" w:color="auto"/>
            </w:tcBorders>
            <w:shd w:val="clear" w:color="auto" w:fill="auto"/>
            <w:noWrap/>
            <w:vAlign w:val="center"/>
            <w:hideMark/>
          </w:tcPr>
          <w:p w14:paraId="7F635D34" w14:textId="758440A9" w:rsidR="003D4EEF" w:rsidRPr="00CF4014" w:rsidRDefault="003D4EEF" w:rsidP="00CF4014">
            <w:pPr>
              <w:spacing w:after="0" w:line="240" w:lineRule="auto"/>
              <w:ind w:firstLine="0"/>
              <w:jc w:val="right"/>
              <w:rPr>
                <w:rFonts w:eastAsia="Times New Roman" w:cs="Times New Roman"/>
                <w:i/>
                <w:iCs/>
                <w:color w:val="000000"/>
                <w:sz w:val="20"/>
                <w:szCs w:val="20"/>
              </w:rPr>
            </w:pPr>
            <w:r w:rsidRPr="00CF4014">
              <w:rPr>
                <w:color w:val="000000"/>
                <w:sz w:val="20"/>
                <w:szCs w:val="20"/>
              </w:rPr>
              <w:t>-0.14</w:t>
            </w:r>
          </w:p>
        </w:tc>
        <w:tc>
          <w:tcPr>
            <w:tcW w:w="403" w:type="pct"/>
            <w:tcBorders>
              <w:top w:val="nil"/>
              <w:left w:val="nil"/>
              <w:bottom w:val="nil"/>
              <w:right w:val="single" w:sz="4" w:space="0" w:color="auto"/>
            </w:tcBorders>
            <w:shd w:val="clear" w:color="auto" w:fill="auto"/>
            <w:noWrap/>
            <w:vAlign w:val="center"/>
            <w:hideMark/>
          </w:tcPr>
          <w:p w14:paraId="21FBA16F" w14:textId="4FDA0D5E" w:rsidR="003D4EEF" w:rsidRPr="00CF4014" w:rsidRDefault="003D4EEF" w:rsidP="00CF4014">
            <w:pPr>
              <w:spacing w:after="0" w:line="240" w:lineRule="auto"/>
              <w:ind w:firstLine="0"/>
              <w:jc w:val="right"/>
              <w:rPr>
                <w:rFonts w:eastAsia="Times New Roman" w:cs="Times New Roman"/>
                <w:i/>
                <w:iCs/>
                <w:color w:val="000000"/>
                <w:sz w:val="20"/>
                <w:szCs w:val="20"/>
              </w:rPr>
            </w:pPr>
            <w:r w:rsidRPr="00CF4014">
              <w:rPr>
                <w:color w:val="000000"/>
                <w:sz w:val="20"/>
                <w:szCs w:val="20"/>
              </w:rPr>
              <w:t>-0.16</w:t>
            </w:r>
          </w:p>
        </w:tc>
        <w:tc>
          <w:tcPr>
            <w:tcW w:w="403" w:type="pct"/>
            <w:tcBorders>
              <w:top w:val="nil"/>
              <w:left w:val="nil"/>
              <w:bottom w:val="nil"/>
              <w:right w:val="single" w:sz="4" w:space="0" w:color="auto"/>
            </w:tcBorders>
            <w:shd w:val="clear" w:color="auto" w:fill="auto"/>
            <w:noWrap/>
            <w:vAlign w:val="center"/>
            <w:hideMark/>
          </w:tcPr>
          <w:p w14:paraId="4D6CD772" w14:textId="53AD4A4E"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-0.25</w:t>
            </w:r>
          </w:p>
        </w:tc>
        <w:tc>
          <w:tcPr>
            <w:tcW w:w="403" w:type="pct"/>
            <w:tcBorders>
              <w:top w:val="nil"/>
              <w:left w:val="nil"/>
              <w:bottom w:val="nil"/>
              <w:right w:val="single" w:sz="4" w:space="0" w:color="auto"/>
            </w:tcBorders>
            <w:shd w:val="clear" w:color="auto" w:fill="auto"/>
            <w:noWrap/>
            <w:vAlign w:val="center"/>
            <w:hideMark/>
          </w:tcPr>
          <w:p w14:paraId="63920C20" w14:textId="737DA5BC"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-0.26</w:t>
            </w:r>
          </w:p>
        </w:tc>
        <w:tc>
          <w:tcPr>
            <w:tcW w:w="398" w:type="pct"/>
            <w:tcBorders>
              <w:top w:val="nil"/>
              <w:left w:val="nil"/>
              <w:bottom w:val="nil"/>
              <w:right w:val="single" w:sz="4" w:space="0" w:color="auto"/>
            </w:tcBorders>
            <w:shd w:val="clear" w:color="auto" w:fill="auto"/>
            <w:noWrap/>
            <w:vAlign w:val="center"/>
            <w:hideMark/>
          </w:tcPr>
          <w:p w14:paraId="74E80E0D" w14:textId="222E3C93"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-0.25</w:t>
            </w:r>
          </w:p>
        </w:tc>
      </w:tr>
      <w:tr w:rsidR="003D4EEF" w:rsidRPr="00F64681" w14:paraId="433F776A"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32110C17" w14:textId="77777777" w:rsidR="003D4EEF" w:rsidRPr="00F64681" w:rsidRDefault="003D4EEF" w:rsidP="003D4EEF">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Other property</w:t>
            </w:r>
          </w:p>
        </w:tc>
        <w:tc>
          <w:tcPr>
            <w:tcW w:w="403" w:type="pct"/>
            <w:tcBorders>
              <w:top w:val="nil"/>
              <w:left w:val="nil"/>
              <w:bottom w:val="nil"/>
              <w:right w:val="single" w:sz="4" w:space="0" w:color="auto"/>
            </w:tcBorders>
            <w:shd w:val="clear" w:color="auto" w:fill="auto"/>
            <w:noWrap/>
            <w:vAlign w:val="center"/>
            <w:hideMark/>
          </w:tcPr>
          <w:p w14:paraId="53099CBB" w14:textId="5EB2ECDC"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0.34</w:t>
            </w:r>
          </w:p>
        </w:tc>
        <w:tc>
          <w:tcPr>
            <w:tcW w:w="403" w:type="pct"/>
            <w:tcBorders>
              <w:top w:val="nil"/>
              <w:left w:val="nil"/>
              <w:bottom w:val="nil"/>
              <w:right w:val="single" w:sz="4" w:space="0" w:color="auto"/>
            </w:tcBorders>
            <w:shd w:val="clear" w:color="auto" w:fill="auto"/>
            <w:noWrap/>
            <w:vAlign w:val="center"/>
            <w:hideMark/>
          </w:tcPr>
          <w:p w14:paraId="32CE8BA0" w14:textId="5243B8B4"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0.61</w:t>
            </w:r>
          </w:p>
        </w:tc>
        <w:tc>
          <w:tcPr>
            <w:tcW w:w="403" w:type="pct"/>
            <w:tcBorders>
              <w:top w:val="nil"/>
              <w:left w:val="nil"/>
              <w:bottom w:val="nil"/>
              <w:right w:val="single" w:sz="4" w:space="0" w:color="auto"/>
            </w:tcBorders>
            <w:shd w:val="clear" w:color="auto" w:fill="auto"/>
            <w:noWrap/>
            <w:vAlign w:val="center"/>
            <w:hideMark/>
          </w:tcPr>
          <w:p w14:paraId="38CF3CDC" w14:textId="425E0B86"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0.55</w:t>
            </w:r>
          </w:p>
        </w:tc>
        <w:tc>
          <w:tcPr>
            <w:tcW w:w="403" w:type="pct"/>
            <w:tcBorders>
              <w:top w:val="nil"/>
              <w:left w:val="nil"/>
              <w:bottom w:val="nil"/>
              <w:right w:val="single" w:sz="4" w:space="0" w:color="auto"/>
            </w:tcBorders>
            <w:shd w:val="clear" w:color="auto" w:fill="auto"/>
            <w:noWrap/>
            <w:vAlign w:val="center"/>
            <w:hideMark/>
          </w:tcPr>
          <w:p w14:paraId="015EA58F" w14:textId="19CDE891"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0.66</w:t>
            </w:r>
          </w:p>
        </w:tc>
        <w:tc>
          <w:tcPr>
            <w:tcW w:w="403" w:type="pct"/>
            <w:tcBorders>
              <w:top w:val="nil"/>
              <w:left w:val="nil"/>
              <w:bottom w:val="nil"/>
              <w:right w:val="single" w:sz="4" w:space="0" w:color="auto"/>
            </w:tcBorders>
            <w:shd w:val="clear" w:color="auto" w:fill="auto"/>
            <w:noWrap/>
            <w:vAlign w:val="center"/>
            <w:hideMark/>
          </w:tcPr>
          <w:p w14:paraId="27020610" w14:textId="73D890F2"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0.84</w:t>
            </w:r>
          </w:p>
        </w:tc>
        <w:tc>
          <w:tcPr>
            <w:tcW w:w="403" w:type="pct"/>
            <w:tcBorders>
              <w:top w:val="nil"/>
              <w:left w:val="nil"/>
              <w:bottom w:val="nil"/>
              <w:right w:val="single" w:sz="4" w:space="0" w:color="auto"/>
            </w:tcBorders>
            <w:shd w:val="clear" w:color="auto" w:fill="auto"/>
            <w:noWrap/>
            <w:vAlign w:val="center"/>
            <w:hideMark/>
          </w:tcPr>
          <w:p w14:paraId="13AF669D" w14:textId="1342B668"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0.65</w:t>
            </w:r>
          </w:p>
        </w:tc>
        <w:tc>
          <w:tcPr>
            <w:tcW w:w="403" w:type="pct"/>
            <w:tcBorders>
              <w:top w:val="nil"/>
              <w:left w:val="nil"/>
              <w:bottom w:val="nil"/>
              <w:right w:val="single" w:sz="4" w:space="0" w:color="auto"/>
            </w:tcBorders>
            <w:shd w:val="clear" w:color="auto" w:fill="auto"/>
            <w:noWrap/>
            <w:vAlign w:val="center"/>
            <w:hideMark/>
          </w:tcPr>
          <w:p w14:paraId="4B0048FF" w14:textId="4F7F5155"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0.95</w:t>
            </w:r>
          </w:p>
        </w:tc>
        <w:tc>
          <w:tcPr>
            <w:tcW w:w="403" w:type="pct"/>
            <w:tcBorders>
              <w:top w:val="nil"/>
              <w:left w:val="nil"/>
              <w:bottom w:val="nil"/>
              <w:right w:val="single" w:sz="4" w:space="0" w:color="auto"/>
            </w:tcBorders>
            <w:shd w:val="clear" w:color="auto" w:fill="auto"/>
            <w:noWrap/>
            <w:vAlign w:val="center"/>
            <w:hideMark/>
          </w:tcPr>
          <w:p w14:paraId="64FD4A6B" w14:textId="17987133"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0.86</w:t>
            </w:r>
          </w:p>
        </w:tc>
        <w:tc>
          <w:tcPr>
            <w:tcW w:w="398" w:type="pct"/>
            <w:tcBorders>
              <w:top w:val="nil"/>
              <w:left w:val="nil"/>
              <w:bottom w:val="nil"/>
              <w:right w:val="single" w:sz="4" w:space="0" w:color="auto"/>
            </w:tcBorders>
            <w:shd w:val="clear" w:color="auto" w:fill="auto"/>
            <w:noWrap/>
            <w:vAlign w:val="center"/>
            <w:hideMark/>
          </w:tcPr>
          <w:p w14:paraId="641CE30E" w14:textId="59259772"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0.58</w:t>
            </w:r>
          </w:p>
        </w:tc>
      </w:tr>
      <w:tr w:rsidR="003D4EEF" w:rsidRPr="00F64681" w14:paraId="6ED3FC82"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74D4E37D" w14:textId="77777777" w:rsidR="003D4EEF" w:rsidRPr="00F64681" w:rsidRDefault="003D4EEF" w:rsidP="003D4EEF">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Vehicles and other non-financial assets</w:t>
            </w:r>
          </w:p>
        </w:tc>
        <w:tc>
          <w:tcPr>
            <w:tcW w:w="403" w:type="pct"/>
            <w:tcBorders>
              <w:top w:val="nil"/>
              <w:left w:val="nil"/>
              <w:bottom w:val="nil"/>
              <w:right w:val="single" w:sz="4" w:space="0" w:color="auto"/>
            </w:tcBorders>
            <w:shd w:val="clear" w:color="auto" w:fill="auto"/>
            <w:noWrap/>
            <w:vAlign w:val="center"/>
            <w:hideMark/>
          </w:tcPr>
          <w:p w14:paraId="26282547" w14:textId="509C9832"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-0.60</w:t>
            </w:r>
          </w:p>
        </w:tc>
        <w:tc>
          <w:tcPr>
            <w:tcW w:w="403" w:type="pct"/>
            <w:tcBorders>
              <w:top w:val="nil"/>
              <w:left w:val="nil"/>
              <w:bottom w:val="nil"/>
              <w:right w:val="single" w:sz="4" w:space="0" w:color="auto"/>
            </w:tcBorders>
            <w:shd w:val="clear" w:color="auto" w:fill="auto"/>
            <w:noWrap/>
            <w:vAlign w:val="center"/>
            <w:hideMark/>
          </w:tcPr>
          <w:p w14:paraId="6D2AD9CD" w14:textId="4686BE35"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-0.49</w:t>
            </w:r>
          </w:p>
        </w:tc>
        <w:tc>
          <w:tcPr>
            <w:tcW w:w="403" w:type="pct"/>
            <w:tcBorders>
              <w:top w:val="nil"/>
              <w:left w:val="nil"/>
              <w:bottom w:val="nil"/>
              <w:right w:val="single" w:sz="4" w:space="0" w:color="auto"/>
            </w:tcBorders>
            <w:shd w:val="clear" w:color="auto" w:fill="auto"/>
            <w:noWrap/>
            <w:vAlign w:val="center"/>
            <w:hideMark/>
          </w:tcPr>
          <w:p w14:paraId="1FF2727A" w14:textId="22CEA308"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-0.48</w:t>
            </w:r>
          </w:p>
        </w:tc>
        <w:tc>
          <w:tcPr>
            <w:tcW w:w="403" w:type="pct"/>
            <w:tcBorders>
              <w:top w:val="nil"/>
              <w:left w:val="nil"/>
              <w:bottom w:val="nil"/>
              <w:right w:val="single" w:sz="4" w:space="0" w:color="auto"/>
            </w:tcBorders>
            <w:shd w:val="clear" w:color="auto" w:fill="auto"/>
            <w:noWrap/>
            <w:vAlign w:val="center"/>
            <w:hideMark/>
          </w:tcPr>
          <w:p w14:paraId="331E8677" w14:textId="02A6DED3"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-0.63</w:t>
            </w:r>
          </w:p>
        </w:tc>
        <w:tc>
          <w:tcPr>
            <w:tcW w:w="403" w:type="pct"/>
            <w:tcBorders>
              <w:top w:val="nil"/>
              <w:left w:val="nil"/>
              <w:bottom w:val="nil"/>
              <w:right w:val="single" w:sz="4" w:space="0" w:color="auto"/>
            </w:tcBorders>
            <w:shd w:val="clear" w:color="auto" w:fill="auto"/>
            <w:noWrap/>
            <w:vAlign w:val="center"/>
            <w:hideMark/>
          </w:tcPr>
          <w:p w14:paraId="35195C65" w14:textId="76AC6262"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-0.73</w:t>
            </w:r>
          </w:p>
        </w:tc>
        <w:tc>
          <w:tcPr>
            <w:tcW w:w="403" w:type="pct"/>
            <w:tcBorders>
              <w:top w:val="nil"/>
              <w:left w:val="nil"/>
              <w:bottom w:val="nil"/>
              <w:right w:val="single" w:sz="4" w:space="0" w:color="auto"/>
            </w:tcBorders>
            <w:shd w:val="clear" w:color="auto" w:fill="auto"/>
            <w:noWrap/>
            <w:vAlign w:val="center"/>
            <w:hideMark/>
          </w:tcPr>
          <w:p w14:paraId="28FA6E60" w14:textId="20E70A00"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-0.56</w:t>
            </w:r>
          </w:p>
        </w:tc>
        <w:tc>
          <w:tcPr>
            <w:tcW w:w="403" w:type="pct"/>
            <w:tcBorders>
              <w:top w:val="nil"/>
              <w:left w:val="nil"/>
              <w:bottom w:val="nil"/>
              <w:right w:val="single" w:sz="4" w:space="0" w:color="auto"/>
            </w:tcBorders>
            <w:shd w:val="clear" w:color="auto" w:fill="auto"/>
            <w:noWrap/>
            <w:vAlign w:val="center"/>
            <w:hideMark/>
          </w:tcPr>
          <w:p w14:paraId="2A6930FE" w14:textId="318C7EAC"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-0.62</w:t>
            </w:r>
          </w:p>
        </w:tc>
        <w:tc>
          <w:tcPr>
            <w:tcW w:w="403" w:type="pct"/>
            <w:tcBorders>
              <w:top w:val="nil"/>
              <w:left w:val="nil"/>
              <w:bottom w:val="nil"/>
              <w:right w:val="single" w:sz="4" w:space="0" w:color="auto"/>
            </w:tcBorders>
            <w:shd w:val="clear" w:color="auto" w:fill="auto"/>
            <w:noWrap/>
            <w:vAlign w:val="center"/>
            <w:hideMark/>
          </w:tcPr>
          <w:p w14:paraId="20894B21" w14:textId="531FD363"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-0.58</w:t>
            </w:r>
          </w:p>
        </w:tc>
        <w:tc>
          <w:tcPr>
            <w:tcW w:w="398" w:type="pct"/>
            <w:tcBorders>
              <w:top w:val="nil"/>
              <w:left w:val="nil"/>
              <w:bottom w:val="nil"/>
              <w:right w:val="single" w:sz="4" w:space="0" w:color="auto"/>
            </w:tcBorders>
            <w:shd w:val="clear" w:color="auto" w:fill="auto"/>
            <w:noWrap/>
            <w:vAlign w:val="center"/>
            <w:hideMark/>
          </w:tcPr>
          <w:p w14:paraId="4E13F612" w14:textId="4305CB55"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-0.62</w:t>
            </w:r>
          </w:p>
        </w:tc>
      </w:tr>
      <w:tr w:rsidR="003D4EEF" w:rsidRPr="00F64681" w14:paraId="6D610C84"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558AFD9D" w14:textId="77777777" w:rsidR="003D4EEF" w:rsidRPr="00F64681" w:rsidRDefault="003D4EEF" w:rsidP="003D4EEF">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Business equity</w:t>
            </w:r>
          </w:p>
        </w:tc>
        <w:tc>
          <w:tcPr>
            <w:tcW w:w="403" w:type="pct"/>
            <w:tcBorders>
              <w:top w:val="nil"/>
              <w:left w:val="nil"/>
              <w:bottom w:val="nil"/>
              <w:right w:val="single" w:sz="4" w:space="0" w:color="auto"/>
            </w:tcBorders>
            <w:shd w:val="clear" w:color="auto" w:fill="auto"/>
            <w:noWrap/>
            <w:vAlign w:val="center"/>
            <w:hideMark/>
          </w:tcPr>
          <w:p w14:paraId="50304993" w14:textId="19D014C7"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0.40</w:t>
            </w:r>
          </w:p>
        </w:tc>
        <w:tc>
          <w:tcPr>
            <w:tcW w:w="403" w:type="pct"/>
            <w:tcBorders>
              <w:top w:val="nil"/>
              <w:left w:val="nil"/>
              <w:bottom w:val="nil"/>
              <w:right w:val="single" w:sz="4" w:space="0" w:color="auto"/>
            </w:tcBorders>
            <w:shd w:val="clear" w:color="auto" w:fill="auto"/>
            <w:noWrap/>
            <w:vAlign w:val="center"/>
            <w:hideMark/>
          </w:tcPr>
          <w:p w14:paraId="67836890" w14:textId="1C4FB045"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0.50</w:t>
            </w:r>
          </w:p>
        </w:tc>
        <w:tc>
          <w:tcPr>
            <w:tcW w:w="403" w:type="pct"/>
            <w:tcBorders>
              <w:top w:val="nil"/>
              <w:left w:val="nil"/>
              <w:bottom w:val="nil"/>
              <w:right w:val="single" w:sz="4" w:space="0" w:color="auto"/>
            </w:tcBorders>
            <w:shd w:val="clear" w:color="auto" w:fill="auto"/>
            <w:noWrap/>
            <w:vAlign w:val="center"/>
            <w:hideMark/>
          </w:tcPr>
          <w:p w14:paraId="374F4630" w14:textId="40299964"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0.75</w:t>
            </w:r>
          </w:p>
        </w:tc>
        <w:tc>
          <w:tcPr>
            <w:tcW w:w="403" w:type="pct"/>
            <w:tcBorders>
              <w:top w:val="nil"/>
              <w:left w:val="nil"/>
              <w:bottom w:val="nil"/>
              <w:right w:val="single" w:sz="4" w:space="0" w:color="auto"/>
            </w:tcBorders>
            <w:shd w:val="clear" w:color="auto" w:fill="auto"/>
            <w:noWrap/>
            <w:vAlign w:val="center"/>
            <w:hideMark/>
          </w:tcPr>
          <w:p w14:paraId="77446C29" w14:textId="503F4893"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0.45</w:t>
            </w:r>
          </w:p>
        </w:tc>
        <w:tc>
          <w:tcPr>
            <w:tcW w:w="403" w:type="pct"/>
            <w:tcBorders>
              <w:top w:val="nil"/>
              <w:left w:val="nil"/>
              <w:bottom w:val="nil"/>
              <w:right w:val="single" w:sz="4" w:space="0" w:color="auto"/>
            </w:tcBorders>
            <w:shd w:val="clear" w:color="auto" w:fill="auto"/>
            <w:noWrap/>
            <w:vAlign w:val="center"/>
            <w:hideMark/>
          </w:tcPr>
          <w:p w14:paraId="16F6611A" w14:textId="14C32F6D"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1.00</w:t>
            </w:r>
          </w:p>
        </w:tc>
        <w:tc>
          <w:tcPr>
            <w:tcW w:w="403" w:type="pct"/>
            <w:tcBorders>
              <w:top w:val="nil"/>
              <w:left w:val="nil"/>
              <w:bottom w:val="nil"/>
              <w:right w:val="single" w:sz="4" w:space="0" w:color="auto"/>
            </w:tcBorders>
            <w:shd w:val="clear" w:color="auto" w:fill="auto"/>
            <w:noWrap/>
            <w:vAlign w:val="center"/>
            <w:hideMark/>
          </w:tcPr>
          <w:p w14:paraId="04F7CDD5" w14:textId="3AC56382"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0.80</w:t>
            </w:r>
          </w:p>
        </w:tc>
        <w:tc>
          <w:tcPr>
            <w:tcW w:w="403" w:type="pct"/>
            <w:tcBorders>
              <w:top w:val="nil"/>
              <w:left w:val="nil"/>
              <w:bottom w:val="nil"/>
              <w:right w:val="single" w:sz="4" w:space="0" w:color="auto"/>
            </w:tcBorders>
            <w:shd w:val="clear" w:color="auto" w:fill="auto"/>
            <w:noWrap/>
            <w:vAlign w:val="center"/>
            <w:hideMark/>
          </w:tcPr>
          <w:p w14:paraId="31A01E60" w14:textId="7CF14BB1"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1.38</w:t>
            </w:r>
          </w:p>
        </w:tc>
        <w:tc>
          <w:tcPr>
            <w:tcW w:w="403" w:type="pct"/>
            <w:tcBorders>
              <w:top w:val="nil"/>
              <w:left w:val="nil"/>
              <w:bottom w:val="nil"/>
              <w:right w:val="single" w:sz="4" w:space="0" w:color="auto"/>
            </w:tcBorders>
            <w:shd w:val="clear" w:color="auto" w:fill="auto"/>
            <w:noWrap/>
            <w:vAlign w:val="center"/>
            <w:hideMark/>
          </w:tcPr>
          <w:p w14:paraId="66BA12FA" w14:textId="081EC407"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1.06</w:t>
            </w:r>
          </w:p>
        </w:tc>
        <w:tc>
          <w:tcPr>
            <w:tcW w:w="398" w:type="pct"/>
            <w:tcBorders>
              <w:top w:val="nil"/>
              <w:left w:val="nil"/>
              <w:bottom w:val="nil"/>
              <w:right w:val="single" w:sz="4" w:space="0" w:color="auto"/>
            </w:tcBorders>
            <w:shd w:val="clear" w:color="auto" w:fill="auto"/>
            <w:noWrap/>
            <w:vAlign w:val="center"/>
            <w:hideMark/>
          </w:tcPr>
          <w:p w14:paraId="0B76F350" w14:textId="4F2E358B"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1.53</w:t>
            </w:r>
          </w:p>
        </w:tc>
      </w:tr>
      <w:tr w:rsidR="003D4EEF" w:rsidRPr="00F64681" w14:paraId="6567C228"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3F2A1698" w14:textId="77777777" w:rsidR="003D4EEF" w:rsidRPr="00F64681" w:rsidRDefault="003D4EEF" w:rsidP="003D4EEF">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Financial investment assets</w:t>
            </w:r>
          </w:p>
        </w:tc>
        <w:tc>
          <w:tcPr>
            <w:tcW w:w="403" w:type="pct"/>
            <w:tcBorders>
              <w:top w:val="nil"/>
              <w:left w:val="nil"/>
              <w:bottom w:val="nil"/>
              <w:right w:val="single" w:sz="4" w:space="0" w:color="auto"/>
            </w:tcBorders>
            <w:shd w:val="clear" w:color="auto" w:fill="auto"/>
            <w:noWrap/>
            <w:vAlign w:val="center"/>
            <w:hideMark/>
          </w:tcPr>
          <w:p w14:paraId="4CB19BC3" w14:textId="4C3049C8"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0.61</w:t>
            </w:r>
          </w:p>
        </w:tc>
        <w:tc>
          <w:tcPr>
            <w:tcW w:w="403" w:type="pct"/>
            <w:tcBorders>
              <w:top w:val="nil"/>
              <w:left w:val="nil"/>
              <w:bottom w:val="nil"/>
              <w:right w:val="single" w:sz="4" w:space="0" w:color="auto"/>
            </w:tcBorders>
            <w:shd w:val="clear" w:color="auto" w:fill="auto"/>
            <w:noWrap/>
            <w:vAlign w:val="center"/>
            <w:hideMark/>
          </w:tcPr>
          <w:p w14:paraId="54B159CF" w14:textId="436C1786"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0.49</w:t>
            </w:r>
          </w:p>
        </w:tc>
        <w:tc>
          <w:tcPr>
            <w:tcW w:w="403" w:type="pct"/>
            <w:tcBorders>
              <w:top w:val="nil"/>
              <w:left w:val="nil"/>
              <w:bottom w:val="nil"/>
              <w:right w:val="single" w:sz="4" w:space="0" w:color="auto"/>
            </w:tcBorders>
            <w:shd w:val="clear" w:color="auto" w:fill="auto"/>
            <w:noWrap/>
            <w:vAlign w:val="center"/>
            <w:hideMark/>
          </w:tcPr>
          <w:p w14:paraId="32CF4F77" w14:textId="40AE74B2"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0.52</w:t>
            </w:r>
          </w:p>
        </w:tc>
        <w:tc>
          <w:tcPr>
            <w:tcW w:w="403" w:type="pct"/>
            <w:tcBorders>
              <w:top w:val="nil"/>
              <w:left w:val="nil"/>
              <w:bottom w:val="nil"/>
              <w:right w:val="single" w:sz="4" w:space="0" w:color="auto"/>
            </w:tcBorders>
            <w:shd w:val="clear" w:color="auto" w:fill="auto"/>
            <w:noWrap/>
            <w:vAlign w:val="center"/>
            <w:hideMark/>
          </w:tcPr>
          <w:p w14:paraId="562845F8" w14:textId="73D80CBE"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0.76</w:t>
            </w:r>
          </w:p>
        </w:tc>
        <w:tc>
          <w:tcPr>
            <w:tcW w:w="403" w:type="pct"/>
            <w:tcBorders>
              <w:top w:val="nil"/>
              <w:left w:val="nil"/>
              <w:bottom w:val="nil"/>
              <w:right w:val="single" w:sz="4" w:space="0" w:color="auto"/>
            </w:tcBorders>
            <w:shd w:val="clear" w:color="auto" w:fill="auto"/>
            <w:noWrap/>
            <w:vAlign w:val="center"/>
            <w:hideMark/>
          </w:tcPr>
          <w:p w14:paraId="62112EB5" w14:textId="0B015F2A"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1.04</w:t>
            </w:r>
          </w:p>
        </w:tc>
        <w:tc>
          <w:tcPr>
            <w:tcW w:w="403" w:type="pct"/>
            <w:tcBorders>
              <w:top w:val="nil"/>
              <w:left w:val="nil"/>
              <w:bottom w:val="nil"/>
              <w:right w:val="single" w:sz="4" w:space="0" w:color="auto"/>
            </w:tcBorders>
            <w:shd w:val="clear" w:color="auto" w:fill="auto"/>
            <w:noWrap/>
            <w:vAlign w:val="center"/>
            <w:hideMark/>
          </w:tcPr>
          <w:p w14:paraId="4839BA02" w14:textId="4CB766EC"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0.75</w:t>
            </w:r>
          </w:p>
        </w:tc>
        <w:tc>
          <w:tcPr>
            <w:tcW w:w="403" w:type="pct"/>
            <w:tcBorders>
              <w:top w:val="nil"/>
              <w:left w:val="nil"/>
              <w:bottom w:val="nil"/>
              <w:right w:val="single" w:sz="4" w:space="0" w:color="auto"/>
            </w:tcBorders>
            <w:shd w:val="clear" w:color="auto" w:fill="auto"/>
            <w:noWrap/>
            <w:vAlign w:val="center"/>
            <w:hideMark/>
          </w:tcPr>
          <w:p w14:paraId="69A1B9E9" w14:textId="620F33B3"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0.97</w:t>
            </w:r>
          </w:p>
        </w:tc>
        <w:tc>
          <w:tcPr>
            <w:tcW w:w="403" w:type="pct"/>
            <w:tcBorders>
              <w:top w:val="nil"/>
              <w:left w:val="nil"/>
              <w:bottom w:val="nil"/>
              <w:right w:val="single" w:sz="4" w:space="0" w:color="auto"/>
            </w:tcBorders>
            <w:shd w:val="clear" w:color="auto" w:fill="auto"/>
            <w:noWrap/>
            <w:vAlign w:val="center"/>
            <w:hideMark/>
          </w:tcPr>
          <w:p w14:paraId="7C662204" w14:textId="2208A28D"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1.25</w:t>
            </w:r>
          </w:p>
        </w:tc>
        <w:tc>
          <w:tcPr>
            <w:tcW w:w="398" w:type="pct"/>
            <w:tcBorders>
              <w:top w:val="nil"/>
              <w:left w:val="nil"/>
              <w:bottom w:val="nil"/>
              <w:right w:val="single" w:sz="4" w:space="0" w:color="auto"/>
            </w:tcBorders>
            <w:shd w:val="clear" w:color="auto" w:fill="auto"/>
            <w:noWrap/>
            <w:vAlign w:val="center"/>
            <w:hideMark/>
          </w:tcPr>
          <w:p w14:paraId="7533F5C0" w14:textId="76A068C7"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1.22</w:t>
            </w:r>
          </w:p>
        </w:tc>
      </w:tr>
      <w:tr w:rsidR="003D4EEF" w:rsidRPr="00F64681" w14:paraId="5C467551"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589058AA" w14:textId="77777777" w:rsidR="003D4EEF" w:rsidRPr="00F64681" w:rsidRDefault="003D4EEF" w:rsidP="003D4EEF">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Transaction accounts</w:t>
            </w:r>
          </w:p>
        </w:tc>
        <w:tc>
          <w:tcPr>
            <w:tcW w:w="403" w:type="pct"/>
            <w:tcBorders>
              <w:top w:val="nil"/>
              <w:left w:val="nil"/>
              <w:bottom w:val="nil"/>
              <w:right w:val="single" w:sz="4" w:space="0" w:color="auto"/>
            </w:tcBorders>
            <w:shd w:val="clear" w:color="auto" w:fill="auto"/>
            <w:noWrap/>
            <w:vAlign w:val="center"/>
            <w:hideMark/>
          </w:tcPr>
          <w:p w14:paraId="34A64D52" w14:textId="7AD66B70"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-0.29</w:t>
            </w:r>
          </w:p>
        </w:tc>
        <w:tc>
          <w:tcPr>
            <w:tcW w:w="403" w:type="pct"/>
            <w:tcBorders>
              <w:top w:val="nil"/>
              <w:left w:val="nil"/>
              <w:bottom w:val="nil"/>
              <w:right w:val="single" w:sz="4" w:space="0" w:color="auto"/>
            </w:tcBorders>
            <w:shd w:val="clear" w:color="auto" w:fill="auto"/>
            <w:noWrap/>
            <w:vAlign w:val="center"/>
            <w:hideMark/>
          </w:tcPr>
          <w:p w14:paraId="6AF11B47" w14:textId="717A8792"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-0.13</w:t>
            </w:r>
          </w:p>
        </w:tc>
        <w:tc>
          <w:tcPr>
            <w:tcW w:w="403" w:type="pct"/>
            <w:tcBorders>
              <w:top w:val="nil"/>
              <w:left w:val="nil"/>
              <w:bottom w:val="nil"/>
              <w:right w:val="single" w:sz="4" w:space="0" w:color="auto"/>
            </w:tcBorders>
            <w:shd w:val="clear" w:color="auto" w:fill="auto"/>
            <w:noWrap/>
            <w:vAlign w:val="center"/>
            <w:hideMark/>
          </w:tcPr>
          <w:p w14:paraId="3EB0607D" w14:textId="6BF2B919"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-0.08</w:t>
            </w:r>
          </w:p>
        </w:tc>
        <w:tc>
          <w:tcPr>
            <w:tcW w:w="403" w:type="pct"/>
            <w:tcBorders>
              <w:top w:val="nil"/>
              <w:left w:val="nil"/>
              <w:bottom w:val="nil"/>
              <w:right w:val="single" w:sz="4" w:space="0" w:color="auto"/>
            </w:tcBorders>
            <w:shd w:val="clear" w:color="auto" w:fill="auto"/>
            <w:noWrap/>
            <w:vAlign w:val="center"/>
            <w:hideMark/>
          </w:tcPr>
          <w:p w14:paraId="0F727241" w14:textId="6631178A"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-0.13</w:t>
            </w:r>
          </w:p>
        </w:tc>
        <w:tc>
          <w:tcPr>
            <w:tcW w:w="403" w:type="pct"/>
            <w:tcBorders>
              <w:top w:val="nil"/>
              <w:left w:val="nil"/>
              <w:bottom w:val="nil"/>
              <w:right w:val="single" w:sz="4" w:space="0" w:color="auto"/>
            </w:tcBorders>
            <w:shd w:val="clear" w:color="auto" w:fill="auto"/>
            <w:noWrap/>
            <w:vAlign w:val="center"/>
            <w:hideMark/>
          </w:tcPr>
          <w:p w14:paraId="3495EF19" w14:textId="179C31D8"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-0.26</w:t>
            </w:r>
          </w:p>
        </w:tc>
        <w:tc>
          <w:tcPr>
            <w:tcW w:w="403" w:type="pct"/>
            <w:tcBorders>
              <w:top w:val="nil"/>
              <w:left w:val="nil"/>
              <w:bottom w:val="nil"/>
              <w:right w:val="single" w:sz="4" w:space="0" w:color="auto"/>
            </w:tcBorders>
            <w:shd w:val="clear" w:color="auto" w:fill="auto"/>
            <w:noWrap/>
            <w:vAlign w:val="center"/>
            <w:hideMark/>
          </w:tcPr>
          <w:p w14:paraId="7702507F" w14:textId="1319A4C5"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-0.10</w:t>
            </w:r>
          </w:p>
        </w:tc>
        <w:tc>
          <w:tcPr>
            <w:tcW w:w="403" w:type="pct"/>
            <w:tcBorders>
              <w:top w:val="nil"/>
              <w:left w:val="nil"/>
              <w:bottom w:val="nil"/>
              <w:right w:val="single" w:sz="4" w:space="0" w:color="auto"/>
            </w:tcBorders>
            <w:shd w:val="clear" w:color="auto" w:fill="auto"/>
            <w:noWrap/>
            <w:vAlign w:val="center"/>
            <w:hideMark/>
          </w:tcPr>
          <w:p w14:paraId="2ED6FDBE" w14:textId="0A9A67EF"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-0.08</w:t>
            </w:r>
          </w:p>
        </w:tc>
        <w:tc>
          <w:tcPr>
            <w:tcW w:w="403" w:type="pct"/>
            <w:tcBorders>
              <w:top w:val="nil"/>
              <w:left w:val="nil"/>
              <w:bottom w:val="nil"/>
              <w:right w:val="single" w:sz="4" w:space="0" w:color="auto"/>
            </w:tcBorders>
            <w:shd w:val="clear" w:color="auto" w:fill="auto"/>
            <w:noWrap/>
            <w:vAlign w:val="center"/>
            <w:hideMark/>
          </w:tcPr>
          <w:p w14:paraId="08D12131" w14:textId="5A7384AF"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-0.13</w:t>
            </w:r>
          </w:p>
        </w:tc>
        <w:tc>
          <w:tcPr>
            <w:tcW w:w="398" w:type="pct"/>
            <w:tcBorders>
              <w:top w:val="nil"/>
              <w:left w:val="nil"/>
              <w:bottom w:val="nil"/>
              <w:right w:val="single" w:sz="4" w:space="0" w:color="auto"/>
            </w:tcBorders>
            <w:shd w:val="clear" w:color="auto" w:fill="auto"/>
            <w:noWrap/>
            <w:vAlign w:val="center"/>
            <w:hideMark/>
          </w:tcPr>
          <w:p w14:paraId="59F30CFF" w14:textId="12662FB8"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-0.05</w:t>
            </w:r>
          </w:p>
        </w:tc>
      </w:tr>
      <w:tr w:rsidR="003D4EEF" w:rsidRPr="00F64681" w14:paraId="16024445"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160F86BC" w14:textId="77777777" w:rsidR="003D4EEF" w:rsidRPr="00F64681" w:rsidRDefault="003D4EEF" w:rsidP="003D4EEF">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Retirement and insurance assets</w:t>
            </w:r>
          </w:p>
        </w:tc>
        <w:tc>
          <w:tcPr>
            <w:tcW w:w="403" w:type="pct"/>
            <w:tcBorders>
              <w:top w:val="nil"/>
              <w:left w:val="nil"/>
              <w:bottom w:val="nil"/>
              <w:right w:val="single" w:sz="4" w:space="0" w:color="auto"/>
            </w:tcBorders>
            <w:shd w:val="clear" w:color="auto" w:fill="auto"/>
            <w:noWrap/>
            <w:vAlign w:val="center"/>
            <w:hideMark/>
          </w:tcPr>
          <w:p w14:paraId="6CB099C2" w14:textId="6A4B2B15"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0.35</w:t>
            </w:r>
          </w:p>
        </w:tc>
        <w:tc>
          <w:tcPr>
            <w:tcW w:w="403" w:type="pct"/>
            <w:tcBorders>
              <w:top w:val="nil"/>
              <w:left w:val="nil"/>
              <w:bottom w:val="nil"/>
              <w:right w:val="single" w:sz="4" w:space="0" w:color="auto"/>
            </w:tcBorders>
            <w:shd w:val="clear" w:color="auto" w:fill="auto"/>
            <w:noWrap/>
            <w:vAlign w:val="center"/>
            <w:hideMark/>
          </w:tcPr>
          <w:p w14:paraId="4E07A1E9" w14:textId="5DFB74AC"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0.44</w:t>
            </w:r>
          </w:p>
        </w:tc>
        <w:tc>
          <w:tcPr>
            <w:tcW w:w="403" w:type="pct"/>
            <w:tcBorders>
              <w:top w:val="nil"/>
              <w:left w:val="nil"/>
              <w:bottom w:val="nil"/>
              <w:right w:val="single" w:sz="4" w:space="0" w:color="auto"/>
            </w:tcBorders>
            <w:shd w:val="clear" w:color="auto" w:fill="auto"/>
            <w:noWrap/>
            <w:vAlign w:val="center"/>
            <w:hideMark/>
          </w:tcPr>
          <w:p w14:paraId="15DB39FE" w14:textId="2EEDB616"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0.31</w:t>
            </w:r>
          </w:p>
        </w:tc>
        <w:tc>
          <w:tcPr>
            <w:tcW w:w="403" w:type="pct"/>
            <w:tcBorders>
              <w:top w:val="nil"/>
              <w:left w:val="nil"/>
              <w:bottom w:val="nil"/>
              <w:right w:val="single" w:sz="4" w:space="0" w:color="auto"/>
            </w:tcBorders>
            <w:shd w:val="clear" w:color="auto" w:fill="auto"/>
            <w:noWrap/>
            <w:vAlign w:val="center"/>
            <w:hideMark/>
          </w:tcPr>
          <w:p w14:paraId="164C90A7" w14:textId="72F548D0"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0.44</w:t>
            </w:r>
          </w:p>
        </w:tc>
        <w:tc>
          <w:tcPr>
            <w:tcW w:w="403" w:type="pct"/>
            <w:tcBorders>
              <w:top w:val="nil"/>
              <w:left w:val="nil"/>
              <w:bottom w:val="nil"/>
              <w:right w:val="single" w:sz="4" w:space="0" w:color="auto"/>
            </w:tcBorders>
            <w:shd w:val="clear" w:color="auto" w:fill="auto"/>
            <w:noWrap/>
            <w:vAlign w:val="center"/>
            <w:hideMark/>
          </w:tcPr>
          <w:p w14:paraId="1256262C" w14:textId="184CE3DA"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0.37</w:t>
            </w:r>
          </w:p>
        </w:tc>
        <w:tc>
          <w:tcPr>
            <w:tcW w:w="403" w:type="pct"/>
            <w:tcBorders>
              <w:top w:val="nil"/>
              <w:left w:val="nil"/>
              <w:bottom w:val="nil"/>
              <w:right w:val="single" w:sz="4" w:space="0" w:color="auto"/>
            </w:tcBorders>
            <w:shd w:val="clear" w:color="auto" w:fill="auto"/>
            <w:noWrap/>
            <w:vAlign w:val="center"/>
            <w:hideMark/>
          </w:tcPr>
          <w:p w14:paraId="0E030EC0" w14:textId="6BD895A9"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0.68</w:t>
            </w:r>
          </w:p>
        </w:tc>
        <w:tc>
          <w:tcPr>
            <w:tcW w:w="403" w:type="pct"/>
            <w:tcBorders>
              <w:top w:val="nil"/>
              <w:left w:val="nil"/>
              <w:bottom w:val="nil"/>
              <w:right w:val="single" w:sz="4" w:space="0" w:color="auto"/>
            </w:tcBorders>
            <w:shd w:val="clear" w:color="auto" w:fill="auto"/>
            <w:noWrap/>
            <w:vAlign w:val="center"/>
            <w:hideMark/>
          </w:tcPr>
          <w:p w14:paraId="26598809" w14:textId="66F13D6F"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0.45</w:t>
            </w:r>
          </w:p>
        </w:tc>
        <w:tc>
          <w:tcPr>
            <w:tcW w:w="403" w:type="pct"/>
            <w:tcBorders>
              <w:top w:val="nil"/>
              <w:left w:val="nil"/>
              <w:bottom w:val="nil"/>
              <w:right w:val="single" w:sz="4" w:space="0" w:color="auto"/>
            </w:tcBorders>
            <w:shd w:val="clear" w:color="auto" w:fill="auto"/>
            <w:noWrap/>
            <w:vAlign w:val="center"/>
            <w:hideMark/>
          </w:tcPr>
          <w:p w14:paraId="53C48228" w14:textId="46890395"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0.64</w:t>
            </w:r>
          </w:p>
        </w:tc>
        <w:tc>
          <w:tcPr>
            <w:tcW w:w="398" w:type="pct"/>
            <w:tcBorders>
              <w:top w:val="nil"/>
              <w:left w:val="nil"/>
              <w:bottom w:val="nil"/>
              <w:right w:val="single" w:sz="4" w:space="0" w:color="auto"/>
            </w:tcBorders>
            <w:shd w:val="clear" w:color="auto" w:fill="auto"/>
            <w:noWrap/>
            <w:vAlign w:val="center"/>
            <w:hideMark/>
          </w:tcPr>
          <w:p w14:paraId="34C21DE9" w14:textId="77B655A4"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0.63</w:t>
            </w:r>
          </w:p>
        </w:tc>
      </w:tr>
      <w:tr w:rsidR="003D4EEF" w:rsidRPr="00F64681" w14:paraId="6BC247A0"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7001CFA0" w14:textId="77777777" w:rsidR="003D4EEF" w:rsidRPr="00F64681" w:rsidRDefault="003D4EEF" w:rsidP="003D4EEF">
            <w:pPr>
              <w:spacing w:after="0" w:line="240" w:lineRule="auto"/>
              <w:ind w:firstLine="0"/>
              <w:jc w:val="righ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N</w:t>
            </w:r>
          </w:p>
        </w:tc>
        <w:tc>
          <w:tcPr>
            <w:tcW w:w="403" w:type="pct"/>
            <w:tcBorders>
              <w:top w:val="nil"/>
              <w:left w:val="nil"/>
              <w:bottom w:val="nil"/>
              <w:right w:val="single" w:sz="4" w:space="0" w:color="auto"/>
            </w:tcBorders>
            <w:shd w:val="clear" w:color="auto" w:fill="auto"/>
            <w:noWrap/>
            <w:vAlign w:val="center"/>
            <w:hideMark/>
          </w:tcPr>
          <w:p w14:paraId="10870EAF" w14:textId="0D769D7B"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13,050</w:t>
            </w:r>
          </w:p>
        </w:tc>
        <w:tc>
          <w:tcPr>
            <w:tcW w:w="403" w:type="pct"/>
            <w:tcBorders>
              <w:top w:val="nil"/>
              <w:left w:val="nil"/>
              <w:bottom w:val="nil"/>
              <w:right w:val="single" w:sz="4" w:space="0" w:color="auto"/>
            </w:tcBorders>
            <w:shd w:val="clear" w:color="auto" w:fill="auto"/>
            <w:noWrap/>
            <w:vAlign w:val="center"/>
            <w:hideMark/>
          </w:tcPr>
          <w:p w14:paraId="284B163C" w14:textId="5D082397" w:rsidR="003D4EEF" w:rsidRPr="00CF4014" w:rsidRDefault="003D4EEF" w:rsidP="00CF4014">
            <w:pPr>
              <w:spacing w:after="0" w:line="240" w:lineRule="auto"/>
              <w:ind w:firstLine="0"/>
              <w:jc w:val="right"/>
              <w:rPr>
                <w:rFonts w:eastAsia="Calibri" w:cs="Times New Roman"/>
                <w:color w:val="000000"/>
                <w:sz w:val="20"/>
                <w:szCs w:val="20"/>
              </w:rPr>
            </w:pPr>
            <w:r w:rsidRPr="00CF4014">
              <w:rPr>
                <w:color w:val="000000"/>
                <w:sz w:val="20"/>
                <w:szCs w:val="20"/>
              </w:rPr>
              <w:t>15,732</w:t>
            </w:r>
          </w:p>
        </w:tc>
        <w:tc>
          <w:tcPr>
            <w:tcW w:w="403" w:type="pct"/>
            <w:tcBorders>
              <w:top w:val="nil"/>
              <w:left w:val="nil"/>
              <w:bottom w:val="nil"/>
              <w:right w:val="single" w:sz="4" w:space="0" w:color="auto"/>
            </w:tcBorders>
            <w:shd w:val="clear" w:color="auto" w:fill="auto"/>
            <w:noWrap/>
            <w:vAlign w:val="center"/>
            <w:hideMark/>
          </w:tcPr>
          <w:p w14:paraId="63A0BA49" w14:textId="65B4A795"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17,738</w:t>
            </w:r>
          </w:p>
        </w:tc>
        <w:tc>
          <w:tcPr>
            <w:tcW w:w="403" w:type="pct"/>
            <w:tcBorders>
              <w:top w:val="nil"/>
              <w:left w:val="nil"/>
              <w:bottom w:val="nil"/>
              <w:right w:val="single" w:sz="4" w:space="0" w:color="auto"/>
            </w:tcBorders>
            <w:shd w:val="clear" w:color="auto" w:fill="auto"/>
            <w:noWrap/>
            <w:vAlign w:val="center"/>
            <w:hideMark/>
          </w:tcPr>
          <w:p w14:paraId="28176F18" w14:textId="07CE59F6"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18,082</w:t>
            </w:r>
          </w:p>
        </w:tc>
        <w:tc>
          <w:tcPr>
            <w:tcW w:w="403" w:type="pct"/>
            <w:tcBorders>
              <w:top w:val="nil"/>
              <w:left w:val="nil"/>
              <w:bottom w:val="nil"/>
              <w:right w:val="single" w:sz="4" w:space="0" w:color="auto"/>
            </w:tcBorders>
            <w:shd w:val="clear" w:color="auto" w:fill="auto"/>
            <w:noWrap/>
            <w:vAlign w:val="center"/>
            <w:hideMark/>
          </w:tcPr>
          <w:p w14:paraId="260DA6C4" w14:textId="371C4315"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18,394</w:t>
            </w:r>
          </w:p>
        </w:tc>
        <w:tc>
          <w:tcPr>
            <w:tcW w:w="403" w:type="pct"/>
            <w:tcBorders>
              <w:top w:val="nil"/>
              <w:left w:val="nil"/>
              <w:bottom w:val="nil"/>
              <w:right w:val="single" w:sz="4" w:space="0" w:color="auto"/>
            </w:tcBorders>
            <w:shd w:val="clear" w:color="auto" w:fill="auto"/>
            <w:noWrap/>
            <w:vAlign w:val="center"/>
            <w:hideMark/>
          </w:tcPr>
          <w:p w14:paraId="74C365C5" w14:textId="6D22C5C6"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18,546</w:t>
            </w:r>
          </w:p>
        </w:tc>
        <w:tc>
          <w:tcPr>
            <w:tcW w:w="403" w:type="pct"/>
            <w:tcBorders>
              <w:top w:val="nil"/>
              <w:left w:val="nil"/>
              <w:bottom w:val="nil"/>
              <w:right w:val="single" w:sz="4" w:space="0" w:color="auto"/>
            </w:tcBorders>
            <w:shd w:val="clear" w:color="auto" w:fill="auto"/>
            <w:noWrap/>
            <w:vAlign w:val="center"/>
            <w:hideMark/>
          </w:tcPr>
          <w:p w14:paraId="07243C18" w14:textId="25E67261"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18,085</w:t>
            </w:r>
          </w:p>
        </w:tc>
        <w:tc>
          <w:tcPr>
            <w:tcW w:w="403" w:type="pct"/>
            <w:tcBorders>
              <w:top w:val="nil"/>
              <w:left w:val="nil"/>
              <w:bottom w:val="nil"/>
              <w:right w:val="single" w:sz="4" w:space="0" w:color="auto"/>
            </w:tcBorders>
            <w:shd w:val="clear" w:color="auto" w:fill="auto"/>
            <w:noWrap/>
            <w:vAlign w:val="center"/>
            <w:hideMark/>
          </w:tcPr>
          <w:p w14:paraId="14220C35" w14:textId="73A68E46"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28,221</w:t>
            </w:r>
          </w:p>
        </w:tc>
        <w:tc>
          <w:tcPr>
            <w:tcW w:w="398" w:type="pct"/>
            <w:tcBorders>
              <w:top w:val="nil"/>
              <w:left w:val="nil"/>
              <w:bottom w:val="nil"/>
              <w:right w:val="single" w:sz="4" w:space="0" w:color="auto"/>
            </w:tcBorders>
            <w:shd w:val="clear" w:color="auto" w:fill="auto"/>
            <w:noWrap/>
            <w:vAlign w:val="center"/>
            <w:hideMark/>
          </w:tcPr>
          <w:p w14:paraId="793B1C86" w14:textId="26D6D404" w:rsidR="003D4EEF" w:rsidRPr="00CF4014" w:rsidRDefault="003D4EEF" w:rsidP="00CF4014">
            <w:pPr>
              <w:spacing w:after="0" w:line="240" w:lineRule="auto"/>
              <w:ind w:firstLine="0"/>
              <w:jc w:val="right"/>
              <w:rPr>
                <w:rFonts w:eastAsia="Times New Roman" w:cs="Times New Roman"/>
                <w:color w:val="000000"/>
                <w:sz w:val="20"/>
                <w:szCs w:val="20"/>
              </w:rPr>
            </w:pPr>
            <w:r w:rsidRPr="00CF4014">
              <w:rPr>
                <w:color w:val="000000"/>
                <w:sz w:val="20"/>
                <w:szCs w:val="20"/>
              </w:rPr>
              <w:t>26,102</w:t>
            </w:r>
          </w:p>
        </w:tc>
      </w:tr>
      <w:tr w:rsidR="00947FF6" w:rsidRPr="00F64681" w14:paraId="3084A668" w14:textId="77777777" w:rsidTr="003D4EEF">
        <w:trPr>
          <w:trHeight w:val="227"/>
        </w:trPr>
        <w:tc>
          <w:tcPr>
            <w:tcW w:w="1378" w:type="pct"/>
            <w:tcBorders>
              <w:top w:val="nil"/>
              <w:left w:val="single" w:sz="4" w:space="0" w:color="auto"/>
              <w:bottom w:val="nil"/>
              <w:right w:val="single" w:sz="4" w:space="0" w:color="auto"/>
            </w:tcBorders>
            <w:shd w:val="clear" w:color="auto" w:fill="auto"/>
            <w:noWrap/>
            <w:vAlign w:val="bottom"/>
          </w:tcPr>
          <w:p w14:paraId="1F6F5D2C" w14:textId="77777777" w:rsidR="00947FF6" w:rsidRPr="00F64681" w:rsidRDefault="00947FF6" w:rsidP="00AC1549">
            <w:pPr>
              <w:spacing w:after="0" w:line="240" w:lineRule="auto"/>
              <w:ind w:firstLine="0"/>
              <w:jc w:val="left"/>
              <w:rPr>
                <w:rFonts w:ascii="Times New Roman" w:eastAsia="Times New Roman" w:hAnsi="Times New Roman" w:cs="Times New Roman"/>
                <w:b/>
                <w:bCs/>
                <w:color w:val="000000"/>
                <w:sz w:val="20"/>
                <w:szCs w:val="20"/>
              </w:rPr>
            </w:pPr>
          </w:p>
        </w:tc>
        <w:tc>
          <w:tcPr>
            <w:tcW w:w="403" w:type="pct"/>
            <w:tcBorders>
              <w:top w:val="nil"/>
              <w:left w:val="nil"/>
              <w:bottom w:val="nil"/>
              <w:right w:val="single" w:sz="4" w:space="0" w:color="auto"/>
            </w:tcBorders>
            <w:shd w:val="clear" w:color="auto" w:fill="auto"/>
            <w:noWrap/>
            <w:vAlign w:val="bottom"/>
          </w:tcPr>
          <w:p w14:paraId="0E561643"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17A0C170"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0D29A8E7"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124156C6"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6FAAADE3"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01DDD401"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361AEBA0"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41CE3AFC"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398" w:type="pct"/>
            <w:tcBorders>
              <w:top w:val="nil"/>
              <w:left w:val="nil"/>
              <w:bottom w:val="nil"/>
              <w:right w:val="single" w:sz="4" w:space="0" w:color="auto"/>
            </w:tcBorders>
            <w:shd w:val="clear" w:color="auto" w:fill="auto"/>
            <w:noWrap/>
            <w:vAlign w:val="bottom"/>
          </w:tcPr>
          <w:p w14:paraId="1FB9A892"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r>
      <w:tr w:rsidR="00947FF6" w:rsidRPr="00F64681" w14:paraId="61AF7FF0" w14:textId="77777777" w:rsidTr="003D4EEF">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1742A436" w14:textId="77777777" w:rsidR="00AC1549" w:rsidRPr="00F64681" w:rsidRDefault="00AC1549" w:rsidP="00AC1549">
            <w:pPr>
              <w:spacing w:after="0" w:line="240" w:lineRule="auto"/>
              <w:ind w:firstLine="0"/>
              <w:jc w:val="left"/>
              <w:rPr>
                <w:rFonts w:ascii="Times New Roman" w:eastAsia="Times New Roman" w:hAnsi="Times New Roman" w:cs="Times New Roman"/>
                <w:b/>
                <w:bCs/>
                <w:color w:val="000000"/>
                <w:sz w:val="20"/>
                <w:szCs w:val="20"/>
              </w:rPr>
            </w:pPr>
            <w:r w:rsidRPr="00F64681">
              <w:rPr>
                <w:rFonts w:ascii="Times New Roman" w:eastAsia="Times New Roman" w:hAnsi="Times New Roman" w:cs="Times New Roman"/>
                <w:b/>
                <w:bCs/>
                <w:color w:val="000000"/>
                <w:sz w:val="20"/>
                <w:szCs w:val="20"/>
              </w:rPr>
              <w:t>Share of total debt</w:t>
            </w:r>
          </w:p>
        </w:tc>
        <w:tc>
          <w:tcPr>
            <w:tcW w:w="403" w:type="pct"/>
            <w:tcBorders>
              <w:top w:val="nil"/>
              <w:left w:val="nil"/>
              <w:bottom w:val="nil"/>
              <w:right w:val="single" w:sz="4" w:space="0" w:color="auto"/>
            </w:tcBorders>
            <w:shd w:val="clear" w:color="auto" w:fill="auto"/>
            <w:noWrap/>
            <w:vAlign w:val="bottom"/>
            <w:hideMark/>
          </w:tcPr>
          <w:p w14:paraId="72A2726C"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5D0C8C06"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4564A682"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4154AB62"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683FA67E"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6CE30C15"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5D537970"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6666A89C"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98" w:type="pct"/>
            <w:tcBorders>
              <w:top w:val="nil"/>
              <w:left w:val="nil"/>
              <w:bottom w:val="nil"/>
              <w:right w:val="single" w:sz="4" w:space="0" w:color="auto"/>
            </w:tcBorders>
            <w:shd w:val="clear" w:color="auto" w:fill="auto"/>
            <w:noWrap/>
            <w:vAlign w:val="bottom"/>
            <w:hideMark/>
          </w:tcPr>
          <w:p w14:paraId="0B5F4A3B"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r>
      <w:tr w:rsidR="00CF4014" w:rsidRPr="00F64681" w14:paraId="5FF47A9C"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24CC1778" w14:textId="77777777" w:rsidR="00CF4014" w:rsidRPr="00F64681" w:rsidRDefault="00CF4014" w:rsidP="00CF4014">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 secured by primary residence</w:t>
            </w:r>
          </w:p>
        </w:tc>
        <w:tc>
          <w:tcPr>
            <w:tcW w:w="403" w:type="pct"/>
            <w:tcBorders>
              <w:top w:val="nil"/>
              <w:left w:val="nil"/>
              <w:bottom w:val="nil"/>
              <w:right w:val="single" w:sz="4" w:space="0" w:color="auto"/>
            </w:tcBorders>
            <w:shd w:val="clear" w:color="auto" w:fill="auto"/>
            <w:noWrap/>
            <w:vAlign w:val="center"/>
            <w:hideMark/>
          </w:tcPr>
          <w:p w14:paraId="44AD250B" w14:textId="2B44DDE4"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0.40</w:t>
            </w:r>
          </w:p>
        </w:tc>
        <w:tc>
          <w:tcPr>
            <w:tcW w:w="403" w:type="pct"/>
            <w:tcBorders>
              <w:top w:val="nil"/>
              <w:left w:val="nil"/>
              <w:bottom w:val="nil"/>
              <w:right w:val="single" w:sz="4" w:space="0" w:color="auto"/>
            </w:tcBorders>
            <w:shd w:val="clear" w:color="auto" w:fill="auto"/>
            <w:noWrap/>
            <w:vAlign w:val="center"/>
            <w:hideMark/>
          </w:tcPr>
          <w:p w14:paraId="4172F7A7" w14:textId="552D05ED"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0.41</w:t>
            </w:r>
          </w:p>
        </w:tc>
        <w:tc>
          <w:tcPr>
            <w:tcW w:w="403" w:type="pct"/>
            <w:tcBorders>
              <w:top w:val="nil"/>
              <w:left w:val="nil"/>
              <w:bottom w:val="nil"/>
              <w:right w:val="single" w:sz="4" w:space="0" w:color="auto"/>
            </w:tcBorders>
            <w:shd w:val="clear" w:color="auto" w:fill="auto"/>
            <w:noWrap/>
            <w:vAlign w:val="center"/>
            <w:hideMark/>
          </w:tcPr>
          <w:p w14:paraId="7293A7A5" w14:textId="04777DE3"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0.28</w:t>
            </w:r>
          </w:p>
        </w:tc>
        <w:tc>
          <w:tcPr>
            <w:tcW w:w="403" w:type="pct"/>
            <w:tcBorders>
              <w:top w:val="nil"/>
              <w:left w:val="nil"/>
              <w:bottom w:val="nil"/>
              <w:right w:val="single" w:sz="4" w:space="0" w:color="auto"/>
            </w:tcBorders>
            <w:shd w:val="clear" w:color="auto" w:fill="auto"/>
            <w:noWrap/>
            <w:vAlign w:val="center"/>
            <w:hideMark/>
          </w:tcPr>
          <w:p w14:paraId="259346F3" w14:textId="641A89FE"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0.38</w:t>
            </w:r>
          </w:p>
        </w:tc>
        <w:tc>
          <w:tcPr>
            <w:tcW w:w="403" w:type="pct"/>
            <w:tcBorders>
              <w:top w:val="nil"/>
              <w:left w:val="nil"/>
              <w:bottom w:val="nil"/>
              <w:right w:val="single" w:sz="4" w:space="0" w:color="auto"/>
            </w:tcBorders>
            <w:shd w:val="clear" w:color="auto" w:fill="auto"/>
            <w:noWrap/>
            <w:vAlign w:val="center"/>
            <w:hideMark/>
          </w:tcPr>
          <w:p w14:paraId="1E15A23C" w14:textId="73942E34"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0.43</w:t>
            </w:r>
          </w:p>
        </w:tc>
        <w:tc>
          <w:tcPr>
            <w:tcW w:w="403" w:type="pct"/>
            <w:tcBorders>
              <w:top w:val="nil"/>
              <w:left w:val="nil"/>
              <w:bottom w:val="nil"/>
              <w:right w:val="single" w:sz="4" w:space="0" w:color="auto"/>
            </w:tcBorders>
            <w:shd w:val="clear" w:color="auto" w:fill="auto"/>
            <w:noWrap/>
            <w:vAlign w:val="center"/>
            <w:hideMark/>
          </w:tcPr>
          <w:p w14:paraId="3EFD95FD" w14:textId="7C56A6C2"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0.28</w:t>
            </w:r>
          </w:p>
        </w:tc>
        <w:tc>
          <w:tcPr>
            <w:tcW w:w="403" w:type="pct"/>
            <w:tcBorders>
              <w:top w:val="nil"/>
              <w:left w:val="nil"/>
              <w:bottom w:val="nil"/>
              <w:right w:val="single" w:sz="4" w:space="0" w:color="auto"/>
            </w:tcBorders>
            <w:shd w:val="clear" w:color="auto" w:fill="auto"/>
            <w:noWrap/>
            <w:vAlign w:val="center"/>
            <w:hideMark/>
          </w:tcPr>
          <w:p w14:paraId="216FDB9C" w14:textId="2BA619E4"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0.33</w:t>
            </w:r>
          </w:p>
        </w:tc>
        <w:tc>
          <w:tcPr>
            <w:tcW w:w="403" w:type="pct"/>
            <w:tcBorders>
              <w:top w:val="nil"/>
              <w:left w:val="nil"/>
              <w:bottom w:val="nil"/>
              <w:right w:val="single" w:sz="4" w:space="0" w:color="auto"/>
            </w:tcBorders>
            <w:shd w:val="clear" w:color="auto" w:fill="auto"/>
            <w:noWrap/>
            <w:vAlign w:val="center"/>
            <w:hideMark/>
          </w:tcPr>
          <w:p w14:paraId="5B48BB33" w14:textId="01DFB03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0.30</w:t>
            </w:r>
          </w:p>
        </w:tc>
        <w:tc>
          <w:tcPr>
            <w:tcW w:w="398" w:type="pct"/>
            <w:tcBorders>
              <w:top w:val="nil"/>
              <w:left w:val="nil"/>
              <w:bottom w:val="nil"/>
              <w:right w:val="single" w:sz="4" w:space="0" w:color="auto"/>
            </w:tcBorders>
            <w:shd w:val="clear" w:color="auto" w:fill="auto"/>
            <w:noWrap/>
            <w:vAlign w:val="center"/>
            <w:hideMark/>
          </w:tcPr>
          <w:p w14:paraId="104270F7" w14:textId="1C957525"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0.44</w:t>
            </w:r>
          </w:p>
        </w:tc>
      </w:tr>
      <w:tr w:rsidR="00CF4014" w:rsidRPr="00F64681" w14:paraId="586DA517"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4110AC6E" w14:textId="77777777" w:rsidR="00CF4014" w:rsidRPr="00F64681" w:rsidRDefault="00CF4014" w:rsidP="00CF4014">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 secured by other property</w:t>
            </w:r>
          </w:p>
        </w:tc>
        <w:tc>
          <w:tcPr>
            <w:tcW w:w="403" w:type="pct"/>
            <w:tcBorders>
              <w:top w:val="nil"/>
              <w:left w:val="nil"/>
              <w:bottom w:val="nil"/>
              <w:right w:val="single" w:sz="4" w:space="0" w:color="auto"/>
            </w:tcBorders>
            <w:shd w:val="clear" w:color="auto" w:fill="auto"/>
            <w:noWrap/>
            <w:vAlign w:val="center"/>
            <w:hideMark/>
          </w:tcPr>
          <w:p w14:paraId="37B3D82B" w14:textId="395CB071"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1.12</w:t>
            </w:r>
          </w:p>
        </w:tc>
        <w:tc>
          <w:tcPr>
            <w:tcW w:w="403" w:type="pct"/>
            <w:tcBorders>
              <w:top w:val="nil"/>
              <w:left w:val="nil"/>
              <w:bottom w:val="nil"/>
              <w:right w:val="single" w:sz="4" w:space="0" w:color="auto"/>
            </w:tcBorders>
            <w:shd w:val="clear" w:color="auto" w:fill="auto"/>
            <w:noWrap/>
            <w:vAlign w:val="center"/>
            <w:hideMark/>
          </w:tcPr>
          <w:p w14:paraId="0978CC28" w14:textId="2655EC4C"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0.83</w:t>
            </w:r>
          </w:p>
        </w:tc>
        <w:tc>
          <w:tcPr>
            <w:tcW w:w="403" w:type="pct"/>
            <w:tcBorders>
              <w:top w:val="nil"/>
              <w:left w:val="nil"/>
              <w:bottom w:val="nil"/>
              <w:right w:val="single" w:sz="4" w:space="0" w:color="auto"/>
            </w:tcBorders>
            <w:shd w:val="clear" w:color="auto" w:fill="auto"/>
            <w:noWrap/>
            <w:vAlign w:val="center"/>
            <w:hideMark/>
          </w:tcPr>
          <w:p w14:paraId="7A3CC889" w14:textId="274252BF"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0.78</w:t>
            </w:r>
          </w:p>
        </w:tc>
        <w:tc>
          <w:tcPr>
            <w:tcW w:w="403" w:type="pct"/>
            <w:tcBorders>
              <w:top w:val="nil"/>
              <w:left w:val="nil"/>
              <w:bottom w:val="nil"/>
              <w:right w:val="single" w:sz="4" w:space="0" w:color="auto"/>
            </w:tcBorders>
            <w:shd w:val="clear" w:color="auto" w:fill="auto"/>
            <w:noWrap/>
            <w:vAlign w:val="center"/>
            <w:hideMark/>
          </w:tcPr>
          <w:p w14:paraId="08E61DD8" w14:textId="15FB794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0.84</w:t>
            </w:r>
          </w:p>
        </w:tc>
        <w:tc>
          <w:tcPr>
            <w:tcW w:w="403" w:type="pct"/>
            <w:tcBorders>
              <w:top w:val="nil"/>
              <w:left w:val="nil"/>
              <w:bottom w:val="nil"/>
              <w:right w:val="single" w:sz="4" w:space="0" w:color="auto"/>
            </w:tcBorders>
            <w:shd w:val="clear" w:color="auto" w:fill="auto"/>
            <w:noWrap/>
            <w:vAlign w:val="center"/>
            <w:hideMark/>
          </w:tcPr>
          <w:p w14:paraId="7F13947F" w14:textId="3EE66A42"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1.09</w:t>
            </w:r>
          </w:p>
        </w:tc>
        <w:tc>
          <w:tcPr>
            <w:tcW w:w="403" w:type="pct"/>
            <w:tcBorders>
              <w:top w:val="nil"/>
              <w:left w:val="nil"/>
              <w:bottom w:val="nil"/>
              <w:right w:val="single" w:sz="4" w:space="0" w:color="auto"/>
            </w:tcBorders>
            <w:shd w:val="clear" w:color="auto" w:fill="auto"/>
            <w:noWrap/>
            <w:vAlign w:val="center"/>
            <w:hideMark/>
          </w:tcPr>
          <w:p w14:paraId="2D34D2B6" w14:textId="67D60487"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1.13</w:t>
            </w:r>
          </w:p>
        </w:tc>
        <w:tc>
          <w:tcPr>
            <w:tcW w:w="403" w:type="pct"/>
            <w:tcBorders>
              <w:top w:val="nil"/>
              <w:left w:val="nil"/>
              <w:bottom w:val="nil"/>
              <w:right w:val="single" w:sz="4" w:space="0" w:color="auto"/>
            </w:tcBorders>
            <w:shd w:val="clear" w:color="auto" w:fill="auto"/>
            <w:noWrap/>
            <w:vAlign w:val="center"/>
            <w:hideMark/>
          </w:tcPr>
          <w:p w14:paraId="5E844C48" w14:textId="64B4C5E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1.70</w:t>
            </w:r>
          </w:p>
        </w:tc>
        <w:tc>
          <w:tcPr>
            <w:tcW w:w="403" w:type="pct"/>
            <w:tcBorders>
              <w:top w:val="nil"/>
              <w:left w:val="nil"/>
              <w:bottom w:val="nil"/>
              <w:right w:val="single" w:sz="4" w:space="0" w:color="auto"/>
            </w:tcBorders>
            <w:shd w:val="clear" w:color="auto" w:fill="auto"/>
            <w:noWrap/>
            <w:vAlign w:val="center"/>
            <w:hideMark/>
          </w:tcPr>
          <w:p w14:paraId="146F60E4" w14:textId="2CE1B3FF"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1.74</w:t>
            </w:r>
          </w:p>
        </w:tc>
        <w:tc>
          <w:tcPr>
            <w:tcW w:w="398" w:type="pct"/>
            <w:tcBorders>
              <w:top w:val="nil"/>
              <w:left w:val="nil"/>
              <w:bottom w:val="nil"/>
              <w:right w:val="single" w:sz="4" w:space="0" w:color="auto"/>
            </w:tcBorders>
            <w:shd w:val="clear" w:color="auto" w:fill="auto"/>
            <w:noWrap/>
            <w:vAlign w:val="center"/>
            <w:hideMark/>
          </w:tcPr>
          <w:p w14:paraId="0FE4D28A" w14:textId="7C34B751"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0.71</w:t>
            </w:r>
          </w:p>
        </w:tc>
      </w:tr>
      <w:tr w:rsidR="00CF4014" w:rsidRPr="00F64681" w14:paraId="61CE931A"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01633C99" w14:textId="77777777" w:rsidR="00CF4014" w:rsidRPr="00F64681" w:rsidRDefault="00CF4014" w:rsidP="00CF4014">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Instalment debt</w:t>
            </w:r>
          </w:p>
        </w:tc>
        <w:tc>
          <w:tcPr>
            <w:tcW w:w="403" w:type="pct"/>
            <w:tcBorders>
              <w:top w:val="nil"/>
              <w:left w:val="nil"/>
              <w:bottom w:val="nil"/>
              <w:right w:val="single" w:sz="4" w:space="0" w:color="auto"/>
            </w:tcBorders>
            <w:shd w:val="clear" w:color="auto" w:fill="auto"/>
            <w:noWrap/>
            <w:vAlign w:val="center"/>
            <w:hideMark/>
          </w:tcPr>
          <w:p w14:paraId="571879DF" w14:textId="27845D69"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-0.46</w:t>
            </w:r>
          </w:p>
        </w:tc>
        <w:tc>
          <w:tcPr>
            <w:tcW w:w="403" w:type="pct"/>
            <w:tcBorders>
              <w:top w:val="nil"/>
              <w:left w:val="nil"/>
              <w:bottom w:val="nil"/>
              <w:right w:val="single" w:sz="4" w:space="0" w:color="auto"/>
            </w:tcBorders>
            <w:shd w:val="clear" w:color="auto" w:fill="auto"/>
            <w:noWrap/>
            <w:vAlign w:val="center"/>
            <w:hideMark/>
          </w:tcPr>
          <w:p w14:paraId="61083401" w14:textId="5237FE86"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-0.39</w:t>
            </w:r>
          </w:p>
        </w:tc>
        <w:tc>
          <w:tcPr>
            <w:tcW w:w="403" w:type="pct"/>
            <w:tcBorders>
              <w:top w:val="nil"/>
              <w:left w:val="nil"/>
              <w:bottom w:val="nil"/>
              <w:right w:val="single" w:sz="4" w:space="0" w:color="auto"/>
            </w:tcBorders>
            <w:shd w:val="clear" w:color="auto" w:fill="auto"/>
            <w:noWrap/>
            <w:vAlign w:val="center"/>
            <w:hideMark/>
          </w:tcPr>
          <w:p w14:paraId="12C0076C" w14:textId="41B66F2B"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-0.31</w:t>
            </w:r>
          </w:p>
        </w:tc>
        <w:tc>
          <w:tcPr>
            <w:tcW w:w="403" w:type="pct"/>
            <w:tcBorders>
              <w:top w:val="nil"/>
              <w:left w:val="nil"/>
              <w:bottom w:val="nil"/>
              <w:right w:val="single" w:sz="4" w:space="0" w:color="auto"/>
            </w:tcBorders>
            <w:shd w:val="clear" w:color="auto" w:fill="auto"/>
            <w:noWrap/>
            <w:vAlign w:val="center"/>
            <w:hideMark/>
          </w:tcPr>
          <w:p w14:paraId="6BE973C7" w14:textId="65AF9AD7"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-0.35</w:t>
            </w:r>
          </w:p>
        </w:tc>
        <w:tc>
          <w:tcPr>
            <w:tcW w:w="403" w:type="pct"/>
            <w:tcBorders>
              <w:top w:val="nil"/>
              <w:left w:val="nil"/>
              <w:bottom w:val="nil"/>
              <w:right w:val="single" w:sz="4" w:space="0" w:color="auto"/>
            </w:tcBorders>
            <w:shd w:val="clear" w:color="auto" w:fill="auto"/>
            <w:noWrap/>
            <w:vAlign w:val="center"/>
            <w:hideMark/>
          </w:tcPr>
          <w:p w14:paraId="760B8650" w14:textId="11905413"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-0.39</w:t>
            </w:r>
          </w:p>
        </w:tc>
        <w:tc>
          <w:tcPr>
            <w:tcW w:w="403" w:type="pct"/>
            <w:tcBorders>
              <w:top w:val="nil"/>
              <w:left w:val="nil"/>
              <w:bottom w:val="nil"/>
              <w:right w:val="single" w:sz="4" w:space="0" w:color="auto"/>
            </w:tcBorders>
            <w:shd w:val="clear" w:color="auto" w:fill="auto"/>
            <w:noWrap/>
            <w:vAlign w:val="center"/>
            <w:hideMark/>
          </w:tcPr>
          <w:p w14:paraId="332C8FFE" w14:textId="432147F0"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-0.35</w:t>
            </w:r>
          </w:p>
        </w:tc>
        <w:tc>
          <w:tcPr>
            <w:tcW w:w="403" w:type="pct"/>
            <w:tcBorders>
              <w:top w:val="nil"/>
              <w:left w:val="nil"/>
              <w:bottom w:val="nil"/>
              <w:right w:val="single" w:sz="4" w:space="0" w:color="auto"/>
            </w:tcBorders>
            <w:shd w:val="clear" w:color="auto" w:fill="auto"/>
            <w:noWrap/>
            <w:vAlign w:val="center"/>
            <w:hideMark/>
          </w:tcPr>
          <w:p w14:paraId="4F9CD086" w14:textId="77958A28"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-0.43</w:t>
            </w:r>
          </w:p>
        </w:tc>
        <w:tc>
          <w:tcPr>
            <w:tcW w:w="403" w:type="pct"/>
            <w:tcBorders>
              <w:top w:val="nil"/>
              <w:left w:val="nil"/>
              <w:bottom w:val="nil"/>
              <w:right w:val="single" w:sz="4" w:space="0" w:color="auto"/>
            </w:tcBorders>
            <w:shd w:val="clear" w:color="auto" w:fill="auto"/>
            <w:noWrap/>
            <w:vAlign w:val="center"/>
            <w:hideMark/>
          </w:tcPr>
          <w:p w14:paraId="4DF888EF" w14:textId="01513D9A"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-0.45</w:t>
            </w:r>
          </w:p>
        </w:tc>
        <w:tc>
          <w:tcPr>
            <w:tcW w:w="398" w:type="pct"/>
            <w:tcBorders>
              <w:top w:val="nil"/>
              <w:left w:val="nil"/>
              <w:bottom w:val="nil"/>
              <w:right w:val="single" w:sz="4" w:space="0" w:color="auto"/>
            </w:tcBorders>
            <w:shd w:val="clear" w:color="auto" w:fill="auto"/>
            <w:noWrap/>
            <w:vAlign w:val="center"/>
            <w:hideMark/>
          </w:tcPr>
          <w:p w14:paraId="52AA1403" w14:textId="4EA8B7B0"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-0.44</w:t>
            </w:r>
          </w:p>
        </w:tc>
      </w:tr>
      <w:tr w:rsidR="00CF4014" w:rsidRPr="00F64681" w14:paraId="2FEA5627"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4CEE2862" w14:textId="77777777" w:rsidR="00CF4014" w:rsidRPr="00F64681" w:rsidRDefault="00CF4014" w:rsidP="00CF4014">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Credit card balances</w:t>
            </w:r>
          </w:p>
        </w:tc>
        <w:tc>
          <w:tcPr>
            <w:tcW w:w="403" w:type="pct"/>
            <w:tcBorders>
              <w:top w:val="nil"/>
              <w:left w:val="nil"/>
              <w:bottom w:val="nil"/>
              <w:right w:val="single" w:sz="4" w:space="0" w:color="auto"/>
            </w:tcBorders>
            <w:shd w:val="clear" w:color="auto" w:fill="auto"/>
            <w:noWrap/>
            <w:vAlign w:val="center"/>
            <w:hideMark/>
          </w:tcPr>
          <w:p w14:paraId="67900C91" w14:textId="2768A15D"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-0.32</w:t>
            </w:r>
          </w:p>
        </w:tc>
        <w:tc>
          <w:tcPr>
            <w:tcW w:w="403" w:type="pct"/>
            <w:tcBorders>
              <w:top w:val="nil"/>
              <w:left w:val="nil"/>
              <w:bottom w:val="nil"/>
              <w:right w:val="single" w:sz="4" w:space="0" w:color="auto"/>
            </w:tcBorders>
            <w:shd w:val="clear" w:color="auto" w:fill="auto"/>
            <w:noWrap/>
            <w:vAlign w:val="center"/>
            <w:hideMark/>
          </w:tcPr>
          <w:p w14:paraId="1C3F1622" w14:textId="37D9B1ED"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-0.32</w:t>
            </w:r>
          </w:p>
        </w:tc>
        <w:tc>
          <w:tcPr>
            <w:tcW w:w="403" w:type="pct"/>
            <w:tcBorders>
              <w:top w:val="nil"/>
              <w:left w:val="nil"/>
              <w:bottom w:val="nil"/>
              <w:right w:val="single" w:sz="4" w:space="0" w:color="auto"/>
            </w:tcBorders>
            <w:shd w:val="clear" w:color="auto" w:fill="auto"/>
            <w:noWrap/>
            <w:vAlign w:val="center"/>
            <w:hideMark/>
          </w:tcPr>
          <w:p w14:paraId="3B40C8B4" w14:textId="47EAA4B9"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-0.20</w:t>
            </w:r>
          </w:p>
        </w:tc>
        <w:tc>
          <w:tcPr>
            <w:tcW w:w="403" w:type="pct"/>
            <w:tcBorders>
              <w:top w:val="nil"/>
              <w:left w:val="nil"/>
              <w:bottom w:val="nil"/>
              <w:right w:val="single" w:sz="4" w:space="0" w:color="auto"/>
            </w:tcBorders>
            <w:shd w:val="clear" w:color="auto" w:fill="auto"/>
            <w:noWrap/>
            <w:vAlign w:val="center"/>
            <w:hideMark/>
          </w:tcPr>
          <w:p w14:paraId="3F607DA1" w14:textId="0FA469B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-0.34</w:t>
            </w:r>
          </w:p>
        </w:tc>
        <w:tc>
          <w:tcPr>
            <w:tcW w:w="403" w:type="pct"/>
            <w:tcBorders>
              <w:top w:val="nil"/>
              <w:left w:val="nil"/>
              <w:bottom w:val="nil"/>
              <w:right w:val="single" w:sz="4" w:space="0" w:color="auto"/>
            </w:tcBorders>
            <w:shd w:val="clear" w:color="auto" w:fill="auto"/>
            <w:noWrap/>
            <w:vAlign w:val="center"/>
            <w:hideMark/>
          </w:tcPr>
          <w:p w14:paraId="73C053F7" w14:textId="106D2FE8"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-0.41</w:t>
            </w:r>
          </w:p>
        </w:tc>
        <w:tc>
          <w:tcPr>
            <w:tcW w:w="403" w:type="pct"/>
            <w:tcBorders>
              <w:top w:val="nil"/>
              <w:left w:val="nil"/>
              <w:bottom w:val="nil"/>
              <w:right w:val="single" w:sz="4" w:space="0" w:color="auto"/>
            </w:tcBorders>
            <w:shd w:val="clear" w:color="auto" w:fill="auto"/>
            <w:noWrap/>
            <w:vAlign w:val="center"/>
            <w:hideMark/>
          </w:tcPr>
          <w:p w14:paraId="346219B3" w14:textId="1BE62A7A"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-0.25</w:t>
            </w:r>
          </w:p>
        </w:tc>
        <w:tc>
          <w:tcPr>
            <w:tcW w:w="403" w:type="pct"/>
            <w:tcBorders>
              <w:top w:val="nil"/>
              <w:left w:val="nil"/>
              <w:bottom w:val="nil"/>
              <w:right w:val="single" w:sz="4" w:space="0" w:color="auto"/>
            </w:tcBorders>
            <w:shd w:val="clear" w:color="auto" w:fill="auto"/>
            <w:noWrap/>
            <w:vAlign w:val="center"/>
            <w:hideMark/>
          </w:tcPr>
          <w:p w14:paraId="3280C251" w14:textId="39678CC8"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-0.40</w:t>
            </w:r>
          </w:p>
        </w:tc>
        <w:tc>
          <w:tcPr>
            <w:tcW w:w="403" w:type="pct"/>
            <w:tcBorders>
              <w:top w:val="nil"/>
              <w:left w:val="nil"/>
              <w:bottom w:val="nil"/>
              <w:right w:val="single" w:sz="4" w:space="0" w:color="auto"/>
            </w:tcBorders>
            <w:shd w:val="clear" w:color="auto" w:fill="auto"/>
            <w:noWrap/>
            <w:vAlign w:val="center"/>
            <w:hideMark/>
          </w:tcPr>
          <w:p w14:paraId="10AB728C" w14:textId="4D71D096"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-0.29</w:t>
            </w:r>
          </w:p>
        </w:tc>
        <w:tc>
          <w:tcPr>
            <w:tcW w:w="398" w:type="pct"/>
            <w:tcBorders>
              <w:top w:val="nil"/>
              <w:left w:val="nil"/>
              <w:bottom w:val="nil"/>
              <w:right w:val="single" w:sz="4" w:space="0" w:color="auto"/>
            </w:tcBorders>
            <w:shd w:val="clear" w:color="auto" w:fill="auto"/>
            <w:noWrap/>
            <w:vAlign w:val="center"/>
            <w:hideMark/>
          </w:tcPr>
          <w:p w14:paraId="1C562586" w14:textId="3836FAD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-0.37</w:t>
            </w:r>
          </w:p>
        </w:tc>
      </w:tr>
      <w:tr w:rsidR="00CF4014" w:rsidRPr="00F64681" w14:paraId="55A5AB55"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4BF7F327" w14:textId="77777777" w:rsidR="00CF4014" w:rsidRPr="00F64681" w:rsidRDefault="00CF4014" w:rsidP="00CF4014">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Other types of debt</w:t>
            </w:r>
          </w:p>
        </w:tc>
        <w:tc>
          <w:tcPr>
            <w:tcW w:w="403" w:type="pct"/>
            <w:tcBorders>
              <w:top w:val="nil"/>
              <w:left w:val="nil"/>
              <w:bottom w:val="nil"/>
              <w:right w:val="single" w:sz="4" w:space="0" w:color="auto"/>
            </w:tcBorders>
            <w:shd w:val="clear" w:color="auto" w:fill="auto"/>
            <w:noWrap/>
            <w:vAlign w:val="center"/>
            <w:hideMark/>
          </w:tcPr>
          <w:p w14:paraId="023808F9" w14:textId="0E5F3325"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0.23</w:t>
            </w:r>
          </w:p>
        </w:tc>
        <w:tc>
          <w:tcPr>
            <w:tcW w:w="403" w:type="pct"/>
            <w:tcBorders>
              <w:top w:val="nil"/>
              <w:left w:val="nil"/>
              <w:bottom w:val="nil"/>
              <w:right w:val="single" w:sz="4" w:space="0" w:color="auto"/>
            </w:tcBorders>
            <w:shd w:val="clear" w:color="auto" w:fill="auto"/>
            <w:noWrap/>
            <w:vAlign w:val="center"/>
            <w:hideMark/>
          </w:tcPr>
          <w:p w14:paraId="3ABCD7DA" w14:textId="43C9A149" w:rsidR="00CF4014" w:rsidRPr="00CF4014" w:rsidRDefault="00CF4014" w:rsidP="00CF4014">
            <w:pPr>
              <w:spacing w:after="0" w:line="240" w:lineRule="auto"/>
              <w:ind w:firstLine="0"/>
              <w:jc w:val="right"/>
              <w:rPr>
                <w:rFonts w:eastAsia="Calibri" w:cs="Times New Roman"/>
                <w:color w:val="000000"/>
                <w:sz w:val="20"/>
                <w:szCs w:val="20"/>
              </w:rPr>
            </w:pPr>
            <w:r w:rsidRPr="00CF4014">
              <w:rPr>
                <w:i/>
                <w:iCs/>
                <w:color w:val="000000"/>
                <w:sz w:val="20"/>
                <w:szCs w:val="20"/>
              </w:rPr>
              <w:t>0.00</w:t>
            </w:r>
          </w:p>
        </w:tc>
        <w:tc>
          <w:tcPr>
            <w:tcW w:w="403" w:type="pct"/>
            <w:tcBorders>
              <w:top w:val="nil"/>
              <w:left w:val="nil"/>
              <w:bottom w:val="nil"/>
              <w:right w:val="single" w:sz="4" w:space="0" w:color="auto"/>
            </w:tcBorders>
            <w:shd w:val="clear" w:color="auto" w:fill="auto"/>
            <w:noWrap/>
            <w:vAlign w:val="center"/>
            <w:hideMark/>
          </w:tcPr>
          <w:p w14:paraId="79B1A428" w14:textId="2EF2E594"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i/>
                <w:iCs/>
                <w:color w:val="000000"/>
                <w:sz w:val="20"/>
                <w:szCs w:val="20"/>
              </w:rPr>
              <w:t>-0.06</w:t>
            </w:r>
          </w:p>
        </w:tc>
        <w:tc>
          <w:tcPr>
            <w:tcW w:w="403" w:type="pct"/>
            <w:tcBorders>
              <w:top w:val="nil"/>
              <w:left w:val="nil"/>
              <w:bottom w:val="nil"/>
              <w:right w:val="single" w:sz="4" w:space="0" w:color="auto"/>
            </w:tcBorders>
            <w:shd w:val="clear" w:color="auto" w:fill="auto"/>
            <w:noWrap/>
            <w:vAlign w:val="center"/>
            <w:hideMark/>
          </w:tcPr>
          <w:p w14:paraId="2EF37AD5" w14:textId="3224C136"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0.10</w:t>
            </w:r>
          </w:p>
        </w:tc>
        <w:tc>
          <w:tcPr>
            <w:tcW w:w="403" w:type="pct"/>
            <w:tcBorders>
              <w:top w:val="nil"/>
              <w:left w:val="nil"/>
              <w:bottom w:val="nil"/>
              <w:right w:val="single" w:sz="4" w:space="0" w:color="auto"/>
            </w:tcBorders>
            <w:shd w:val="clear" w:color="auto" w:fill="auto"/>
            <w:noWrap/>
            <w:vAlign w:val="center"/>
            <w:hideMark/>
          </w:tcPr>
          <w:p w14:paraId="4DBC1139" w14:textId="099FA0CE"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-0.02</w:t>
            </w:r>
          </w:p>
        </w:tc>
        <w:tc>
          <w:tcPr>
            <w:tcW w:w="403" w:type="pct"/>
            <w:tcBorders>
              <w:top w:val="nil"/>
              <w:left w:val="nil"/>
              <w:bottom w:val="nil"/>
              <w:right w:val="single" w:sz="4" w:space="0" w:color="auto"/>
            </w:tcBorders>
            <w:shd w:val="clear" w:color="auto" w:fill="auto"/>
            <w:noWrap/>
            <w:vAlign w:val="center"/>
            <w:hideMark/>
          </w:tcPr>
          <w:p w14:paraId="42ED9B5D" w14:textId="3B3B1FA5"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i/>
                <w:iCs/>
                <w:color w:val="000000"/>
                <w:sz w:val="20"/>
                <w:szCs w:val="20"/>
              </w:rPr>
              <w:t>0.08</w:t>
            </w:r>
          </w:p>
        </w:tc>
        <w:tc>
          <w:tcPr>
            <w:tcW w:w="403" w:type="pct"/>
            <w:tcBorders>
              <w:top w:val="nil"/>
              <w:left w:val="nil"/>
              <w:bottom w:val="nil"/>
              <w:right w:val="single" w:sz="4" w:space="0" w:color="auto"/>
            </w:tcBorders>
            <w:shd w:val="clear" w:color="auto" w:fill="auto"/>
            <w:noWrap/>
            <w:vAlign w:val="center"/>
            <w:hideMark/>
          </w:tcPr>
          <w:p w14:paraId="306E0897" w14:textId="54CBFE80"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-0.14</w:t>
            </w:r>
          </w:p>
        </w:tc>
        <w:tc>
          <w:tcPr>
            <w:tcW w:w="403" w:type="pct"/>
            <w:tcBorders>
              <w:top w:val="nil"/>
              <w:left w:val="nil"/>
              <w:bottom w:val="nil"/>
              <w:right w:val="single" w:sz="4" w:space="0" w:color="auto"/>
            </w:tcBorders>
            <w:shd w:val="clear" w:color="auto" w:fill="auto"/>
            <w:noWrap/>
            <w:vAlign w:val="center"/>
            <w:hideMark/>
          </w:tcPr>
          <w:p w14:paraId="084C5F7A" w14:textId="669A7CEA"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-0.13</w:t>
            </w:r>
          </w:p>
        </w:tc>
        <w:tc>
          <w:tcPr>
            <w:tcW w:w="398" w:type="pct"/>
            <w:tcBorders>
              <w:top w:val="nil"/>
              <w:left w:val="nil"/>
              <w:bottom w:val="nil"/>
              <w:right w:val="single" w:sz="4" w:space="0" w:color="auto"/>
            </w:tcBorders>
            <w:shd w:val="clear" w:color="auto" w:fill="auto"/>
            <w:noWrap/>
            <w:vAlign w:val="center"/>
            <w:hideMark/>
          </w:tcPr>
          <w:p w14:paraId="74F77DE5" w14:textId="3CEE890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i/>
                <w:iCs/>
                <w:color w:val="000000"/>
                <w:sz w:val="20"/>
                <w:szCs w:val="20"/>
              </w:rPr>
              <w:t>0.06</w:t>
            </w:r>
          </w:p>
        </w:tc>
      </w:tr>
      <w:tr w:rsidR="00CF4014" w:rsidRPr="00F64681" w14:paraId="7FDA4648"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4FAAC082" w14:textId="77777777" w:rsidR="00CF4014" w:rsidRPr="00F64681" w:rsidRDefault="00CF4014" w:rsidP="00CF4014">
            <w:pPr>
              <w:spacing w:after="0" w:line="240" w:lineRule="auto"/>
              <w:ind w:firstLine="0"/>
              <w:jc w:val="righ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N</w:t>
            </w:r>
          </w:p>
        </w:tc>
        <w:tc>
          <w:tcPr>
            <w:tcW w:w="403" w:type="pct"/>
            <w:tcBorders>
              <w:top w:val="nil"/>
              <w:left w:val="nil"/>
              <w:bottom w:val="nil"/>
              <w:right w:val="single" w:sz="4" w:space="0" w:color="auto"/>
            </w:tcBorders>
            <w:shd w:val="clear" w:color="auto" w:fill="auto"/>
            <w:noWrap/>
            <w:vAlign w:val="center"/>
            <w:hideMark/>
          </w:tcPr>
          <w:p w14:paraId="64A812E4" w14:textId="4A9DD9F8"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9,863</w:t>
            </w:r>
          </w:p>
        </w:tc>
        <w:tc>
          <w:tcPr>
            <w:tcW w:w="403" w:type="pct"/>
            <w:tcBorders>
              <w:top w:val="nil"/>
              <w:left w:val="nil"/>
              <w:bottom w:val="nil"/>
              <w:right w:val="single" w:sz="4" w:space="0" w:color="auto"/>
            </w:tcBorders>
            <w:shd w:val="clear" w:color="auto" w:fill="auto"/>
            <w:noWrap/>
            <w:vAlign w:val="center"/>
            <w:hideMark/>
          </w:tcPr>
          <w:p w14:paraId="1EE9A29A" w14:textId="6DBBA876"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12,069</w:t>
            </w:r>
          </w:p>
        </w:tc>
        <w:tc>
          <w:tcPr>
            <w:tcW w:w="403" w:type="pct"/>
            <w:tcBorders>
              <w:top w:val="nil"/>
              <w:left w:val="nil"/>
              <w:bottom w:val="nil"/>
              <w:right w:val="single" w:sz="4" w:space="0" w:color="auto"/>
            </w:tcBorders>
            <w:shd w:val="clear" w:color="auto" w:fill="auto"/>
            <w:noWrap/>
            <w:vAlign w:val="center"/>
            <w:hideMark/>
          </w:tcPr>
          <w:p w14:paraId="040FA565" w14:textId="0C325A73"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13,778</w:t>
            </w:r>
          </w:p>
        </w:tc>
        <w:tc>
          <w:tcPr>
            <w:tcW w:w="403" w:type="pct"/>
            <w:tcBorders>
              <w:top w:val="nil"/>
              <w:left w:val="nil"/>
              <w:bottom w:val="nil"/>
              <w:right w:val="single" w:sz="4" w:space="0" w:color="auto"/>
            </w:tcBorders>
            <w:shd w:val="clear" w:color="auto" w:fill="auto"/>
            <w:noWrap/>
            <w:vAlign w:val="center"/>
            <w:hideMark/>
          </w:tcPr>
          <w:p w14:paraId="6748D70D" w14:textId="4ADB7E43"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13,914</w:t>
            </w:r>
          </w:p>
        </w:tc>
        <w:tc>
          <w:tcPr>
            <w:tcW w:w="403" w:type="pct"/>
            <w:tcBorders>
              <w:top w:val="nil"/>
              <w:left w:val="nil"/>
              <w:bottom w:val="nil"/>
              <w:right w:val="single" w:sz="4" w:space="0" w:color="auto"/>
            </w:tcBorders>
            <w:shd w:val="clear" w:color="auto" w:fill="auto"/>
            <w:noWrap/>
            <w:vAlign w:val="center"/>
            <w:hideMark/>
          </w:tcPr>
          <w:p w14:paraId="706EF2E0" w14:textId="2C22B4B1"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14,239</w:t>
            </w:r>
          </w:p>
        </w:tc>
        <w:tc>
          <w:tcPr>
            <w:tcW w:w="403" w:type="pct"/>
            <w:tcBorders>
              <w:top w:val="nil"/>
              <w:left w:val="nil"/>
              <w:bottom w:val="nil"/>
              <w:right w:val="single" w:sz="4" w:space="0" w:color="auto"/>
            </w:tcBorders>
            <w:shd w:val="clear" w:color="auto" w:fill="auto"/>
            <w:noWrap/>
            <w:vAlign w:val="center"/>
            <w:hideMark/>
          </w:tcPr>
          <w:p w14:paraId="6B685D74" w14:textId="5DE9A29E"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14,564</w:t>
            </w:r>
          </w:p>
        </w:tc>
        <w:tc>
          <w:tcPr>
            <w:tcW w:w="403" w:type="pct"/>
            <w:tcBorders>
              <w:top w:val="nil"/>
              <w:left w:val="nil"/>
              <w:bottom w:val="nil"/>
              <w:right w:val="single" w:sz="4" w:space="0" w:color="auto"/>
            </w:tcBorders>
            <w:shd w:val="clear" w:color="auto" w:fill="auto"/>
            <w:noWrap/>
            <w:vAlign w:val="center"/>
            <w:hideMark/>
          </w:tcPr>
          <w:p w14:paraId="1DD62281" w14:textId="7CB3D8B4"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14,416</w:t>
            </w:r>
          </w:p>
        </w:tc>
        <w:tc>
          <w:tcPr>
            <w:tcW w:w="403" w:type="pct"/>
            <w:tcBorders>
              <w:top w:val="nil"/>
              <w:left w:val="nil"/>
              <w:bottom w:val="nil"/>
              <w:right w:val="single" w:sz="4" w:space="0" w:color="auto"/>
            </w:tcBorders>
            <w:shd w:val="clear" w:color="auto" w:fill="auto"/>
            <w:noWrap/>
            <w:vAlign w:val="center"/>
            <w:hideMark/>
          </w:tcPr>
          <w:p w14:paraId="3AF66FFA" w14:textId="40F512D3"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21,710</w:t>
            </w:r>
          </w:p>
        </w:tc>
        <w:tc>
          <w:tcPr>
            <w:tcW w:w="398" w:type="pct"/>
            <w:tcBorders>
              <w:top w:val="nil"/>
              <w:left w:val="nil"/>
              <w:bottom w:val="nil"/>
              <w:right w:val="single" w:sz="4" w:space="0" w:color="auto"/>
            </w:tcBorders>
            <w:shd w:val="clear" w:color="auto" w:fill="auto"/>
            <w:noWrap/>
            <w:vAlign w:val="center"/>
            <w:hideMark/>
          </w:tcPr>
          <w:p w14:paraId="1B329DBE" w14:textId="725BFB77"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19,802</w:t>
            </w:r>
          </w:p>
        </w:tc>
      </w:tr>
      <w:tr w:rsidR="00947FF6" w:rsidRPr="00F64681" w14:paraId="6AF44999" w14:textId="77777777" w:rsidTr="003D4EEF">
        <w:trPr>
          <w:trHeight w:val="227"/>
        </w:trPr>
        <w:tc>
          <w:tcPr>
            <w:tcW w:w="1378" w:type="pct"/>
            <w:tcBorders>
              <w:top w:val="nil"/>
              <w:left w:val="single" w:sz="4" w:space="0" w:color="auto"/>
              <w:bottom w:val="nil"/>
              <w:right w:val="single" w:sz="4" w:space="0" w:color="auto"/>
            </w:tcBorders>
            <w:shd w:val="clear" w:color="auto" w:fill="auto"/>
            <w:noWrap/>
            <w:vAlign w:val="bottom"/>
          </w:tcPr>
          <w:p w14:paraId="76DED21A" w14:textId="77777777" w:rsidR="00947FF6" w:rsidRPr="00F64681" w:rsidRDefault="00947FF6" w:rsidP="00AC1549">
            <w:pPr>
              <w:spacing w:after="0" w:line="240" w:lineRule="auto"/>
              <w:ind w:firstLine="0"/>
              <w:jc w:val="left"/>
              <w:rPr>
                <w:rFonts w:ascii="Times New Roman" w:eastAsia="Times New Roman" w:hAnsi="Times New Roman" w:cs="Times New Roman"/>
                <w:b/>
                <w:bCs/>
                <w:color w:val="000000"/>
                <w:sz w:val="20"/>
                <w:szCs w:val="20"/>
              </w:rPr>
            </w:pPr>
          </w:p>
        </w:tc>
        <w:tc>
          <w:tcPr>
            <w:tcW w:w="403" w:type="pct"/>
            <w:tcBorders>
              <w:top w:val="nil"/>
              <w:left w:val="nil"/>
              <w:bottom w:val="nil"/>
              <w:right w:val="single" w:sz="4" w:space="0" w:color="auto"/>
            </w:tcBorders>
            <w:shd w:val="clear" w:color="auto" w:fill="auto"/>
            <w:noWrap/>
            <w:vAlign w:val="bottom"/>
          </w:tcPr>
          <w:p w14:paraId="5D2F357E"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7723FAF6"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3A5FA78E"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02ABB38E"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1013EE35"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67A633C2"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6E1C7569"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403" w:type="pct"/>
            <w:tcBorders>
              <w:top w:val="nil"/>
              <w:left w:val="nil"/>
              <w:bottom w:val="nil"/>
              <w:right w:val="single" w:sz="4" w:space="0" w:color="auto"/>
            </w:tcBorders>
            <w:shd w:val="clear" w:color="auto" w:fill="auto"/>
            <w:noWrap/>
            <w:vAlign w:val="bottom"/>
          </w:tcPr>
          <w:p w14:paraId="54D1387A"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c>
          <w:tcPr>
            <w:tcW w:w="398" w:type="pct"/>
            <w:tcBorders>
              <w:top w:val="nil"/>
              <w:left w:val="nil"/>
              <w:bottom w:val="nil"/>
              <w:right w:val="single" w:sz="4" w:space="0" w:color="auto"/>
            </w:tcBorders>
            <w:shd w:val="clear" w:color="auto" w:fill="auto"/>
            <w:noWrap/>
            <w:vAlign w:val="bottom"/>
          </w:tcPr>
          <w:p w14:paraId="7970798F" w14:textId="77777777" w:rsidR="00947FF6" w:rsidRPr="00F64681" w:rsidRDefault="00947FF6" w:rsidP="00AC1549">
            <w:pPr>
              <w:spacing w:after="0" w:line="240" w:lineRule="auto"/>
              <w:ind w:firstLine="0"/>
              <w:jc w:val="left"/>
              <w:rPr>
                <w:rFonts w:ascii="Times New Roman" w:eastAsia="Times New Roman" w:hAnsi="Times New Roman" w:cs="Times New Roman"/>
                <w:color w:val="000000"/>
                <w:sz w:val="20"/>
                <w:szCs w:val="20"/>
              </w:rPr>
            </w:pPr>
          </w:p>
        </w:tc>
      </w:tr>
      <w:tr w:rsidR="00947FF6" w:rsidRPr="00F64681" w14:paraId="1C09B11B" w14:textId="77777777" w:rsidTr="003D4EEF">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73C72433" w14:textId="77777777" w:rsidR="00AC1549" w:rsidRPr="00F64681" w:rsidRDefault="00AC1549" w:rsidP="00AC1549">
            <w:pPr>
              <w:spacing w:after="0" w:line="240" w:lineRule="auto"/>
              <w:ind w:firstLine="0"/>
              <w:jc w:val="left"/>
              <w:rPr>
                <w:rFonts w:ascii="Times New Roman" w:eastAsia="Times New Roman" w:hAnsi="Times New Roman" w:cs="Times New Roman"/>
                <w:b/>
                <w:bCs/>
                <w:color w:val="000000"/>
                <w:sz w:val="20"/>
                <w:szCs w:val="20"/>
              </w:rPr>
            </w:pPr>
            <w:r w:rsidRPr="00F64681">
              <w:rPr>
                <w:rFonts w:ascii="Times New Roman" w:eastAsia="Times New Roman" w:hAnsi="Times New Roman" w:cs="Times New Roman"/>
                <w:b/>
                <w:bCs/>
                <w:color w:val="000000"/>
                <w:sz w:val="20"/>
                <w:szCs w:val="20"/>
              </w:rPr>
              <w:t>Leverage measures</w:t>
            </w:r>
          </w:p>
        </w:tc>
        <w:tc>
          <w:tcPr>
            <w:tcW w:w="403" w:type="pct"/>
            <w:tcBorders>
              <w:top w:val="nil"/>
              <w:left w:val="nil"/>
              <w:bottom w:val="nil"/>
              <w:right w:val="single" w:sz="4" w:space="0" w:color="auto"/>
            </w:tcBorders>
            <w:shd w:val="clear" w:color="auto" w:fill="auto"/>
            <w:noWrap/>
            <w:vAlign w:val="bottom"/>
            <w:hideMark/>
          </w:tcPr>
          <w:p w14:paraId="39C4B608"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4A883456"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664CA281"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250311D8"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01D0634A"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327DBCDD"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1CC33FDC"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403" w:type="pct"/>
            <w:tcBorders>
              <w:top w:val="nil"/>
              <w:left w:val="nil"/>
              <w:bottom w:val="nil"/>
              <w:right w:val="single" w:sz="4" w:space="0" w:color="auto"/>
            </w:tcBorders>
            <w:shd w:val="clear" w:color="auto" w:fill="auto"/>
            <w:noWrap/>
            <w:vAlign w:val="bottom"/>
            <w:hideMark/>
          </w:tcPr>
          <w:p w14:paraId="09758FAD"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c>
          <w:tcPr>
            <w:tcW w:w="398" w:type="pct"/>
            <w:tcBorders>
              <w:top w:val="nil"/>
              <w:left w:val="nil"/>
              <w:bottom w:val="nil"/>
              <w:right w:val="single" w:sz="4" w:space="0" w:color="auto"/>
            </w:tcBorders>
            <w:shd w:val="clear" w:color="auto" w:fill="auto"/>
            <w:noWrap/>
            <w:vAlign w:val="bottom"/>
            <w:hideMark/>
          </w:tcPr>
          <w:p w14:paraId="7E158E86" w14:textId="77777777" w:rsidR="00AC1549" w:rsidRPr="00F64681" w:rsidRDefault="00AC1549" w:rsidP="00AC1549">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 </w:t>
            </w:r>
          </w:p>
        </w:tc>
      </w:tr>
      <w:tr w:rsidR="00CF4014" w:rsidRPr="00F64681" w14:paraId="7E8689F7"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3ADC0731" w14:textId="77777777" w:rsidR="00CF4014" w:rsidRPr="00F64681" w:rsidRDefault="00CF4014" w:rsidP="00CF4014">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Debt-service-to-income ratio (DSY)</w:t>
            </w:r>
          </w:p>
        </w:tc>
        <w:tc>
          <w:tcPr>
            <w:tcW w:w="403" w:type="pct"/>
            <w:tcBorders>
              <w:top w:val="nil"/>
              <w:left w:val="nil"/>
              <w:bottom w:val="nil"/>
              <w:right w:val="single" w:sz="4" w:space="0" w:color="auto"/>
            </w:tcBorders>
            <w:shd w:val="clear" w:color="auto" w:fill="auto"/>
            <w:noWrap/>
            <w:vAlign w:val="center"/>
            <w:hideMark/>
          </w:tcPr>
          <w:p w14:paraId="260CA6FD" w14:textId="37E3937C"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-29.99</w:t>
            </w:r>
          </w:p>
        </w:tc>
        <w:tc>
          <w:tcPr>
            <w:tcW w:w="403" w:type="pct"/>
            <w:tcBorders>
              <w:top w:val="nil"/>
              <w:left w:val="nil"/>
              <w:bottom w:val="nil"/>
              <w:right w:val="single" w:sz="4" w:space="0" w:color="auto"/>
            </w:tcBorders>
            <w:shd w:val="clear" w:color="auto" w:fill="auto"/>
            <w:noWrap/>
            <w:vAlign w:val="center"/>
            <w:hideMark/>
          </w:tcPr>
          <w:p w14:paraId="4E6EF6A0" w14:textId="24EA0931"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-31.40</w:t>
            </w:r>
          </w:p>
        </w:tc>
        <w:tc>
          <w:tcPr>
            <w:tcW w:w="403" w:type="pct"/>
            <w:tcBorders>
              <w:top w:val="nil"/>
              <w:left w:val="nil"/>
              <w:bottom w:val="nil"/>
              <w:right w:val="single" w:sz="4" w:space="0" w:color="auto"/>
            </w:tcBorders>
            <w:shd w:val="clear" w:color="auto" w:fill="auto"/>
            <w:noWrap/>
            <w:vAlign w:val="center"/>
            <w:hideMark/>
          </w:tcPr>
          <w:p w14:paraId="11F8333E" w14:textId="6716DD93"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-8.73</w:t>
            </w:r>
          </w:p>
        </w:tc>
        <w:tc>
          <w:tcPr>
            <w:tcW w:w="403" w:type="pct"/>
            <w:tcBorders>
              <w:top w:val="nil"/>
              <w:left w:val="nil"/>
              <w:bottom w:val="nil"/>
              <w:right w:val="single" w:sz="4" w:space="0" w:color="auto"/>
            </w:tcBorders>
            <w:shd w:val="clear" w:color="auto" w:fill="auto"/>
            <w:noWrap/>
            <w:vAlign w:val="center"/>
            <w:hideMark/>
          </w:tcPr>
          <w:p w14:paraId="79D28033" w14:textId="5BC5615B" w:rsidR="00CF4014" w:rsidRPr="00CF4014" w:rsidRDefault="00CF4014" w:rsidP="00CF4014">
            <w:pPr>
              <w:spacing w:after="0" w:line="240" w:lineRule="auto"/>
              <w:ind w:firstLine="0"/>
              <w:jc w:val="right"/>
              <w:rPr>
                <w:rFonts w:eastAsia="Times New Roman" w:cs="Times New Roman"/>
                <w:i/>
                <w:iCs/>
                <w:color w:val="000000"/>
                <w:sz w:val="20"/>
                <w:szCs w:val="20"/>
              </w:rPr>
            </w:pPr>
            <w:r w:rsidRPr="00CF4014">
              <w:rPr>
                <w:color w:val="000000"/>
                <w:sz w:val="20"/>
                <w:szCs w:val="20"/>
              </w:rPr>
              <w:t>-6.02</w:t>
            </w:r>
          </w:p>
        </w:tc>
        <w:tc>
          <w:tcPr>
            <w:tcW w:w="403" w:type="pct"/>
            <w:tcBorders>
              <w:top w:val="nil"/>
              <w:left w:val="nil"/>
              <w:bottom w:val="nil"/>
              <w:right w:val="single" w:sz="4" w:space="0" w:color="auto"/>
            </w:tcBorders>
            <w:shd w:val="clear" w:color="auto" w:fill="auto"/>
            <w:noWrap/>
            <w:vAlign w:val="center"/>
            <w:hideMark/>
          </w:tcPr>
          <w:p w14:paraId="1B8D2AF4" w14:textId="08003BE7"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-63.64</w:t>
            </w:r>
          </w:p>
        </w:tc>
        <w:tc>
          <w:tcPr>
            <w:tcW w:w="403" w:type="pct"/>
            <w:tcBorders>
              <w:top w:val="nil"/>
              <w:left w:val="nil"/>
              <w:bottom w:val="nil"/>
              <w:right w:val="single" w:sz="4" w:space="0" w:color="auto"/>
            </w:tcBorders>
            <w:shd w:val="clear" w:color="auto" w:fill="auto"/>
            <w:noWrap/>
            <w:vAlign w:val="center"/>
            <w:hideMark/>
          </w:tcPr>
          <w:p w14:paraId="11B58106" w14:textId="7A6030B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-28.00</w:t>
            </w:r>
          </w:p>
        </w:tc>
        <w:tc>
          <w:tcPr>
            <w:tcW w:w="403" w:type="pct"/>
            <w:tcBorders>
              <w:top w:val="nil"/>
              <w:left w:val="nil"/>
              <w:bottom w:val="nil"/>
              <w:right w:val="single" w:sz="4" w:space="0" w:color="auto"/>
            </w:tcBorders>
            <w:shd w:val="clear" w:color="auto" w:fill="auto"/>
            <w:noWrap/>
            <w:vAlign w:val="center"/>
            <w:hideMark/>
          </w:tcPr>
          <w:p w14:paraId="7B23875C" w14:textId="0435AB54"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-80.76</w:t>
            </w:r>
          </w:p>
        </w:tc>
        <w:tc>
          <w:tcPr>
            <w:tcW w:w="403" w:type="pct"/>
            <w:tcBorders>
              <w:top w:val="nil"/>
              <w:left w:val="nil"/>
              <w:bottom w:val="nil"/>
              <w:right w:val="single" w:sz="4" w:space="0" w:color="auto"/>
            </w:tcBorders>
            <w:shd w:val="clear" w:color="auto" w:fill="auto"/>
            <w:noWrap/>
            <w:vAlign w:val="center"/>
            <w:hideMark/>
          </w:tcPr>
          <w:p w14:paraId="1D0CDFDE" w14:textId="3801F9C8"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-59.81</w:t>
            </w:r>
          </w:p>
        </w:tc>
        <w:tc>
          <w:tcPr>
            <w:tcW w:w="398" w:type="pct"/>
            <w:tcBorders>
              <w:top w:val="nil"/>
              <w:left w:val="nil"/>
              <w:bottom w:val="nil"/>
              <w:right w:val="single" w:sz="4" w:space="0" w:color="auto"/>
            </w:tcBorders>
            <w:shd w:val="clear" w:color="auto" w:fill="auto"/>
            <w:noWrap/>
            <w:vAlign w:val="center"/>
            <w:hideMark/>
          </w:tcPr>
          <w:p w14:paraId="11F4FC7A" w14:textId="07B4E1E9"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-80.99</w:t>
            </w:r>
          </w:p>
        </w:tc>
      </w:tr>
      <w:tr w:rsidR="00CF4014" w:rsidRPr="00F64681" w14:paraId="39511A83"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0A67CB09" w14:textId="77777777" w:rsidR="00CF4014" w:rsidRPr="00F64681" w:rsidRDefault="00CF4014" w:rsidP="00CF4014">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Debt-to-asset ratio</w:t>
            </w:r>
          </w:p>
        </w:tc>
        <w:tc>
          <w:tcPr>
            <w:tcW w:w="403" w:type="pct"/>
            <w:tcBorders>
              <w:top w:val="nil"/>
              <w:left w:val="nil"/>
              <w:bottom w:val="nil"/>
              <w:right w:val="single" w:sz="4" w:space="0" w:color="auto"/>
            </w:tcBorders>
            <w:shd w:val="clear" w:color="auto" w:fill="auto"/>
            <w:noWrap/>
            <w:vAlign w:val="center"/>
            <w:hideMark/>
          </w:tcPr>
          <w:p w14:paraId="4AE4C6F3" w14:textId="03DC5B76"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-0.70</w:t>
            </w:r>
          </w:p>
        </w:tc>
        <w:tc>
          <w:tcPr>
            <w:tcW w:w="403" w:type="pct"/>
            <w:tcBorders>
              <w:top w:val="nil"/>
              <w:left w:val="nil"/>
              <w:bottom w:val="nil"/>
              <w:right w:val="single" w:sz="4" w:space="0" w:color="auto"/>
            </w:tcBorders>
            <w:shd w:val="clear" w:color="auto" w:fill="auto"/>
            <w:noWrap/>
            <w:vAlign w:val="center"/>
            <w:hideMark/>
          </w:tcPr>
          <w:p w14:paraId="45B13856" w14:textId="15889BA2"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-0.30</w:t>
            </w:r>
          </w:p>
        </w:tc>
        <w:tc>
          <w:tcPr>
            <w:tcW w:w="403" w:type="pct"/>
            <w:tcBorders>
              <w:top w:val="nil"/>
              <w:left w:val="nil"/>
              <w:bottom w:val="nil"/>
              <w:right w:val="single" w:sz="4" w:space="0" w:color="auto"/>
            </w:tcBorders>
            <w:shd w:val="clear" w:color="auto" w:fill="auto"/>
            <w:noWrap/>
            <w:vAlign w:val="center"/>
            <w:hideMark/>
          </w:tcPr>
          <w:p w14:paraId="3ACB0FD6" w14:textId="5D774020"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-0.03</w:t>
            </w:r>
          </w:p>
        </w:tc>
        <w:tc>
          <w:tcPr>
            <w:tcW w:w="403" w:type="pct"/>
            <w:tcBorders>
              <w:top w:val="nil"/>
              <w:left w:val="nil"/>
              <w:bottom w:val="nil"/>
              <w:right w:val="single" w:sz="4" w:space="0" w:color="auto"/>
            </w:tcBorders>
            <w:shd w:val="clear" w:color="auto" w:fill="auto"/>
            <w:noWrap/>
            <w:vAlign w:val="center"/>
            <w:hideMark/>
          </w:tcPr>
          <w:p w14:paraId="1B2B615B" w14:textId="3CB2EEB8"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-0.03</w:t>
            </w:r>
          </w:p>
        </w:tc>
        <w:tc>
          <w:tcPr>
            <w:tcW w:w="403" w:type="pct"/>
            <w:tcBorders>
              <w:top w:val="nil"/>
              <w:left w:val="nil"/>
              <w:bottom w:val="nil"/>
              <w:right w:val="single" w:sz="4" w:space="0" w:color="auto"/>
            </w:tcBorders>
            <w:shd w:val="clear" w:color="auto" w:fill="auto"/>
            <w:noWrap/>
            <w:vAlign w:val="center"/>
            <w:hideMark/>
          </w:tcPr>
          <w:p w14:paraId="6A42A703" w14:textId="4F24ED52"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i/>
                <w:iCs/>
                <w:color w:val="000000"/>
                <w:sz w:val="20"/>
                <w:szCs w:val="20"/>
              </w:rPr>
              <w:t>0.00</w:t>
            </w:r>
          </w:p>
        </w:tc>
        <w:tc>
          <w:tcPr>
            <w:tcW w:w="403" w:type="pct"/>
            <w:tcBorders>
              <w:top w:val="nil"/>
              <w:left w:val="nil"/>
              <w:bottom w:val="nil"/>
              <w:right w:val="single" w:sz="4" w:space="0" w:color="auto"/>
            </w:tcBorders>
            <w:shd w:val="clear" w:color="auto" w:fill="auto"/>
            <w:noWrap/>
            <w:vAlign w:val="center"/>
            <w:hideMark/>
          </w:tcPr>
          <w:p w14:paraId="1A0E1ED2" w14:textId="69195687" w:rsidR="00CF4014" w:rsidRPr="00CF4014" w:rsidRDefault="00CF4014" w:rsidP="00CF4014">
            <w:pPr>
              <w:spacing w:after="0" w:line="240" w:lineRule="auto"/>
              <w:ind w:firstLine="0"/>
              <w:jc w:val="right"/>
              <w:rPr>
                <w:rFonts w:eastAsia="Times New Roman" w:cs="Times New Roman"/>
                <w:i/>
                <w:iCs/>
                <w:color w:val="000000"/>
                <w:sz w:val="20"/>
                <w:szCs w:val="20"/>
              </w:rPr>
            </w:pPr>
            <w:r w:rsidRPr="00CF4014">
              <w:rPr>
                <w:color w:val="000000"/>
                <w:sz w:val="20"/>
                <w:szCs w:val="20"/>
              </w:rPr>
              <w:t>-0.01</w:t>
            </w:r>
          </w:p>
        </w:tc>
        <w:tc>
          <w:tcPr>
            <w:tcW w:w="403" w:type="pct"/>
            <w:tcBorders>
              <w:top w:val="nil"/>
              <w:left w:val="nil"/>
              <w:bottom w:val="nil"/>
              <w:right w:val="single" w:sz="4" w:space="0" w:color="auto"/>
            </w:tcBorders>
            <w:shd w:val="clear" w:color="auto" w:fill="auto"/>
            <w:noWrap/>
            <w:vAlign w:val="center"/>
            <w:hideMark/>
          </w:tcPr>
          <w:p w14:paraId="2AC11404" w14:textId="464AAEB5" w:rsidR="00CF4014" w:rsidRPr="00CF4014" w:rsidRDefault="00CF4014" w:rsidP="00CF4014">
            <w:pPr>
              <w:spacing w:after="0" w:line="240" w:lineRule="auto"/>
              <w:ind w:firstLine="0"/>
              <w:jc w:val="right"/>
              <w:rPr>
                <w:rFonts w:eastAsia="Times New Roman" w:cs="Times New Roman"/>
                <w:i/>
                <w:iCs/>
                <w:color w:val="000000"/>
                <w:sz w:val="20"/>
                <w:szCs w:val="20"/>
              </w:rPr>
            </w:pPr>
            <w:r w:rsidRPr="00CF4014">
              <w:rPr>
                <w:i/>
                <w:iCs/>
                <w:color w:val="000000"/>
                <w:sz w:val="20"/>
                <w:szCs w:val="20"/>
              </w:rPr>
              <w:t>0.00</w:t>
            </w:r>
          </w:p>
        </w:tc>
        <w:tc>
          <w:tcPr>
            <w:tcW w:w="403" w:type="pct"/>
            <w:tcBorders>
              <w:top w:val="nil"/>
              <w:left w:val="nil"/>
              <w:bottom w:val="nil"/>
              <w:right w:val="single" w:sz="4" w:space="0" w:color="auto"/>
            </w:tcBorders>
            <w:shd w:val="clear" w:color="auto" w:fill="auto"/>
            <w:noWrap/>
            <w:vAlign w:val="center"/>
            <w:hideMark/>
          </w:tcPr>
          <w:p w14:paraId="4C2999FF" w14:textId="0DF6BD8A"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0.00</w:t>
            </w:r>
          </w:p>
        </w:tc>
        <w:tc>
          <w:tcPr>
            <w:tcW w:w="398" w:type="pct"/>
            <w:tcBorders>
              <w:top w:val="nil"/>
              <w:left w:val="nil"/>
              <w:bottom w:val="nil"/>
              <w:right w:val="single" w:sz="4" w:space="0" w:color="auto"/>
            </w:tcBorders>
            <w:shd w:val="clear" w:color="auto" w:fill="auto"/>
            <w:noWrap/>
            <w:vAlign w:val="center"/>
            <w:hideMark/>
          </w:tcPr>
          <w:p w14:paraId="73059C7B" w14:textId="0E4CB014"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0.00</w:t>
            </w:r>
          </w:p>
        </w:tc>
      </w:tr>
      <w:tr w:rsidR="00CF4014" w:rsidRPr="00F64681" w14:paraId="0453665D" w14:textId="77777777" w:rsidTr="00CF4014">
        <w:trPr>
          <w:trHeight w:val="227"/>
        </w:trPr>
        <w:tc>
          <w:tcPr>
            <w:tcW w:w="1378" w:type="pct"/>
            <w:tcBorders>
              <w:top w:val="nil"/>
              <w:left w:val="single" w:sz="4" w:space="0" w:color="auto"/>
              <w:bottom w:val="nil"/>
              <w:right w:val="single" w:sz="4" w:space="0" w:color="auto"/>
            </w:tcBorders>
            <w:shd w:val="clear" w:color="auto" w:fill="auto"/>
            <w:noWrap/>
            <w:vAlign w:val="bottom"/>
            <w:hideMark/>
          </w:tcPr>
          <w:p w14:paraId="7772E8EE" w14:textId="77777777" w:rsidR="00CF4014" w:rsidRPr="00F64681" w:rsidRDefault="00CF4014" w:rsidP="00CF4014">
            <w:pPr>
              <w:spacing w:after="0" w:line="240" w:lineRule="auto"/>
              <w:ind w:firstLine="0"/>
              <w:jc w:val="lef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Debt-to-income ratio</w:t>
            </w:r>
          </w:p>
        </w:tc>
        <w:tc>
          <w:tcPr>
            <w:tcW w:w="403" w:type="pct"/>
            <w:tcBorders>
              <w:top w:val="nil"/>
              <w:left w:val="nil"/>
              <w:bottom w:val="nil"/>
              <w:right w:val="single" w:sz="4" w:space="0" w:color="auto"/>
            </w:tcBorders>
            <w:shd w:val="clear" w:color="auto" w:fill="auto"/>
            <w:noWrap/>
            <w:vAlign w:val="center"/>
            <w:hideMark/>
          </w:tcPr>
          <w:p w14:paraId="0E5EEE65" w14:textId="6EFBA756"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-5.62</w:t>
            </w:r>
          </w:p>
        </w:tc>
        <w:tc>
          <w:tcPr>
            <w:tcW w:w="403" w:type="pct"/>
            <w:tcBorders>
              <w:top w:val="nil"/>
              <w:left w:val="nil"/>
              <w:bottom w:val="nil"/>
              <w:right w:val="single" w:sz="4" w:space="0" w:color="auto"/>
            </w:tcBorders>
            <w:shd w:val="clear" w:color="auto" w:fill="auto"/>
            <w:noWrap/>
            <w:vAlign w:val="center"/>
            <w:hideMark/>
          </w:tcPr>
          <w:p w14:paraId="6AEC5CF3" w14:textId="4FD0F757" w:rsidR="00CF4014" w:rsidRPr="00CF4014" w:rsidRDefault="00CF4014" w:rsidP="00CF4014">
            <w:pPr>
              <w:spacing w:after="0" w:line="240" w:lineRule="auto"/>
              <w:ind w:firstLine="0"/>
              <w:jc w:val="right"/>
              <w:rPr>
                <w:rFonts w:eastAsia="Calibri" w:cs="Times New Roman"/>
                <w:color w:val="000000"/>
                <w:sz w:val="20"/>
                <w:szCs w:val="20"/>
              </w:rPr>
            </w:pPr>
            <w:r w:rsidRPr="00CF4014">
              <w:rPr>
                <w:color w:val="000000"/>
                <w:sz w:val="20"/>
                <w:szCs w:val="20"/>
              </w:rPr>
              <w:t>-2.48</w:t>
            </w:r>
          </w:p>
        </w:tc>
        <w:tc>
          <w:tcPr>
            <w:tcW w:w="403" w:type="pct"/>
            <w:tcBorders>
              <w:top w:val="nil"/>
              <w:left w:val="nil"/>
              <w:bottom w:val="nil"/>
              <w:right w:val="single" w:sz="4" w:space="0" w:color="auto"/>
            </w:tcBorders>
            <w:shd w:val="clear" w:color="auto" w:fill="auto"/>
            <w:noWrap/>
            <w:vAlign w:val="center"/>
            <w:hideMark/>
          </w:tcPr>
          <w:p w14:paraId="08B6C254" w14:textId="04767AAB"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-1.94</w:t>
            </w:r>
          </w:p>
        </w:tc>
        <w:tc>
          <w:tcPr>
            <w:tcW w:w="403" w:type="pct"/>
            <w:tcBorders>
              <w:top w:val="nil"/>
              <w:left w:val="nil"/>
              <w:bottom w:val="nil"/>
              <w:right w:val="single" w:sz="4" w:space="0" w:color="auto"/>
            </w:tcBorders>
            <w:shd w:val="clear" w:color="auto" w:fill="auto"/>
            <w:noWrap/>
            <w:vAlign w:val="center"/>
            <w:hideMark/>
          </w:tcPr>
          <w:p w14:paraId="6649C14B" w14:textId="29037E8A"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-0.23</w:t>
            </w:r>
          </w:p>
        </w:tc>
        <w:tc>
          <w:tcPr>
            <w:tcW w:w="403" w:type="pct"/>
            <w:tcBorders>
              <w:top w:val="nil"/>
              <w:left w:val="nil"/>
              <w:bottom w:val="nil"/>
              <w:right w:val="single" w:sz="4" w:space="0" w:color="auto"/>
            </w:tcBorders>
            <w:shd w:val="clear" w:color="auto" w:fill="auto"/>
            <w:noWrap/>
            <w:vAlign w:val="center"/>
            <w:hideMark/>
          </w:tcPr>
          <w:p w14:paraId="36893D9A" w14:textId="35FDEB5E"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-6.07</w:t>
            </w:r>
          </w:p>
        </w:tc>
        <w:tc>
          <w:tcPr>
            <w:tcW w:w="403" w:type="pct"/>
            <w:tcBorders>
              <w:top w:val="nil"/>
              <w:left w:val="nil"/>
              <w:bottom w:val="nil"/>
              <w:right w:val="single" w:sz="4" w:space="0" w:color="auto"/>
            </w:tcBorders>
            <w:shd w:val="clear" w:color="auto" w:fill="auto"/>
            <w:noWrap/>
            <w:vAlign w:val="center"/>
            <w:hideMark/>
          </w:tcPr>
          <w:p w14:paraId="4A0D113D" w14:textId="23A56DD5"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-1.10</w:t>
            </w:r>
          </w:p>
        </w:tc>
        <w:tc>
          <w:tcPr>
            <w:tcW w:w="403" w:type="pct"/>
            <w:tcBorders>
              <w:top w:val="nil"/>
              <w:left w:val="nil"/>
              <w:bottom w:val="nil"/>
              <w:right w:val="single" w:sz="4" w:space="0" w:color="auto"/>
            </w:tcBorders>
            <w:shd w:val="clear" w:color="auto" w:fill="auto"/>
            <w:noWrap/>
            <w:vAlign w:val="center"/>
            <w:hideMark/>
          </w:tcPr>
          <w:p w14:paraId="725B3842" w14:textId="1037846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-5.94</w:t>
            </w:r>
          </w:p>
        </w:tc>
        <w:tc>
          <w:tcPr>
            <w:tcW w:w="403" w:type="pct"/>
            <w:tcBorders>
              <w:top w:val="nil"/>
              <w:left w:val="nil"/>
              <w:bottom w:val="nil"/>
              <w:right w:val="single" w:sz="4" w:space="0" w:color="auto"/>
            </w:tcBorders>
            <w:shd w:val="clear" w:color="auto" w:fill="auto"/>
            <w:noWrap/>
            <w:vAlign w:val="center"/>
            <w:hideMark/>
          </w:tcPr>
          <w:p w14:paraId="308A39C8" w14:textId="77D17583"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-4.77</w:t>
            </w:r>
          </w:p>
        </w:tc>
        <w:tc>
          <w:tcPr>
            <w:tcW w:w="398" w:type="pct"/>
            <w:tcBorders>
              <w:top w:val="nil"/>
              <w:left w:val="nil"/>
              <w:bottom w:val="nil"/>
              <w:right w:val="single" w:sz="4" w:space="0" w:color="auto"/>
            </w:tcBorders>
            <w:shd w:val="clear" w:color="auto" w:fill="auto"/>
            <w:noWrap/>
            <w:vAlign w:val="center"/>
            <w:hideMark/>
          </w:tcPr>
          <w:p w14:paraId="41D78699" w14:textId="4D745214"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-7.26</w:t>
            </w:r>
          </w:p>
        </w:tc>
      </w:tr>
      <w:tr w:rsidR="00CF4014" w:rsidRPr="00F64681" w14:paraId="281BA41D" w14:textId="77777777" w:rsidTr="00CF4014">
        <w:trPr>
          <w:trHeight w:val="227"/>
        </w:trPr>
        <w:tc>
          <w:tcPr>
            <w:tcW w:w="1378" w:type="pct"/>
            <w:tcBorders>
              <w:top w:val="nil"/>
              <w:left w:val="single" w:sz="4" w:space="0" w:color="auto"/>
              <w:bottom w:val="nil"/>
              <w:right w:val="single" w:sz="4" w:space="0" w:color="auto"/>
            </w:tcBorders>
            <w:shd w:val="clear" w:color="auto" w:fill="auto"/>
            <w:noWrap/>
            <w:hideMark/>
          </w:tcPr>
          <w:p w14:paraId="0E8ABBE7" w14:textId="77777777" w:rsidR="00CF4014" w:rsidRPr="00F64681" w:rsidRDefault="00CF4014" w:rsidP="00CF4014">
            <w:pPr>
              <w:spacing w:after="0" w:line="240" w:lineRule="auto"/>
              <w:ind w:firstLine="0"/>
              <w:jc w:val="right"/>
              <w:rPr>
                <w:rFonts w:ascii="Times New Roman" w:eastAsia="Times New Roman" w:hAnsi="Times New Roman" w:cs="Times New Roman"/>
                <w:color w:val="000000"/>
                <w:sz w:val="20"/>
                <w:szCs w:val="20"/>
              </w:rPr>
            </w:pPr>
            <w:r w:rsidRPr="00F64681">
              <w:rPr>
                <w:rFonts w:ascii="Times New Roman" w:eastAsia="Times New Roman" w:hAnsi="Times New Roman" w:cs="Times New Roman"/>
                <w:color w:val="000000"/>
                <w:sz w:val="20"/>
                <w:szCs w:val="20"/>
              </w:rPr>
              <w:t>N</w:t>
            </w:r>
          </w:p>
        </w:tc>
        <w:tc>
          <w:tcPr>
            <w:tcW w:w="403" w:type="pct"/>
            <w:tcBorders>
              <w:top w:val="nil"/>
              <w:left w:val="nil"/>
              <w:bottom w:val="nil"/>
              <w:right w:val="single" w:sz="4" w:space="0" w:color="auto"/>
            </w:tcBorders>
            <w:shd w:val="clear" w:color="auto" w:fill="auto"/>
            <w:noWrap/>
            <w:vAlign w:val="center"/>
            <w:hideMark/>
          </w:tcPr>
          <w:p w14:paraId="7B5756A5" w14:textId="2B0C1BC8"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13,520</w:t>
            </w:r>
          </w:p>
        </w:tc>
        <w:tc>
          <w:tcPr>
            <w:tcW w:w="403" w:type="pct"/>
            <w:tcBorders>
              <w:top w:val="nil"/>
              <w:left w:val="nil"/>
              <w:bottom w:val="nil"/>
              <w:right w:val="single" w:sz="4" w:space="0" w:color="auto"/>
            </w:tcBorders>
            <w:shd w:val="clear" w:color="auto" w:fill="auto"/>
            <w:noWrap/>
            <w:vAlign w:val="center"/>
            <w:hideMark/>
          </w:tcPr>
          <w:p w14:paraId="60A3EDF4" w14:textId="333F70DC"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16,289</w:t>
            </w:r>
          </w:p>
        </w:tc>
        <w:tc>
          <w:tcPr>
            <w:tcW w:w="403" w:type="pct"/>
            <w:tcBorders>
              <w:top w:val="nil"/>
              <w:left w:val="nil"/>
              <w:bottom w:val="nil"/>
              <w:right w:val="single" w:sz="4" w:space="0" w:color="auto"/>
            </w:tcBorders>
            <w:shd w:val="clear" w:color="auto" w:fill="auto"/>
            <w:noWrap/>
            <w:vAlign w:val="center"/>
            <w:hideMark/>
          </w:tcPr>
          <w:p w14:paraId="0BEC86C8" w14:textId="698AB090"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18,253</w:t>
            </w:r>
          </w:p>
        </w:tc>
        <w:tc>
          <w:tcPr>
            <w:tcW w:w="403" w:type="pct"/>
            <w:tcBorders>
              <w:top w:val="nil"/>
              <w:left w:val="nil"/>
              <w:bottom w:val="nil"/>
              <w:right w:val="single" w:sz="4" w:space="0" w:color="auto"/>
            </w:tcBorders>
            <w:shd w:val="clear" w:color="auto" w:fill="auto"/>
            <w:noWrap/>
            <w:vAlign w:val="center"/>
            <w:hideMark/>
          </w:tcPr>
          <w:p w14:paraId="0BFB51AB" w14:textId="27A82E38"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18,667</w:t>
            </w:r>
          </w:p>
        </w:tc>
        <w:tc>
          <w:tcPr>
            <w:tcW w:w="403" w:type="pct"/>
            <w:tcBorders>
              <w:top w:val="nil"/>
              <w:left w:val="nil"/>
              <w:bottom w:val="nil"/>
              <w:right w:val="single" w:sz="4" w:space="0" w:color="auto"/>
            </w:tcBorders>
            <w:shd w:val="clear" w:color="auto" w:fill="auto"/>
            <w:noWrap/>
            <w:vAlign w:val="center"/>
            <w:hideMark/>
          </w:tcPr>
          <w:p w14:paraId="4378CAA3" w14:textId="3297FF15"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18,932</w:t>
            </w:r>
          </w:p>
        </w:tc>
        <w:tc>
          <w:tcPr>
            <w:tcW w:w="403" w:type="pct"/>
            <w:tcBorders>
              <w:top w:val="nil"/>
              <w:left w:val="nil"/>
              <w:bottom w:val="nil"/>
              <w:right w:val="single" w:sz="4" w:space="0" w:color="auto"/>
            </w:tcBorders>
            <w:shd w:val="clear" w:color="auto" w:fill="auto"/>
            <w:noWrap/>
            <w:vAlign w:val="center"/>
            <w:hideMark/>
          </w:tcPr>
          <w:p w14:paraId="0C02ADED" w14:textId="0009B6CA"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18,913</w:t>
            </w:r>
          </w:p>
        </w:tc>
        <w:tc>
          <w:tcPr>
            <w:tcW w:w="403" w:type="pct"/>
            <w:tcBorders>
              <w:top w:val="nil"/>
              <w:left w:val="nil"/>
              <w:bottom w:val="nil"/>
              <w:right w:val="single" w:sz="4" w:space="0" w:color="auto"/>
            </w:tcBorders>
            <w:shd w:val="clear" w:color="auto" w:fill="auto"/>
            <w:noWrap/>
            <w:vAlign w:val="center"/>
            <w:hideMark/>
          </w:tcPr>
          <w:p w14:paraId="5DD7275A" w14:textId="56E58F9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18,446</w:t>
            </w:r>
          </w:p>
        </w:tc>
        <w:tc>
          <w:tcPr>
            <w:tcW w:w="403" w:type="pct"/>
            <w:tcBorders>
              <w:top w:val="nil"/>
              <w:left w:val="nil"/>
              <w:bottom w:val="nil"/>
              <w:right w:val="single" w:sz="4" w:space="0" w:color="auto"/>
            </w:tcBorders>
            <w:shd w:val="clear" w:color="auto" w:fill="auto"/>
            <w:noWrap/>
            <w:vAlign w:val="center"/>
            <w:hideMark/>
          </w:tcPr>
          <w:p w14:paraId="220D81C3" w14:textId="437C01BD"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28,995</w:t>
            </w:r>
          </w:p>
        </w:tc>
        <w:tc>
          <w:tcPr>
            <w:tcW w:w="398" w:type="pct"/>
            <w:tcBorders>
              <w:top w:val="nil"/>
              <w:left w:val="nil"/>
              <w:bottom w:val="nil"/>
              <w:right w:val="single" w:sz="4" w:space="0" w:color="auto"/>
            </w:tcBorders>
            <w:shd w:val="clear" w:color="auto" w:fill="auto"/>
            <w:noWrap/>
            <w:vAlign w:val="center"/>
            <w:hideMark/>
          </w:tcPr>
          <w:p w14:paraId="7B37D60D" w14:textId="5BFEF8F5" w:rsidR="00CF4014" w:rsidRPr="00CF4014" w:rsidRDefault="00CF4014" w:rsidP="00CF4014">
            <w:pPr>
              <w:spacing w:after="0" w:line="240" w:lineRule="auto"/>
              <w:ind w:firstLine="0"/>
              <w:jc w:val="right"/>
              <w:rPr>
                <w:rFonts w:eastAsia="Times New Roman" w:cs="Times New Roman"/>
                <w:color w:val="000000"/>
                <w:sz w:val="20"/>
                <w:szCs w:val="20"/>
              </w:rPr>
            </w:pPr>
            <w:r w:rsidRPr="00CF4014">
              <w:rPr>
                <w:color w:val="000000"/>
                <w:sz w:val="20"/>
                <w:szCs w:val="20"/>
              </w:rPr>
              <w:t>26,649</w:t>
            </w:r>
          </w:p>
        </w:tc>
      </w:tr>
      <w:tr w:rsidR="00123B55" w:rsidRPr="00F64681" w14:paraId="392366AA" w14:textId="77777777" w:rsidTr="003D4EEF">
        <w:trPr>
          <w:trHeight w:val="57"/>
        </w:trPr>
        <w:tc>
          <w:tcPr>
            <w:tcW w:w="1378" w:type="pct"/>
            <w:tcBorders>
              <w:top w:val="nil"/>
              <w:left w:val="single" w:sz="4" w:space="0" w:color="auto"/>
              <w:bottom w:val="single" w:sz="4" w:space="0" w:color="auto"/>
              <w:right w:val="single" w:sz="4" w:space="0" w:color="auto"/>
            </w:tcBorders>
            <w:shd w:val="clear" w:color="auto" w:fill="auto"/>
            <w:noWrap/>
          </w:tcPr>
          <w:p w14:paraId="4505D5FA" w14:textId="77777777" w:rsidR="00123B55" w:rsidRPr="00F64681" w:rsidRDefault="00123B55" w:rsidP="00AC1549">
            <w:pPr>
              <w:spacing w:after="0" w:line="240" w:lineRule="auto"/>
              <w:ind w:firstLine="0"/>
              <w:jc w:val="right"/>
              <w:rPr>
                <w:rFonts w:ascii="Times New Roman" w:eastAsia="Times New Roman" w:hAnsi="Times New Roman" w:cs="Times New Roman"/>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bottom"/>
          </w:tcPr>
          <w:p w14:paraId="0BEEBF99"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bottom"/>
          </w:tcPr>
          <w:p w14:paraId="61391A03"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bottom"/>
          </w:tcPr>
          <w:p w14:paraId="66A7BF3A"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bottom"/>
          </w:tcPr>
          <w:p w14:paraId="4C60019D"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bottom"/>
          </w:tcPr>
          <w:p w14:paraId="1A2AD34E"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bottom"/>
          </w:tcPr>
          <w:p w14:paraId="77F9270E"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bottom"/>
          </w:tcPr>
          <w:p w14:paraId="2C5C4E7B"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bottom"/>
          </w:tcPr>
          <w:p w14:paraId="6C3B8B0A"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c>
          <w:tcPr>
            <w:tcW w:w="398" w:type="pct"/>
            <w:tcBorders>
              <w:top w:val="nil"/>
              <w:left w:val="nil"/>
              <w:bottom w:val="single" w:sz="4" w:space="0" w:color="auto"/>
              <w:right w:val="single" w:sz="4" w:space="0" w:color="auto"/>
            </w:tcBorders>
            <w:shd w:val="clear" w:color="auto" w:fill="auto"/>
            <w:noWrap/>
            <w:vAlign w:val="bottom"/>
          </w:tcPr>
          <w:p w14:paraId="4351EDFA" w14:textId="77777777" w:rsidR="00123B55" w:rsidRPr="00AC1549" w:rsidRDefault="00123B55" w:rsidP="00AC1549">
            <w:pPr>
              <w:spacing w:after="0" w:line="240" w:lineRule="auto"/>
              <w:ind w:firstLine="0"/>
              <w:jc w:val="right"/>
              <w:rPr>
                <w:rFonts w:ascii="Times New Roman" w:hAnsi="Times New Roman" w:cs="Times New Roman"/>
                <w:color w:val="000000"/>
                <w:sz w:val="20"/>
                <w:szCs w:val="20"/>
              </w:rPr>
            </w:pPr>
          </w:p>
        </w:tc>
      </w:tr>
    </w:tbl>
    <w:p w14:paraId="3BF97B29" w14:textId="21B2858A" w:rsidR="002E2B10" w:rsidRDefault="00710DF5" w:rsidP="00CF210D">
      <w:pPr>
        <w:pStyle w:val="Caption"/>
        <w:spacing w:after="0"/>
        <w:ind w:firstLine="0"/>
        <w:jc w:val="both"/>
        <w:rPr>
          <w:rFonts w:ascii="Times New Roman" w:eastAsia="Times New Roman" w:hAnsi="Times New Roman" w:cs="Times New Roman"/>
          <w:b w:val="0"/>
          <w:sz w:val="22"/>
        </w:rPr>
      </w:pPr>
      <w:r w:rsidRPr="00AC1549">
        <w:rPr>
          <w:rFonts w:ascii="Times New Roman" w:eastAsia="Times New Roman" w:hAnsi="Times New Roman" w:cs="Times New Roman"/>
          <w:sz w:val="22"/>
        </w:rPr>
        <w:t xml:space="preserve">Table </w:t>
      </w:r>
      <w:r w:rsidR="00AC1549">
        <w:rPr>
          <w:rFonts w:ascii="Times New Roman" w:eastAsia="Times New Roman" w:hAnsi="Times New Roman" w:cs="Times New Roman"/>
          <w:sz w:val="22"/>
        </w:rPr>
        <w:t>B</w:t>
      </w:r>
      <w:r w:rsidRPr="00AC1549">
        <w:rPr>
          <w:sz w:val="22"/>
        </w:rPr>
        <w:fldChar w:fldCharType="begin"/>
      </w:r>
      <w:r w:rsidRPr="00AC1549">
        <w:rPr>
          <w:sz w:val="22"/>
        </w:rPr>
        <w:instrText xml:space="preserve"> SEQ Table </w:instrText>
      </w:r>
      <w:r w:rsidR="00CF210D" w:rsidRPr="00AC1549">
        <w:rPr>
          <w:sz w:val="22"/>
        </w:rPr>
        <w:instrText>\r</w:instrText>
      </w:r>
      <w:r w:rsidR="00AC1549">
        <w:rPr>
          <w:sz w:val="22"/>
        </w:rPr>
        <w:instrText>3</w:instrText>
      </w:r>
      <w:r w:rsidR="00CF210D" w:rsidRPr="00AC1549">
        <w:rPr>
          <w:sz w:val="22"/>
        </w:rPr>
        <w:instrText xml:space="preserve"> </w:instrText>
      </w:r>
      <w:r w:rsidRPr="00AC1549">
        <w:rPr>
          <w:sz w:val="22"/>
        </w:rPr>
        <w:instrText xml:space="preserve">\* ARABIC </w:instrText>
      </w:r>
      <w:r w:rsidRPr="00AC1549">
        <w:rPr>
          <w:sz w:val="22"/>
        </w:rPr>
        <w:fldChar w:fldCharType="separate"/>
      </w:r>
      <w:r w:rsidR="00AC1549">
        <w:rPr>
          <w:noProof/>
          <w:sz w:val="22"/>
        </w:rPr>
        <w:t>3</w:t>
      </w:r>
      <w:r w:rsidRPr="00AC1549">
        <w:rPr>
          <w:sz w:val="22"/>
        </w:rPr>
        <w:fldChar w:fldCharType="end"/>
      </w:r>
      <w:r w:rsidRPr="00CF210D">
        <w:rPr>
          <w:rFonts w:ascii="Times New Roman" w:eastAsia="Times New Roman" w:hAnsi="Times New Roman" w:cs="Times New Roman"/>
          <w:b w:val="0"/>
          <w:sz w:val="22"/>
        </w:rPr>
        <w:t xml:space="preserve"> </w:t>
      </w:r>
      <w:r w:rsidR="002E2B10" w:rsidRPr="00CF210D">
        <w:rPr>
          <w:rFonts w:ascii="Times New Roman" w:eastAsia="Times New Roman" w:hAnsi="Times New Roman" w:cs="Times New Roman"/>
          <w:b w:val="0"/>
          <w:sz w:val="22"/>
        </w:rPr>
        <w:t>Pooled OLS</w:t>
      </w:r>
      <w:r w:rsidR="002E2B10" w:rsidRPr="00CF210D">
        <w:rPr>
          <w:rFonts w:ascii="Times New Roman" w:hAnsi="Times New Roman" w:cs="Times New Roman"/>
          <w:b w:val="0"/>
          <w:iCs/>
          <w:sz w:val="22"/>
        </w:rPr>
        <w:t xml:space="preserve"> regression</w:t>
      </w:r>
      <w:r w:rsidR="002E2B10" w:rsidRPr="00CF210D">
        <w:rPr>
          <w:rFonts w:ascii="Times New Roman" w:eastAsia="Times New Roman" w:hAnsi="Times New Roman" w:cs="Times New Roman"/>
          <w:b w:val="0"/>
          <w:sz w:val="22"/>
        </w:rPr>
        <w:t xml:space="preserve"> </w:t>
      </w:r>
      <w:r w:rsidR="00AC1549">
        <w:rPr>
          <w:rFonts w:ascii="Times New Roman" w:eastAsia="Times New Roman" w:hAnsi="Times New Roman" w:cs="Times New Roman"/>
          <w:b w:val="0"/>
          <w:sz w:val="22"/>
        </w:rPr>
        <w:t>coefficients</w:t>
      </w:r>
      <w:r w:rsidR="002E2B10" w:rsidRPr="00CF210D">
        <w:rPr>
          <w:rFonts w:ascii="Times New Roman" w:eastAsia="Times New Roman" w:hAnsi="Times New Roman" w:cs="Times New Roman"/>
          <w:b w:val="0"/>
          <w:sz w:val="22"/>
        </w:rPr>
        <w:t xml:space="preserve"> </w:t>
      </w:r>
      <w:bookmarkEnd w:id="7"/>
      <w:bookmarkEnd w:id="8"/>
    </w:p>
    <w:p w14:paraId="4C797BF6" w14:textId="77777777" w:rsidR="00AC1549" w:rsidRDefault="00AC1549" w:rsidP="00947FF6">
      <w:pPr>
        <w:spacing w:line="240" w:lineRule="auto"/>
        <w:ind w:firstLine="0"/>
        <w:rPr>
          <w:b/>
          <w:sz w:val="20"/>
          <w:szCs w:val="20"/>
        </w:rPr>
      </w:pPr>
    </w:p>
    <w:p w14:paraId="30670C14" w14:textId="4B5E7B72" w:rsidR="003B74E2" w:rsidRPr="003B74E2" w:rsidRDefault="00AC1549" w:rsidP="00FB39BF">
      <w:pPr>
        <w:spacing w:line="240" w:lineRule="auto"/>
        <w:rPr>
          <w:sz w:val="2"/>
          <w:szCs w:val="2"/>
        </w:rPr>
      </w:pPr>
      <w:r w:rsidRPr="00AC1549">
        <w:rPr>
          <w:b/>
          <w:sz w:val="20"/>
          <w:szCs w:val="20"/>
        </w:rPr>
        <w:t>Note</w:t>
      </w:r>
      <w:r>
        <w:rPr>
          <w:b/>
          <w:sz w:val="20"/>
          <w:szCs w:val="20"/>
        </w:rPr>
        <w:t>:</w:t>
      </w:r>
      <w:r>
        <w:rPr>
          <w:sz w:val="20"/>
          <w:szCs w:val="20"/>
        </w:rPr>
        <w:t xml:space="preserve"> Balance sheet variables included in separate regressions. Estimates in italics are not statistically significant at 5% leve</w:t>
      </w:r>
      <w:r w:rsidR="00947FF6">
        <w:rPr>
          <w:sz w:val="20"/>
          <w:szCs w:val="20"/>
        </w:rPr>
        <w:t>l</w:t>
      </w:r>
      <w:r w:rsidR="00FB39BF">
        <w:rPr>
          <w:sz w:val="20"/>
          <w:szCs w:val="20"/>
        </w:rPr>
        <w:t xml:space="preserve">. </w:t>
      </w:r>
      <w:r w:rsidR="00FB39BF">
        <w:rPr>
          <w:rFonts w:ascii="Times New Roman" w:eastAsia="Calibri" w:hAnsi="Times New Roman" w:cs="Times New Roman"/>
          <w:sz w:val="20"/>
          <w:szCs w:val="20"/>
        </w:rPr>
        <w:t>F</w:t>
      </w:r>
      <w:r w:rsidR="00FB39BF" w:rsidRPr="00FB39BF">
        <w:rPr>
          <w:rFonts w:ascii="Times New Roman" w:eastAsia="Calibri" w:hAnsi="Times New Roman" w:cs="Times New Roman"/>
          <w:sz w:val="20"/>
          <w:szCs w:val="20"/>
        </w:rPr>
        <w:t>ull results are available on request</w:t>
      </w:r>
      <w:r w:rsidR="00FB39BF">
        <w:rPr>
          <w:rFonts w:ascii="Times New Roman" w:eastAsia="Calibri" w:hAnsi="Times New Roman" w:cs="Times New Roman"/>
          <w:sz w:val="20"/>
          <w:szCs w:val="20"/>
        </w:rPr>
        <w:t>.</w:t>
      </w:r>
    </w:p>
    <w:sectPr w:rsidR="003B74E2" w:rsidRPr="003B74E2" w:rsidSect="00AE5640">
      <w:headerReference w:type="default" r:id="rId17"/>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1A3CF" w14:textId="77777777" w:rsidR="0090603F" w:rsidRDefault="0090603F" w:rsidP="00A9244E">
      <w:pPr>
        <w:spacing w:after="0" w:line="240" w:lineRule="auto"/>
      </w:pPr>
      <w:r>
        <w:separator/>
      </w:r>
    </w:p>
  </w:endnote>
  <w:endnote w:type="continuationSeparator" w:id="0">
    <w:p w14:paraId="6DC0F951" w14:textId="77777777" w:rsidR="0090603F" w:rsidRDefault="0090603F" w:rsidP="00A9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Bold">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2F328" w14:textId="77777777" w:rsidR="0090603F" w:rsidRDefault="0090603F" w:rsidP="00A9244E">
      <w:pPr>
        <w:spacing w:after="0" w:line="240" w:lineRule="auto"/>
      </w:pPr>
      <w:r>
        <w:separator/>
      </w:r>
    </w:p>
  </w:footnote>
  <w:footnote w:type="continuationSeparator" w:id="0">
    <w:p w14:paraId="653CC211" w14:textId="77777777" w:rsidR="0090603F" w:rsidRDefault="0090603F" w:rsidP="00A9244E">
      <w:pPr>
        <w:spacing w:after="0" w:line="240" w:lineRule="auto"/>
      </w:pPr>
      <w:r>
        <w:continuationSeparator/>
      </w:r>
    </w:p>
  </w:footnote>
  <w:footnote w:id="1">
    <w:p w14:paraId="5D101BEA" w14:textId="6CD19F16" w:rsidR="007506EB" w:rsidRPr="000E0526" w:rsidRDefault="007506EB">
      <w:pPr>
        <w:pStyle w:val="FootnoteText"/>
      </w:pPr>
      <w:r>
        <w:rPr>
          <w:rStyle w:val="FootnoteReference"/>
        </w:rPr>
        <w:footnoteRef/>
      </w:r>
      <w:r>
        <w:t xml:space="preserve"> Correspondence address: The Open University, Walton Hall, Milton Keynes, MK7 6AA, UK. E</w:t>
      </w:r>
      <w:r w:rsidRPr="00CE2E2C">
        <w:t xml:space="preserve">mail: </w:t>
      </w:r>
      <w:hyperlink r:id="rId1" w:history="1">
        <w:r w:rsidRPr="00CE2E2C">
          <w:rPr>
            <w:rStyle w:val="Hyperlink"/>
          </w:rPr>
          <w:t>hanna.szymborska@open.ac.uk</w:t>
        </w:r>
      </w:hyperlink>
      <w:r w:rsidRPr="00CE2E2C">
        <w:t>.</w:t>
      </w:r>
    </w:p>
  </w:footnote>
  <w:footnote w:id="2">
    <w:p w14:paraId="7816825D" w14:textId="77777777" w:rsidR="007506EB" w:rsidRPr="00A35744" w:rsidRDefault="007506EB" w:rsidP="00595A12">
      <w:pPr>
        <w:pStyle w:val="FootnoteText"/>
      </w:pPr>
      <w:r>
        <w:rPr>
          <w:rStyle w:val="FootnoteReference"/>
        </w:rPr>
        <w:footnoteRef/>
      </w:r>
      <w:r>
        <w:t xml:space="preserve"> The a</w:t>
      </w:r>
      <w:r w:rsidRPr="00E72CE3">
        <w:t xml:space="preserve">nalysis </w:t>
      </w:r>
      <w:r>
        <w:t xml:space="preserve">is </w:t>
      </w:r>
      <w:r w:rsidRPr="00E72CE3">
        <w:t xml:space="preserve">conducted using STATA package </w:t>
      </w:r>
      <w:r>
        <w:rPr>
          <w:i/>
        </w:rPr>
        <w:t>censlope</w:t>
      </w:r>
      <w:r w:rsidRPr="00E72CE3">
        <w:t xml:space="preserve"> developed by </w:t>
      </w:r>
      <w:r>
        <w:t>Newson (2006)</w:t>
      </w:r>
      <w:r w:rsidRPr="00E72CE3">
        <w:t>.</w:t>
      </w:r>
    </w:p>
  </w:footnote>
  <w:footnote w:id="3">
    <w:p w14:paraId="4D2AD1EE" w14:textId="77777777" w:rsidR="007506EB" w:rsidRPr="008E24A4" w:rsidRDefault="007506EB" w:rsidP="00595A12">
      <w:pPr>
        <w:pStyle w:val="FootnoteText"/>
      </w:pPr>
      <w:r>
        <w:rPr>
          <w:rStyle w:val="FootnoteReference"/>
        </w:rPr>
        <w:footnoteRef/>
      </w:r>
      <w:r>
        <w:t xml:space="preserve"> The alternative parameter which is more commonly used in the rank defining literature is the Spearman correlation coefficient (Spearman 1904). However, it is not suitable to be analysed in the survey data setting, and its confidence intervals are less reliable and interpretable (Kendall/Gibbons 1990). The main difference between the Spearman coefficient and Somers D is that the former is calculated as the product-moment correlation between the cumulative distribution functions of two variables rather than the probabilities of concordance/discordance (see next footnote; Newson 2001).</w:t>
      </w:r>
    </w:p>
  </w:footnote>
  <w:footnote w:id="4">
    <w:p w14:paraId="7EC46CF3" w14:textId="77777777" w:rsidR="007506EB" w:rsidRPr="00DC5AAD" w:rsidRDefault="007506EB" w:rsidP="00595A12">
      <w:pPr>
        <w:pStyle w:val="FootnoteText"/>
      </w:pPr>
      <w:r>
        <w:rPr>
          <w:rStyle w:val="FootnoteReference"/>
        </w:rPr>
        <w:footnoteRef/>
      </w:r>
      <w:r>
        <w:t xml:space="preserve"> </w:t>
      </w:r>
      <w:r w:rsidRPr="00A35744">
        <w:t xml:space="preserve">Given two random variables U and V, Somers’ D </w:t>
      </w:r>
      <w:r w:rsidRPr="00A35744">
        <w:rPr>
          <w:i/>
        </w:rPr>
        <w:t>D(U|V)</w:t>
      </w:r>
      <w:r w:rsidRPr="00A35744">
        <w:t xml:space="preserve"> is a conditional probability of concordance or discordance between two ordered pairs of U and V (U</w:t>
      </w:r>
      <w:r w:rsidRPr="00A35744">
        <w:rPr>
          <w:vertAlign w:val="subscript"/>
        </w:rPr>
        <w:t>1</w:t>
      </w:r>
      <w:r w:rsidRPr="00A35744">
        <w:t>, U</w:t>
      </w:r>
      <w:r w:rsidRPr="00A35744">
        <w:rPr>
          <w:vertAlign w:val="subscript"/>
        </w:rPr>
        <w:t>2</w:t>
      </w:r>
      <w:r w:rsidRPr="00A35744">
        <w:t>) and (V</w:t>
      </w:r>
      <w:proofErr w:type="gramStart"/>
      <w:r w:rsidRPr="00A35744">
        <w:rPr>
          <w:vertAlign w:val="subscript"/>
        </w:rPr>
        <w:t>1</w:t>
      </w:r>
      <w:r w:rsidRPr="00A35744">
        <w:t>,V</w:t>
      </w:r>
      <w:proofErr w:type="gramEnd"/>
      <w:r w:rsidRPr="00A35744">
        <w:rPr>
          <w:vertAlign w:val="subscript"/>
        </w:rPr>
        <w:t>2</w:t>
      </w:r>
      <w:r w:rsidRPr="00A35744">
        <w:t>), where U</w:t>
      </w:r>
      <w:r w:rsidRPr="00A35744">
        <w:rPr>
          <w:vertAlign w:val="subscript"/>
        </w:rPr>
        <w:t>1</w:t>
      </w:r>
      <w:r w:rsidRPr="00A35744">
        <w:t>&lt;U</w:t>
      </w:r>
      <w:r w:rsidRPr="00A35744">
        <w:rPr>
          <w:vertAlign w:val="subscript"/>
        </w:rPr>
        <w:t>2</w:t>
      </w:r>
      <w:r w:rsidRPr="00A35744">
        <w:t xml:space="preserve"> </w:t>
      </w:r>
      <w:r>
        <w:t>and V</w:t>
      </w:r>
      <w:r w:rsidRPr="00A35744">
        <w:rPr>
          <w:vertAlign w:val="subscript"/>
        </w:rPr>
        <w:t>1</w:t>
      </w:r>
      <w:r>
        <w:t>&lt;V</w:t>
      </w:r>
      <w:r w:rsidRPr="00A35744">
        <w:rPr>
          <w:vertAlign w:val="subscript"/>
        </w:rPr>
        <w:t>2</w:t>
      </w:r>
      <w:r w:rsidRPr="00A35744">
        <w:t xml:space="preserve"> (Newson 2001:2). U and V are concordant if the larger of the two values of U is associated with a greater value of V, and they are discordant if </w:t>
      </w:r>
      <w:r>
        <w:t xml:space="preserve">the </w:t>
      </w:r>
      <w:r w:rsidRPr="00A35744">
        <w:t xml:space="preserve">larger U-value is related to a smaller of the two values of V. Similarly to </w:t>
      </w:r>
      <w:r>
        <w:t>other correlation coefficients</w:t>
      </w:r>
      <w:r w:rsidRPr="00A35744">
        <w:t xml:space="preserve"> </w:t>
      </w:r>
      <w:r w:rsidRPr="00A35744">
        <w:rPr>
          <w:i/>
        </w:rPr>
        <w:t>D(U|</w:t>
      </w:r>
      <w:proofErr w:type="gramStart"/>
      <w:r w:rsidRPr="00A35744">
        <w:rPr>
          <w:i/>
        </w:rPr>
        <w:t>V</w:t>
      </w:r>
      <w:r w:rsidRPr="00A35744">
        <w:t>)</w:t>
      </w:r>
      <w:r w:rsidRPr="00A35744">
        <w:rPr>
          <w:rFonts w:ascii="MS Mincho" w:eastAsia="MS Mincho" w:hAnsi="MS Mincho" w:cs="MS Mincho"/>
        </w:rPr>
        <w:t>∈</w:t>
      </w:r>
      <w:proofErr w:type="gramEnd"/>
      <w:r w:rsidRPr="00A35744">
        <w:t>(-1,1).</w:t>
      </w:r>
    </w:p>
  </w:footnote>
  <w:footnote w:id="5">
    <w:p w14:paraId="4A1E2EDA" w14:textId="74FB8B75" w:rsidR="007506EB" w:rsidRPr="00CB2341" w:rsidRDefault="007506EB">
      <w:pPr>
        <w:pStyle w:val="FootnoteText"/>
      </w:pPr>
      <w:r>
        <w:rPr>
          <w:rStyle w:val="FootnoteReference"/>
        </w:rPr>
        <w:footnoteRef/>
      </w:r>
      <w:r>
        <w:t xml:space="preserve"> Note that in the publicly available version of SCF no information on geographical location is disclosed, which prevents analyses of regional inequalities in the USA.</w:t>
      </w:r>
    </w:p>
  </w:footnote>
  <w:footnote w:id="6">
    <w:p w14:paraId="1412F3B5" w14:textId="08614F5C" w:rsidR="007506EB" w:rsidRPr="00DB103D" w:rsidRDefault="007506EB">
      <w:pPr>
        <w:pStyle w:val="FootnoteText"/>
      </w:pPr>
      <w:r>
        <w:rPr>
          <w:rStyle w:val="FootnoteReference"/>
        </w:rPr>
        <w:footnoteRef/>
      </w:r>
      <w:r>
        <w:t xml:space="preserve"> To address the problem of sensitivity of OLS estimates to outliers, the dependent variable is censored at the top and bottom 1%.</w:t>
      </w:r>
    </w:p>
  </w:footnote>
  <w:footnote w:id="7">
    <w:p w14:paraId="7ED60C79" w14:textId="027A20E5" w:rsidR="007506EB" w:rsidRPr="009F7EEB" w:rsidRDefault="007506EB">
      <w:pPr>
        <w:pStyle w:val="FootnoteText"/>
      </w:pPr>
      <w:r>
        <w:rPr>
          <w:rStyle w:val="FootnoteReference"/>
        </w:rPr>
        <w:footnoteRef/>
      </w:r>
      <w:r>
        <w:t xml:space="preserve"> In addition to the aforementioned conceptual problems with regression analysis on multiply imputed survey data, there are substantial software limitations which prevent consideration of more advanced econometric techniques dealing with endogeneity and non-normal errors.</w:t>
      </w:r>
    </w:p>
  </w:footnote>
  <w:footnote w:id="8">
    <w:p w14:paraId="468DCA51" w14:textId="290D291F" w:rsidR="007506EB" w:rsidRPr="00C67ED8" w:rsidRDefault="007506EB">
      <w:pPr>
        <w:pStyle w:val="FootnoteText"/>
      </w:pPr>
      <w:r>
        <w:rPr>
          <w:rStyle w:val="FootnoteReference"/>
        </w:rPr>
        <w:footnoteRef/>
      </w:r>
      <w:r>
        <w:t xml:space="preserve"> I</w:t>
      </w:r>
      <w:r w:rsidRPr="00C67ED8">
        <w:t xml:space="preserve">ncome is composed of wages, capital income (i.e. self-employment, business, and farm ownership income; taxable and non-taxable interest and dividend payments; social security income and withdrawals from retirement accounts excluding defined benefit plans; and realised capital gains or losses), </w:t>
      </w:r>
      <w:r>
        <w:t xml:space="preserve">and </w:t>
      </w:r>
      <w:r w:rsidRPr="00C67ED8">
        <w:t>income from transfers and other sources (such as unemployment benefits, food stamps, child support, alimony payments, and other miscellaneous sources)</w:t>
      </w:r>
      <w:r>
        <w:t>.</w:t>
      </w:r>
    </w:p>
  </w:footnote>
  <w:footnote w:id="9">
    <w:p w14:paraId="32246E62" w14:textId="6A3FC724" w:rsidR="007506EB" w:rsidRPr="0099081D" w:rsidRDefault="007506EB" w:rsidP="003E37BB">
      <w:pPr>
        <w:pStyle w:val="FootnoteText"/>
      </w:pPr>
      <w:r>
        <w:rPr>
          <w:rStyle w:val="FootnoteReference"/>
        </w:rPr>
        <w:footnoteRef/>
      </w:r>
      <w:r>
        <w:t xml:space="preserve"> </w:t>
      </w:r>
      <w:r w:rsidRPr="0099081D">
        <w:t>Financial investment assets include certificates of deposits, savings bonds, bonds, stocks, other managed assets, pooled investment funds, i.e. non-money market mutual funds, and other financial assets. Retirement and insurance assets include the Individual Retirement Accounts, Keogh accounts, 401(k), and other retirement accounts, as well as the cash value of life insurance plans.</w:t>
      </w:r>
      <w:r w:rsidRPr="001162AF">
        <w:t xml:space="preserve"> </w:t>
      </w:r>
      <w:r w:rsidRPr="00CE2E2C">
        <w:t>Transaction accounts include call, checking, and saving accounts, money market deposit accounts, and money market mutual funds.</w:t>
      </w:r>
    </w:p>
  </w:footnote>
  <w:footnote w:id="10">
    <w:p w14:paraId="5FBFD7F2" w14:textId="0264B7AB" w:rsidR="007506EB" w:rsidRPr="003E37BB" w:rsidRDefault="007506EB">
      <w:pPr>
        <w:pStyle w:val="FootnoteText"/>
      </w:pPr>
      <w:r>
        <w:rPr>
          <w:rStyle w:val="FootnoteReference"/>
        </w:rPr>
        <w:footnoteRef/>
      </w:r>
      <w:r>
        <w:t xml:space="preserve"> Property</w:t>
      </w:r>
      <w:r w:rsidRPr="00CE2E2C">
        <w:t xml:space="preserve"> is defined by the reported market value. Business equity is measured in net terms. </w:t>
      </w:r>
    </w:p>
  </w:footnote>
  <w:footnote w:id="11">
    <w:p w14:paraId="7F4753F6" w14:textId="268120A8" w:rsidR="007506EB" w:rsidRPr="0099081D" w:rsidRDefault="007506EB">
      <w:pPr>
        <w:pStyle w:val="FootnoteText"/>
      </w:pPr>
      <w:r>
        <w:rPr>
          <w:rStyle w:val="FootnoteReference"/>
        </w:rPr>
        <w:footnoteRef/>
      </w:r>
      <w:r>
        <w:t xml:space="preserve"> </w:t>
      </w:r>
      <w:r w:rsidRPr="0099081D">
        <w:t xml:space="preserve">Secured debt is </w:t>
      </w:r>
      <w:r>
        <w:t>defined</w:t>
      </w:r>
      <w:r w:rsidRPr="0099081D">
        <w:t xml:space="preserve"> as the amount outstanding on mortgages and home equity lines of credit secured by primary residence and </w:t>
      </w:r>
      <w:r>
        <w:t xml:space="preserve">by </w:t>
      </w:r>
      <w:r w:rsidRPr="0099081D">
        <w:t xml:space="preserve">other property. Unsecured debt is </w:t>
      </w:r>
      <w:r>
        <w:t>measured</w:t>
      </w:r>
      <w:r w:rsidRPr="0099081D">
        <w:t xml:space="preserve"> as credit card balances and instalment loans (which include vehicle, student, and consumer loans). Other debt </w:t>
      </w:r>
      <w:r>
        <w:t>incudes</w:t>
      </w:r>
      <w:r w:rsidRPr="0099081D">
        <w:t xml:space="preserve"> other unsecured lines of credit and other miscellaneous forms of debt (e.g. debt to family members, borrowing against insurance policies or pension accounts, margin debt, etc.).</w:t>
      </w:r>
    </w:p>
  </w:footnote>
  <w:footnote w:id="12">
    <w:p w14:paraId="2E8E601D" w14:textId="0162DEB4" w:rsidR="007506EB" w:rsidRPr="009620F8" w:rsidRDefault="007506EB">
      <w:pPr>
        <w:pStyle w:val="FootnoteText"/>
      </w:pPr>
      <w:r>
        <w:rPr>
          <w:rStyle w:val="FootnoteReference"/>
        </w:rPr>
        <w:footnoteRef/>
      </w:r>
      <w:r>
        <w:t xml:space="preserve"> Whites include Caucasian, non-Hispanic, and Middle Eastern/Arab respondents. Other ethnicities include Asian, American Indian/Alaska Native, Native Hawaiian/Pacific Islander respondents, and others.</w:t>
      </w:r>
    </w:p>
  </w:footnote>
  <w:footnote w:id="13">
    <w:p w14:paraId="00A8F476" w14:textId="0B33F760" w:rsidR="007506EB" w:rsidRPr="006D7A4A" w:rsidRDefault="007506EB">
      <w:pPr>
        <w:pStyle w:val="FootnoteText"/>
      </w:pPr>
      <w:r>
        <w:rPr>
          <w:rStyle w:val="FootnoteReference"/>
        </w:rPr>
        <w:footnoteRef/>
      </w:r>
      <w:r>
        <w:t xml:space="preserve"> This is also because relative income is measured at the household level and not at the level of individual earners.</w:t>
      </w:r>
    </w:p>
  </w:footnote>
  <w:footnote w:id="14">
    <w:p w14:paraId="67C3F98C" w14:textId="0E92B0AF" w:rsidR="007506EB" w:rsidRPr="00726EBF" w:rsidRDefault="007506EB">
      <w:pPr>
        <w:pStyle w:val="FootnoteText"/>
      </w:pPr>
      <w:r>
        <w:rPr>
          <w:rStyle w:val="FootnoteReference"/>
        </w:rPr>
        <w:footnoteRef/>
      </w:r>
      <w:r>
        <w:t xml:space="preserve"> Greenwood </w:t>
      </w:r>
      <w:r>
        <w:rPr>
          <w:i/>
        </w:rPr>
        <w:t>et al</w:t>
      </w:r>
      <w:r>
        <w:t xml:space="preserve">. (2014) find that income inequality is determined by assortative mating. When individuals with similar education levels and financial circumstances are more likely to marry each other, the pool of potential financial resources available to the married household is higher than when choice of spouse is random, owing to higher initial education and income levels of spouses. </w:t>
      </w:r>
    </w:p>
  </w:footnote>
  <w:footnote w:id="15">
    <w:p w14:paraId="551CD8EE" w14:textId="3BFD27AE" w:rsidR="007506EB" w:rsidRPr="000E441A" w:rsidRDefault="007506EB">
      <w:pPr>
        <w:pStyle w:val="FootnoteText"/>
      </w:pPr>
      <w:r>
        <w:rPr>
          <w:rStyle w:val="FootnoteReference"/>
        </w:rPr>
        <w:footnoteRef/>
      </w:r>
      <w:r>
        <w:t xml:space="preserve"> </w:t>
      </w:r>
      <w:r w:rsidRPr="000E441A">
        <w:t>While marital status is highl</w:t>
      </w:r>
      <w:r>
        <w:t xml:space="preserve">y </w:t>
      </w:r>
      <w:r w:rsidRPr="000E441A">
        <w:t>correlated with gender of household head (correlation coefficient of 0.7</w:t>
      </w:r>
      <w:r>
        <w:t>2, see Table B2 in Appendix B</w:t>
      </w:r>
      <w:r w:rsidRPr="000E441A">
        <w:t>)</w:t>
      </w:r>
      <w:r>
        <w:t>, results of the extra-sum-of-squares F test indicate that exclusion of marital status from regression specification leads to a loss of explanatory power by the regression model.</w:t>
      </w:r>
    </w:p>
  </w:footnote>
  <w:footnote w:id="16">
    <w:p w14:paraId="35759C99" w14:textId="2CAB55B6" w:rsidR="007506EB" w:rsidRPr="00572847" w:rsidRDefault="007506EB">
      <w:pPr>
        <w:pStyle w:val="FootnoteText"/>
      </w:pPr>
      <w:r>
        <w:rPr>
          <w:rStyle w:val="FootnoteReference"/>
        </w:rPr>
        <w:footnoteRef/>
      </w:r>
      <w:r>
        <w:t xml:space="preserve"> The reason for considering labour force participation of only the household head is that it is more likely to affect the financial position of a household than if another household member is out of labour force. In the latter situation, the financial implications may have been factored in the decision of that household member to be out of labour force, as the household has another stable income stream from labour performed by the household head. In contrast, unemployment of any household member is likely to influence household’s financial position as it suggests an interruption of a previous income stream for the household.</w:t>
      </w:r>
    </w:p>
  </w:footnote>
  <w:footnote w:id="17">
    <w:p w14:paraId="48087B55" w14:textId="513B4B56" w:rsidR="007506EB" w:rsidRDefault="007506EB" w:rsidP="00F64681">
      <w:pPr>
        <w:pStyle w:val="FootnoteText"/>
      </w:pPr>
      <w:r>
        <w:rPr>
          <w:rStyle w:val="FootnoteReference"/>
        </w:rPr>
        <w:footnoteRef/>
      </w:r>
      <w:r>
        <w:t xml:space="preserve"> Due to the construction of the </w:t>
      </w:r>
      <w:r w:rsidRPr="00395C0F">
        <w:rPr>
          <w:i/>
        </w:rPr>
        <w:t>censlope</w:t>
      </w:r>
      <w:r>
        <w:t xml:space="preserve"> module, confidence intervals for the Theil-Sen median slope are calculated using the jackknife standard errors. The main difference between jackknife and bootstrap standard errors is that the jackknife procedure is less computationally intensive compared to the bootstrapping technique as it uses less replicates (cf. Schiel 2011).</w:t>
      </w:r>
    </w:p>
  </w:footnote>
  <w:footnote w:id="18">
    <w:p w14:paraId="23B3CA49" w14:textId="2F37D862" w:rsidR="007506EB" w:rsidRPr="009F5905" w:rsidRDefault="007506EB">
      <w:pPr>
        <w:pStyle w:val="FootnoteText"/>
      </w:pPr>
      <w:r>
        <w:rPr>
          <w:rStyle w:val="FootnoteReference"/>
        </w:rPr>
        <w:footnoteRef/>
      </w:r>
      <w:r>
        <w:t xml:space="preserve"> F</w:t>
      </w:r>
      <w:r w:rsidRPr="009F5905">
        <w:t>or instance, in 2013 there were only 205 married female households, compared to 18,640 married male households</w:t>
      </w:r>
      <w:r>
        <w:t>.</w:t>
      </w:r>
    </w:p>
  </w:footnote>
  <w:footnote w:id="19">
    <w:p w14:paraId="78F7FE81" w14:textId="660DFB83" w:rsidR="007506EB" w:rsidRDefault="007506EB">
      <w:pPr>
        <w:pStyle w:val="FootnoteText"/>
      </w:pPr>
      <w:r>
        <w:rPr>
          <w:rStyle w:val="FootnoteReference"/>
        </w:rPr>
        <w:footnoteRef/>
      </w:r>
      <w:r>
        <w:t xml:space="preserve"> Categorisation of racial groups is motivated by their availability in the dataset and similar patterns of wealth accumulation between 1989-2013 for household headed by Blacks and Latinos vs. households headed by Whites and other ethnic groups (source: U.S. Survey of Consumer Finances, cf. Williams 2016).</w:t>
      </w:r>
    </w:p>
  </w:footnote>
  <w:footnote w:id="20">
    <w:p w14:paraId="67D577C5" w14:textId="6A8ABB6B" w:rsidR="007506EB" w:rsidRPr="0080111C" w:rsidRDefault="007506EB">
      <w:pPr>
        <w:pStyle w:val="FootnoteText"/>
      </w:pPr>
      <w:r>
        <w:rPr>
          <w:rStyle w:val="FootnoteReference"/>
        </w:rPr>
        <w:footnoteRef/>
      </w:r>
      <w:r>
        <w:t xml:space="preserve"> The definition of millennials is </w:t>
      </w:r>
      <w:r w:rsidR="00530F03">
        <w:t>vaguer</w:t>
      </w:r>
      <w:r>
        <w:t xml:space="preserve"> than of baby boomers, and ranges from those born in 1980-1982 to 1996-1997 and even the early 2000s depending on the chosen frame of reference (Dimock 2019).</w:t>
      </w:r>
    </w:p>
  </w:footnote>
  <w:footnote w:id="21">
    <w:p w14:paraId="1A86ADAC" w14:textId="7180DE54" w:rsidR="007506EB" w:rsidRPr="0080111C" w:rsidRDefault="007506EB">
      <w:pPr>
        <w:pStyle w:val="FootnoteText"/>
      </w:pPr>
      <w:r>
        <w:rPr>
          <w:rStyle w:val="FootnoteReference"/>
        </w:rPr>
        <w:footnoteRef/>
      </w:r>
      <w:r>
        <w:t xml:space="preserve"> Baby boomers are defined by the U.S. Census as those born between 1946 and 1964 (Hogan, Perez, and Bell 2008).</w:t>
      </w:r>
    </w:p>
  </w:footnote>
  <w:footnote w:id="22">
    <w:p w14:paraId="4187A987" w14:textId="23F90C8F" w:rsidR="007506EB" w:rsidRPr="006636CA" w:rsidRDefault="007506EB">
      <w:pPr>
        <w:pStyle w:val="FootnoteText"/>
      </w:pPr>
      <w:r>
        <w:rPr>
          <w:rStyle w:val="FootnoteReference"/>
        </w:rPr>
        <w:footnoteRef/>
      </w:r>
      <w:r>
        <w:t xml:space="preserve"> The lower bound is given by the observation that the youngest respondents aged 18 or over in the 2013 survey had to be born in </w:t>
      </w:r>
      <w:r w:rsidRPr="006636CA">
        <w:t xml:space="preserve">1995 </w:t>
      </w:r>
      <w:r>
        <w:t>or earlier.</w:t>
      </w:r>
    </w:p>
  </w:footnote>
  <w:footnote w:id="23">
    <w:p w14:paraId="110356DB" w14:textId="69283612" w:rsidR="007506EB" w:rsidRPr="00FB7FA5" w:rsidRDefault="007506EB">
      <w:pPr>
        <w:pStyle w:val="FootnoteText"/>
      </w:pPr>
      <w:r>
        <w:rPr>
          <w:rStyle w:val="FootnoteReference"/>
        </w:rPr>
        <w:footnoteRef/>
      </w:r>
      <w:r>
        <w:t xml:space="preserve"> While</w:t>
      </w:r>
      <w:r w:rsidRPr="00FB7FA5">
        <w:t xml:space="preserve"> millennials appear </w:t>
      </w:r>
      <w:r>
        <w:t>in the sample</w:t>
      </w:r>
      <w:r w:rsidRPr="00FB7FA5">
        <w:t xml:space="preserve"> since the 1998 </w:t>
      </w:r>
      <w:r>
        <w:t xml:space="preserve">survey (when they were 18 years old at the </w:t>
      </w:r>
      <w:r w:rsidR="00530F03">
        <w:t>upper</w:t>
      </w:r>
      <w:r>
        <w:t xml:space="preserve"> bound), in 1998 the number of observations across millennials and baby boomers is highly unbalanced (70 vs. 8,949), and so the analysis begins in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C365" w14:textId="77777777" w:rsidR="007506EB" w:rsidRDefault="007506EB" w:rsidP="00516BF5">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F32A5" w14:textId="77777777" w:rsidR="007506EB" w:rsidRPr="00A8123A" w:rsidRDefault="007506EB" w:rsidP="00B12778">
    <w:pPr>
      <w:pStyle w:val="Heading1"/>
      <w:numPr>
        <w:ilvl w:val="0"/>
        <w:numId w:val="0"/>
      </w:numPr>
      <w:tabs>
        <w:tab w:val="right" w:pos="15173"/>
      </w:tabs>
      <w:ind w:left="-567"/>
      <w:rPr>
        <w:rFonts w:ascii="Times" w:hAnsi="Times"/>
        <w:i/>
        <w:color w:val="000000" w:themeColor="text1"/>
        <w:sz w:val="24"/>
        <w:szCs w:val="24"/>
      </w:rPr>
    </w:pPr>
    <w:r w:rsidRPr="00037328">
      <w:rPr>
        <w:i/>
        <w:noProof/>
        <w:color w:val="000000" w:themeColor="text1"/>
        <w:lang w:eastAsia="en-GB"/>
      </w:rPr>
      <mc:AlternateContent>
        <mc:Choice Requires="wps">
          <w:drawing>
            <wp:anchor distT="45720" distB="45720" distL="114300" distR="114300" simplePos="0" relativeHeight="251659264" behindDoc="1" locked="0" layoutInCell="1" allowOverlap="1" wp14:anchorId="6481FF1E" wp14:editId="6A250D32">
              <wp:simplePos x="0" y="0"/>
              <wp:positionH relativeFrom="column">
                <wp:posOffset>9342755</wp:posOffset>
              </wp:positionH>
              <wp:positionV relativeFrom="margin">
                <wp:posOffset>2926737</wp:posOffset>
              </wp:positionV>
              <wp:extent cx="590550" cy="480060"/>
              <wp:effectExtent l="4445" t="0" r="0"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90550" cy="480060"/>
                      </a:xfrm>
                      <a:prstGeom prst="rect">
                        <a:avLst/>
                      </a:prstGeom>
                      <a:noFill/>
                      <a:ln w="9525">
                        <a:noFill/>
                        <a:miter lim="800000"/>
                        <a:headEnd/>
                        <a:tailEnd/>
                      </a:ln>
                    </wps:spPr>
                    <wps:txbx>
                      <w:txbxContent>
                        <w:p w14:paraId="236EE101" w14:textId="77777777" w:rsidR="007506EB" w:rsidRDefault="007506EB" w:rsidP="00B12778">
                          <w:pPr>
                            <w:pStyle w:val="Header"/>
                            <w:spacing w:before="80"/>
                            <w:ind w:firstLine="0"/>
                          </w:pPr>
                          <w:r>
                            <w:rPr>
                              <w:rStyle w:val="PageNumber"/>
                            </w:rPr>
                            <w:fldChar w:fldCharType="begin"/>
                          </w:r>
                          <w:r>
                            <w:rPr>
                              <w:rStyle w:val="PageNumber"/>
                            </w:rPr>
                            <w:instrText xml:space="preserve">PAGE  </w:instrText>
                          </w:r>
                          <w:r>
                            <w:rPr>
                              <w:rStyle w:val="PageNumber"/>
                            </w:rPr>
                            <w:fldChar w:fldCharType="separate"/>
                          </w:r>
                          <w:r>
                            <w:rPr>
                              <w:rStyle w:val="PageNumber"/>
                              <w:noProof/>
                            </w:rPr>
                            <w:t>184</w:t>
                          </w:r>
                          <w:r>
                            <w:rPr>
                              <w:rStyle w:val="PageNumbe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81FF1E" id="_x0000_t202" coordsize="21600,21600" o:spt="202" path="m,l,21600r21600,l21600,xe">
              <v:stroke joinstyle="miter"/>
              <v:path gradientshapeok="t" o:connecttype="rect"/>
            </v:shapetype>
            <v:shape id="_x0000_s1027" type="#_x0000_t202" style="position:absolute;left:0;text-align:left;margin-left:735.65pt;margin-top:230.45pt;width:46.5pt;height:37.8pt;rotation:90;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" filled="f" stroked="f">
              <v:textbox style="mso-fit-shape-to-text:t">
                <w:txbxContent>
                  <w:p w14:paraId="236EE101" w14:textId="77777777" w:rsidR="007506EB" w:rsidRDefault="007506EB" w:rsidP="00B12778">
                    <w:pPr>
                      <w:pStyle w:val="Header"/>
                      <w:spacing w:before="80"/>
                      <w:ind w:firstLine="0"/>
                    </w:pPr>
                    <w:r>
                      <w:rPr>
                        <w:rStyle w:val="PageNumber"/>
                      </w:rPr>
                      <w:fldChar w:fldCharType="begin"/>
                    </w:r>
                    <w:r>
                      <w:rPr>
                        <w:rStyle w:val="PageNumber"/>
                      </w:rPr>
                      <w:instrText xml:space="preserve">PAGE  </w:instrText>
                    </w:r>
                    <w:r>
                      <w:rPr>
                        <w:rStyle w:val="PageNumber"/>
                      </w:rPr>
                      <w:fldChar w:fldCharType="separate"/>
                    </w:r>
                    <w:r>
                      <w:rPr>
                        <w:rStyle w:val="PageNumber"/>
                        <w:noProof/>
                      </w:rPr>
                      <w:t>184</w:t>
                    </w:r>
                    <w:r>
                      <w:rPr>
                        <w:rStyle w:val="PageNumber"/>
                      </w:rPr>
                      <w:fldChar w:fldCharType="end"/>
                    </w:r>
                  </w:p>
                </w:txbxContent>
              </v:textbox>
              <w10:wrap anchory="margin"/>
            </v:shape>
          </w:pict>
        </mc:Fallback>
      </mc:AlternateContent>
    </w:r>
    <w:r w:rsidRPr="00037328">
      <w:rPr>
        <w:i/>
        <w:noProof/>
        <w:color w:val="000000" w:themeColor="text1"/>
        <w:lang w:eastAsia="en-GB"/>
      </w:rPr>
      <mc:AlternateContent>
        <mc:Choice Requires="wps">
          <w:drawing>
            <wp:anchor distT="45720" distB="45720" distL="114300" distR="114300" simplePos="0" relativeHeight="251660288" behindDoc="1" locked="0" layoutInCell="1" allowOverlap="1" wp14:anchorId="2A781533" wp14:editId="5BD21DCB">
              <wp:simplePos x="0" y="0"/>
              <wp:positionH relativeFrom="column">
                <wp:posOffset>8766700</wp:posOffset>
              </wp:positionH>
              <wp:positionV relativeFrom="margin">
                <wp:posOffset>-85922</wp:posOffset>
              </wp:positionV>
              <wp:extent cx="1697990" cy="440690"/>
              <wp:effectExtent l="0" t="0" r="3493"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97990" cy="440690"/>
                      </a:xfrm>
                      <a:prstGeom prst="rect">
                        <a:avLst/>
                      </a:prstGeom>
                      <a:noFill/>
                      <a:ln w="9525">
                        <a:noFill/>
                        <a:miter lim="800000"/>
                        <a:headEnd/>
                        <a:tailEnd/>
                      </a:ln>
                    </wps:spPr>
                    <wps:txbx>
                      <w:txbxContent>
                        <w:p w14:paraId="65BD9651" w14:textId="77777777" w:rsidR="007506EB" w:rsidRDefault="007506EB" w:rsidP="00B12778">
                          <w:pPr>
                            <w:ind w:firstLine="0"/>
                          </w:pPr>
                          <w:r>
                            <w:rPr>
                              <w:i/>
                              <w:color w:val="000000" w:themeColor="text1"/>
                              <w:sz w:val="24"/>
                            </w:rPr>
                            <w:t xml:space="preserve">––– </w:t>
                          </w:r>
                          <w:r w:rsidRPr="007F6BE1">
                            <w:rPr>
                              <w:i/>
                              <w:color w:val="000000" w:themeColor="text1"/>
                              <w:szCs w:val="23"/>
                            </w:rPr>
                            <w:fldChar w:fldCharType="begin"/>
                          </w:r>
                          <w:r w:rsidRPr="007F6BE1">
                            <w:rPr>
                              <w:i/>
                              <w:color w:val="000000" w:themeColor="text1"/>
                              <w:szCs w:val="23"/>
                            </w:rPr>
                            <w:instrText xml:space="preserve"> STYLEREF "My Heading 1" \* MERGEFORMAT </w:instrText>
                          </w:r>
                          <w:r w:rsidRPr="007F6BE1">
                            <w:rPr>
                              <w:i/>
                              <w:color w:val="000000" w:themeColor="text1"/>
                              <w:szCs w:val="23"/>
                            </w:rPr>
                            <w:fldChar w:fldCharType="separate"/>
                          </w:r>
                          <w:r>
                            <w:rPr>
                              <w:i/>
                              <w:noProof/>
                              <w:color w:val="000000" w:themeColor="text1"/>
                              <w:szCs w:val="23"/>
                            </w:rPr>
                            <w:t>Abstract</w:t>
                          </w:r>
                          <w:r w:rsidRPr="007F6BE1">
                            <w:rPr>
                              <w:i/>
                              <w:color w:val="000000" w:themeColor="text1"/>
                              <w:szCs w:val="23"/>
                            </w:rPr>
                            <w:fldChar w:fldCharType="end"/>
                          </w:r>
                          <w:r>
                            <w:rPr>
                              <w:i/>
                              <w:color w:val="000000" w:themeColor="text1"/>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81533" id="_x0000_s1028" type="#_x0000_t202" style="position:absolute;left:0;text-align:left;margin-left:690.3pt;margin-top:-6.75pt;width:133.7pt;height:34.7pt;rotation:90;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" filled="f" stroked="f">
              <v:textbox style="mso-fit-shape-to-text:t">
                <w:txbxContent>
                  <w:p w14:paraId="65BD9651" w14:textId="77777777" w:rsidR="007506EB" w:rsidRDefault="007506EB" w:rsidP="00B12778">
                    <w:pPr>
                      <w:ind w:firstLine="0"/>
                    </w:pPr>
                    <w:r>
                      <w:rPr>
                        <w:i/>
                        <w:color w:val="000000" w:themeColor="text1"/>
                        <w:sz w:val="24"/>
                      </w:rPr>
                      <w:t xml:space="preserve">––– </w:t>
                    </w:r>
                    <w:r w:rsidRPr="007F6BE1">
                      <w:rPr>
                        <w:i/>
                        <w:color w:val="000000" w:themeColor="text1"/>
                        <w:szCs w:val="23"/>
                      </w:rPr>
                      <w:fldChar w:fldCharType="begin"/>
                    </w:r>
                    <w:r w:rsidRPr="007F6BE1">
                      <w:rPr>
                        <w:i/>
                        <w:color w:val="000000" w:themeColor="text1"/>
                        <w:szCs w:val="23"/>
                      </w:rPr>
                      <w:instrText xml:space="preserve"> STYLEREF "My Heading 1" \* MERGEFORMAT </w:instrText>
                    </w:r>
                    <w:r w:rsidRPr="007F6BE1">
                      <w:rPr>
                        <w:i/>
                        <w:color w:val="000000" w:themeColor="text1"/>
                        <w:szCs w:val="23"/>
                      </w:rPr>
                      <w:fldChar w:fldCharType="separate"/>
                    </w:r>
                    <w:r>
                      <w:rPr>
                        <w:i/>
                        <w:noProof/>
                        <w:color w:val="000000" w:themeColor="text1"/>
                        <w:szCs w:val="23"/>
                      </w:rPr>
                      <w:t>Abstract</w:t>
                    </w:r>
                    <w:r w:rsidRPr="007F6BE1">
                      <w:rPr>
                        <w:i/>
                        <w:color w:val="000000" w:themeColor="text1"/>
                        <w:szCs w:val="23"/>
                      </w:rPr>
                      <w:fldChar w:fldCharType="end"/>
                    </w:r>
                    <w:r>
                      <w:rPr>
                        <w:i/>
                        <w:color w:val="000000" w:themeColor="text1"/>
                        <w:sz w:val="24"/>
                      </w:rPr>
                      <w:t xml:space="preserve"> –––</w:t>
                    </w:r>
                  </w:p>
                </w:txbxContent>
              </v:textbox>
              <w10:wrap anchory="margin"/>
            </v:shape>
          </w:pict>
        </mc:Fallback>
      </mc:AlternateContent>
    </w:r>
    <w:r>
      <w:rPr>
        <w:rFonts w:ascii="Times" w:hAnsi="Times"/>
        <w:i/>
        <w:color w:val="000000" w:themeColor="text1"/>
        <w:sz w:val="24"/>
        <w:szCs w:val="24"/>
      </w:rPr>
      <w:tab/>
    </w:r>
  </w:p>
  <w:p w14:paraId="1F974450" w14:textId="77777777" w:rsidR="007506EB" w:rsidRDefault="007506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D1BB" w14:textId="77777777" w:rsidR="007506EB" w:rsidRDefault="007506EB" w:rsidP="00516BF5">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sdt>
    <w:sdtPr>
      <w:id w:val="-218818997"/>
      <w:docPartObj>
        <w:docPartGallery w:val="Page Numbers (Top of Page)"/>
        <w:docPartUnique/>
      </w:docPartObj>
    </w:sdtPr>
    <w:sdtEndPr>
      <w:rPr>
        <w:noProof/>
      </w:rPr>
    </w:sdtEndPr>
    <w:sdtContent>
      <w:p w14:paraId="79E2998C" w14:textId="4D5E3061" w:rsidR="007506EB" w:rsidRPr="009E5822" w:rsidRDefault="007506EB" w:rsidP="00B12778">
        <w:pPr>
          <w:ind w:right="-619"/>
          <w:jc w:val="right"/>
          <w:rPr>
            <w:i/>
            <w:sz w:val="2"/>
            <w:szCs w:val="2"/>
          </w:rPr>
        </w:pPr>
        <w:r>
          <w:rPr>
            <w:noProof/>
          </w:rPr>
          <w:tab/>
        </w:r>
      </w:p>
    </w:sdtContent>
  </w:sdt>
  <w:p w14:paraId="3434011C" w14:textId="646427BB" w:rsidR="007506EB" w:rsidRDefault="007506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9AE2" w14:textId="77777777" w:rsidR="007506EB" w:rsidRPr="00A8123A" w:rsidRDefault="007506EB" w:rsidP="00B12778">
    <w:pPr>
      <w:pStyle w:val="Heading1"/>
      <w:numPr>
        <w:ilvl w:val="0"/>
        <w:numId w:val="0"/>
      </w:numPr>
      <w:tabs>
        <w:tab w:val="right" w:pos="15173"/>
      </w:tabs>
      <w:ind w:left="-567"/>
      <w:rPr>
        <w:rFonts w:ascii="Times" w:hAnsi="Times"/>
        <w:i/>
        <w:color w:val="000000" w:themeColor="text1"/>
        <w:sz w:val="24"/>
        <w:szCs w:val="24"/>
      </w:rPr>
    </w:pPr>
    <w:r w:rsidRPr="00037328">
      <w:rPr>
        <w:i/>
        <w:noProof/>
        <w:color w:val="000000" w:themeColor="text1"/>
        <w:lang w:eastAsia="en-GB"/>
      </w:rPr>
      <mc:AlternateContent>
        <mc:Choice Requires="wps">
          <w:drawing>
            <wp:anchor distT="45720" distB="45720" distL="114300" distR="114300" simplePos="0" relativeHeight="251663360" behindDoc="1" locked="0" layoutInCell="1" allowOverlap="1" wp14:anchorId="23180D25" wp14:editId="6CBCFA3D">
              <wp:simplePos x="0" y="0"/>
              <wp:positionH relativeFrom="column">
                <wp:posOffset>9342755</wp:posOffset>
              </wp:positionH>
              <wp:positionV relativeFrom="margin">
                <wp:posOffset>2926737</wp:posOffset>
              </wp:positionV>
              <wp:extent cx="590550" cy="480060"/>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90550" cy="480060"/>
                      </a:xfrm>
                      <a:prstGeom prst="rect">
                        <a:avLst/>
                      </a:prstGeom>
                      <a:noFill/>
                      <a:ln w="9525">
                        <a:noFill/>
                        <a:miter lim="800000"/>
                        <a:headEnd/>
                        <a:tailEnd/>
                      </a:ln>
                    </wps:spPr>
                    <wps:txbx>
                      <w:txbxContent>
                        <w:p w14:paraId="585D3D20" w14:textId="77777777" w:rsidR="007506EB" w:rsidRDefault="007506EB" w:rsidP="00B12778">
                          <w:pPr>
                            <w:pStyle w:val="Header"/>
                            <w:spacing w:before="80"/>
                            <w:ind w:firstLine="0"/>
                          </w:pPr>
                          <w:r>
                            <w:rPr>
                              <w:rStyle w:val="PageNumber"/>
                            </w:rPr>
                            <w:fldChar w:fldCharType="begin"/>
                          </w:r>
                          <w:r>
                            <w:rPr>
                              <w:rStyle w:val="PageNumber"/>
                            </w:rPr>
                            <w:instrText xml:space="preserve">PAGE  </w:instrText>
                          </w:r>
                          <w:r>
                            <w:rPr>
                              <w:rStyle w:val="PageNumber"/>
                            </w:rPr>
                            <w:fldChar w:fldCharType="separate"/>
                          </w:r>
                          <w:r>
                            <w:rPr>
                              <w:rStyle w:val="PageNumber"/>
                              <w:noProof/>
                            </w:rPr>
                            <w:t>184</w:t>
                          </w:r>
                          <w:r>
                            <w:rPr>
                              <w:rStyle w:val="PageNumbe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180D25" id="_x0000_t202" coordsize="21600,21600" o:spt="202" path="m,l,21600r21600,l21600,xe">
              <v:stroke joinstyle="miter"/>
              <v:path gradientshapeok="t" o:connecttype="rect"/>
            </v:shapetype>
            <v:shape id="_x0000_s1029" type="#_x0000_t202" style="position:absolute;left:0;text-align:left;margin-left:735.65pt;margin-top:230.45pt;width:46.5pt;height:37.8pt;rotation:90;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" filled="f" stroked="f">
              <v:textbox style="mso-fit-shape-to-text:t">
                <w:txbxContent>
                  <w:p w14:paraId="585D3D20" w14:textId="77777777" w:rsidR="007506EB" w:rsidRDefault="007506EB" w:rsidP="00B12778">
                    <w:pPr>
                      <w:pStyle w:val="Header"/>
                      <w:spacing w:before="80"/>
                      <w:ind w:firstLine="0"/>
                    </w:pPr>
                    <w:r>
                      <w:rPr>
                        <w:rStyle w:val="PageNumber"/>
                      </w:rPr>
                      <w:fldChar w:fldCharType="begin"/>
                    </w:r>
                    <w:r>
                      <w:rPr>
                        <w:rStyle w:val="PageNumber"/>
                      </w:rPr>
                      <w:instrText xml:space="preserve">PAGE  </w:instrText>
                    </w:r>
                    <w:r>
                      <w:rPr>
                        <w:rStyle w:val="PageNumber"/>
                      </w:rPr>
                      <w:fldChar w:fldCharType="separate"/>
                    </w:r>
                    <w:r>
                      <w:rPr>
                        <w:rStyle w:val="PageNumber"/>
                        <w:noProof/>
                      </w:rPr>
                      <w:t>184</w:t>
                    </w:r>
                    <w:r>
                      <w:rPr>
                        <w:rStyle w:val="PageNumber"/>
                      </w:rPr>
                      <w:fldChar w:fldCharType="end"/>
                    </w:r>
                  </w:p>
                </w:txbxContent>
              </v:textbox>
              <w10:wrap anchory="margin"/>
            </v:shape>
          </w:pict>
        </mc:Fallback>
      </mc:AlternateContent>
    </w:r>
    <w:r w:rsidRPr="00037328">
      <w:rPr>
        <w:i/>
        <w:noProof/>
        <w:color w:val="000000" w:themeColor="text1"/>
        <w:lang w:eastAsia="en-GB"/>
      </w:rPr>
      <mc:AlternateContent>
        <mc:Choice Requires="wps">
          <w:drawing>
            <wp:anchor distT="45720" distB="45720" distL="114300" distR="114300" simplePos="0" relativeHeight="251664384" behindDoc="1" locked="0" layoutInCell="1" allowOverlap="1" wp14:anchorId="28D8E009" wp14:editId="23178613">
              <wp:simplePos x="0" y="0"/>
              <wp:positionH relativeFrom="column">
                <wp:posOffset>8766700</wp:posOffset>
              </wp:positionH>
              <wp:positionV relativeFrom="margin">
                <wp:posOffset>-85922</wp:posOffset>
              </wp:positionV>
              <wp:extent cx="1697990" cy="440690"/>
              <wp:effectExtent l="0" t="0" r="3493"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97990" cy="440690"/>
                      </a:xfrm>
                      <a:prstGeom prst="rect">
                        <a:avLst/>
                      </a:prstGeom>
                      <a:noFill/>
                      <a:ln w="9525">
                        <a:noFill/>
                        <a:miter lim="800000"/>
                        <a:headEnd/>
                        <a:tailEnd/>
                      </a:ln>
                    </wps:spPr>
                    <wps:txbx>
                      <w:txbxContent>
                        <w:p w14:paraId="489CDB68" w14:textId="77777777" w:rsidR="007506EB" w:rsidRDefault="007506EB" w:rsidP="00B12778">
                          <w:pPr>
                            <w:ind w:firstLine="0"/>
                          </w:pPr>
                          <w:r>
                            <w:rPr>
                              <w:i/>
                              <w:color w:val="000000" w:themeColor="text1"/>
                              <w:sz w:val="24"/>
                            </w:rPr>
                            <w:t xml:space="preserve">––– </w:t>
                          </w:r>
                          <w:r w:rsidRPr="007F6BE1">
                            <w:rPr>
                              <w:i/>
                              <w:color w:val="000000" w:themeColor="text1"/>
                              <w:szCs w:val="23"/>
                            </w:rPr>
                            <w:fldChar w:fldCharType="begin"/>
                          </w:r>
                          <w:r w:rsidRPr="007F6BE1">
                            <w:rPr>
                              <w:i/>
                              <w:color w:val="000000" w:themeColor="text1"/>
                              <w:szCs w:val="23"/>
                            </w:rPr>
                            <w:instrText xml:space="preserve"> STYLEREF "My Heading 1" \* MERGEFORMAT </w:instrText>
                          </w:r>
                          <w:r w:rsidRPr="007F6BE1">
                            <w:rPr>
                              <w:i/>
                              <w:color w:val="000000" w:themeColor="text1"/>
                              <w:szCs w:val="23"/>
                            </w:rPr>
                            <w:fldChar w:fldCharType="separate"/>
                          </w:r>
                          <w:r>
                            <w:rPr>
                              <w:i/>
                              <w:noProof/>
                              <w:color w:val="000000" w:themeColor="text1"/>
                              <w:szCs w:val="23"/>
                            </w:rPr>
                            <w:t>Abstract</w:t>
                          </w:r>
                          <w:r w:rsidRPr="007F6BE1">
                            <w:rPr>
                              <w:i/>
                              <w:color w:val="000000" w:themeColor="text1"/>
                              <w:szCs w:val="23"/>
                            </w:rPr>
                            <w:fldChar w:fldCharType="end"/>
                          </w:r>
                          <w:r>
                            <w:rPr>
                              <w:i/>
                              <w:color w:val="000000" w:themeColor="text1"/>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8E009" id="_x0000_s1030" type="#_x0000_t202" style="position:absolute;left:0;text-align:left;margin-left:690.3pt;margin-top:-6.75pt;width:133.7pt;height:34.7pt;rotation:90;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" filled="f" stroked="f">
              <v:textbox style="mso-fit-shape-to-text:t">
                <w:txbxContent>
                  <w:p w14:paraId="489CDB68" w14:textId="77777777" w:rsidR="007506EB" w:rsidRDefault="007506EB" w:rsidP="00B12778">
                    <w:pPr>
                      <w:ind w:firstLine="0"/>
                    </w:pPr>
                    <w:r>
                      <w:rPr>
                        <w:i/>
                        <w:color w:val="000000" w:themeColor="text1"/>
                        <w:sz w:val="24"/>
                      </w:rPr>
                      <w:t xml:space="preserve">––– </w:t>
                    </w:r>
                    <w:r w:rsidRPr="007F6BE1">
                      <w:rPr>
                        <w:i/>
                        <w:color w:val="000000" w:themeColor="text1"/>
                        <w:szCs w:val="23"/>
                      </w:rPr>
                      <w:fldChar w:fldCharType="begin"/>
                    </w:r>
                    <w:r w:rsidRPr="007F6BE1">
                      <w:rPr>
                        <w:i/>
                        <w:color w:val="000000" w:themeColor="text1"/>
                        <w:szCs w:val="23"/>
                      </w:rPr>
                      <w:instrText xml:space="preserve"> STYLEREF "My Heading 1" \* MERGEFORMAT </w:instrText>
                    </w:r>
                    <w:r w:rsidRPr="007F6BE1">
                      <w:rPr>
                        <w:i/>
                        <w:color w:val="000000" w:themeColor="text1"/>
                        <w:szCs w:val="23"/>
                      </w:rPr>
                      <w:fldChar w:fldCharType="separate"/>
                    </w:r>
                    <w:r>
                      <w:rPr>
                        <w:i/>
                        <w:noProof/>
                        <w:color w:val="000000" w:themeColor="text1"/>
                        <w:szCs w:val="23"/>
                      </w:rPr>
                      <w:t>Abstract</w:t>
                    </w:r>
                    <w:r w:rsidRPr="007F6BE1">
                      <w:rPr>
                        <w:i/>
                        <w:color w:val="000000" w:themeColor="text1"/>
                        <w:szCs w:val="23"/>
                      </w:rPr>
                      <w:fldChar w:fldCharType="end"/>
                    </w:r>
                    <w:r>
                      <w:rPr>
                        <w:i/>
                        <w:color w:val="000000" w:themeColor="text1"/>
                        <w:sz w:val="24"/>
                      </w:rPr>
                      <w:t xml:space="preserve"> –––</w:t>
                    </w:r>
                  </w:p>
                </w:txbxContent>
              </v:textbox>
              <w10:wrap anchory="margin"/>
            </v:shape>
          </w:pict>
        </mc:Fallback>
      </mc:AlternateContent>
    </w:r>
    <w:r>
      <w:rPr>
        <w:rFonts w:ascii="Times" w:hAnsi="Times"/>
        <w:i/>
        <w:color w:val="000000" w:themeColor="text1"/>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B3F4" w14:textId="77777777" w:rsidR="007506EB" w:rsidRDefault="007506EB" w:rsidP="007344CB">
    <w:pPr>
      <w:pStyle w:val="Header"/>
      <w:framePr w:wrap="none" w:vAnchor="text" w:hAnchor="page" w:x="8027" w:y="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sdt>
    <w:sdtPr>
      <w:id w:val="354851878"/>
      <w:docPartObj>
        <w:docPartGallery w:val="Page Numbers (Top of Page)"/>
        <w:docPartUnique/>
      </w:docPartObj>
    </w:sdtPr>
    <w:sdtEndPr>
      <w:rPr>
        <w:noProof/>
      </w:rPr>
    </w:sdtEndPr>
    <w:sdtContent>
      <w:p w14:paraId="5A63180B" w14:textId="3F11AE41" w:rsidR="007506EB" w:rsidRPr="006129E3" w:rsidRDefault="007506EB" w:rsidP="00B12778">
        <w:pPr>
          <w:ind w:right="-619"/>
          <w:jc w:val="right"/>
          <w:rPr>
            <w:i/>
            <w:sz w:val="2"/>
            <w:szCs w:val="2"/>
          </w:rPr>
        </w:pPr>
        <w:r w:rsidRPr="00037328">
          <w:rPr>
            <w:i/>
            <w:noProof/>
            <w:color w:val="000000" w:themeColor="text1"/>
            <w:lang w:eastAsia="en-GB"/>
          </w:rPr>
          <mc:AlternateContent>
            <mc:Choice Requires="wps">
              <w:drawing>
                <wp:anchor distT="45720" distB="45720" distL="114300" distR="114300" simplePos="0" relativeHeight="251665408" behindDoc="1" locked="0" layoutInCell="1" allowOverlap="1" wp14:anchorId="587F4158" wp14:editId="24FAC0E3">
                  <wp:simplePos x="0" y="0"/>
                  <wp:positionH relativeFrom="column">
                    <wp:posOffset>9261475</wp:posOffset>
                  </wp:positionH>
                  <wp:positionV relativeFrom="margin">
                    <wp:posOffset>2974866</wp:posOffset>
                  </wp:positionV>
                  <wp:extent cx="590550" cy="480060"/>
                  <wp:effectExtent l="444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90550" cy="480060"/>
                          </a:xfrm>
                          <a:prstGeom prst="rect">
                            <a:avLst/>
                          </a:prstGeom>
                          <a:noFill/>
                          <a:ln w="9525">
                            <a:noFill/>
                            <a:miter lim="800000"/>
                            <a:headEnd/>
                            <a:tailEnd/>
                          </a:ln>
                        </wps:spPr>
                        <wps:txbx>
                          <w:txbxContent>
                            <w:p w14:paraId="62B00C98" w14:textId="77777777" w:rsidR="007506EB" w:rsidRDefault="007506EB" w:rsidP="00B12778">
                              <w:pPr>
                                <w:pStyle w:val="Header"/>
                                <w:spacing w:before="80"/>
                                <w:ind w:firstLine="0"/>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F4158" id="_x0000_t202" coordsize="21600,21600" o:spt="202" path="m,l,21600r21600,l21600,xe">
                  <v:stroke joinstyle="miter"/>
                  <v:path gradientshapeok="t" o:connecttype="rect"/>
                </v:shapetype>
                <v:shape id="_x0000_s1031" type="#_x0000_t202" style="position:absolute;left:0;text-align:left;margin-left:729.25pt;margin-top:234.25pt;width:46.5pt;height:37.8pt;rotation:90;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" filled="f" stroked="f">
                  <v:textbox style="mso-fit-shape-to-text:t">
                    <w:txbxContent>
                      <w:p w14:paraId="62B00C98" w14:textId="77777777" w:rsidR="007506EB" w:rsidRDefault="007506EB" w:rsidP="00B12778">
                        <w:pPr>
                          <w:pStyle w:val="Header"/>
                          <w:spacing w:before="80"/>
                          <w:ind w:firstLine="0"/>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txbxContent>
                  </v:textbox>
                  <w10:wrap anchory="margin"/>
                </v:shape>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21B" w14:textId="77777777" w:rsidR="007506EB" w:rsidRDefault="007506EB" w:rsidP="007344CB">
    <w:pPr>
      <w:pStyle w:val="Header"/>
      <w:framePr w:wrap="none" w:vAnchor="text" w:hAnchor="page" w:x="8142" w:y="19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sdt>
    <w:sdtPr>
      <w:id w:val="-336770408"/>
      <w:docPartObj>
        <w:docPartGallery w:val="Page Numbers (Top of Page)"/>
        <w:docPartUnique/>
      </w:docPartObj>
    </w:sdtPr>
    <w:sdtEndPr>
      <w:rPr>
        <w:noProof/>
      </w:rPr>
    </w:sdtEndPr>
    <w:sdtContent>
      <w:p w14:paraId="3B1BFB4D" w14:textId="4481DE63" w:rsidR="007506EB" w:rsidRPr="006129E3" w:rsidRDefault="007506EB" w:rsidP="00B12778">
        <w:pPr>
          <w:ind w:right="-619"/>
          <w:jc w:val="right"/>
          <w:rPr>
            <w:i/>
            <w:sz w:val="2"/>
            <w:szCs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83CC2"/>
    <w:multiLevelType w:val="multilevel"/>
    <w:tmpl w:val="73ECAD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04742A"/>
    <w:multiLevelType w:val="multilevel"/>
    <w:tmpl w:val="73ECAD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8B5275"/>
    <w:multiLevelType w:val="multilevel"/>
    <w:tmpl w:val="8954DC0C"/>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57397473"/>
    <w:multiLevelType w:val="multilevel"/>
    <w:tmpl w:val="73ECAD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349794A"/>
    <w:multiLevelType w:val="multilevel"/>
    <w:tmpl w:val="73ECAD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4E"/>
    <w:rsid w:val="0000346C"/>
    <w:rsid w:val="00011822"/>
    <w:rsid w:val="00013AD1"/>
    <w:rsid w:val="000141FC"/>
    <w:rsid w:val="000144CB"/>
    <w:rsid w:val="00014A01"/>
    <w:rsid w:val="00014F57"/>
    <w:rsid w:val="00017C5D"/>
    <w:rsid w:val="00034A20"/>
    <w:rsid w:val="00036230"/>
    <w:rsid w:val="000411D8"/>
    <w:rsid w:val="00041D7E"/>
    <w:rsid w:val="00042AC5"/>
    <w:rsid w:val="00044A86"/>
    <w:rsid w:val="00056112"/>
    <w:rsid w:val="00061705"/>
    <w:rsid w:val="000638F4"/>
    <w:rsid w:val="00067947"/>
    <w:rsid w:val="00070098"/>
    <w:rsid w:val="0007338E"/>
    <w:rsid w:val="00080F82"/>
    <w:rsid w:val="0008128F"/>
    <w:rsid w:val="000829D3"/>
    <w:rsid w:val="00083063"/>
    <w:rsid w:val="0008364E"/>
    <w:rsid w:val="000926C8"/>
    <w:rsid w:val="000940E2"/>
    <w:rsid w:val="00097F0C"/>
    <w:rsid w:val="000A07B7"/>
    <w:rsid w:val="000A1A0D"/>
    <w:rsid w:val="000A4221"/>
    <w:rsid w:val="000A5434"/>
    <w:rsid w:val="000B071A"/>
    <w:rsid w:val="000B5D1A"/>
    <w:rsid w:val="000B615A"/>
    <w:rsid w:val="000C1D0A"/>
    <w:rsid w:val="000C3F71"/>
    <w:rsid w:val="000C6AFB"/>
    <w:rsid w:val="000D1809"/>
    <w:rsid w:val="000D194B"/>
    <w:rsid w:val="000D31B5"/>
    <w:rsid w:val="000D6B98"/>
    <w:rsid w:val="000E0526"/>
    <w:rsid w:val="000E0846"/>
    <w:rsid w:val="000E3CD7"/>
    <w:rsid w:val="000E3D1C"/>
    <w:rsid w:val="000E441A"/>
    <w:rsid w:val="000E5AFE"/>
    <w:rsid w:val="000E68E9"/>
    <w:rsid w:val="000F0973"/>
    <w:rsid w:val="000F12CC"/>
    <w:rsid w:val="000F3068"/>
    <w:rsid w:val="000F7270"/>
    <w:rsid w:val="0010006C"/>
    <w:rsid w:val="001162AF"/>
    <w:rsid w:val="00123B55"/>
    <w:rsid w:val="00126009"/>
    <w:rsid w:val="001300FE"/>
    <w:rsid w:val="001332BA"/>
    <w:rsid w:val="001461F2"/>
    <w:rsid w:val="001538E4"/>
    <w:rsid w:val="00154074"/>
    <w:rsid w:val="00156729"/>
    <w:rsid w:val="00156AEA"/>
    <w:rsid w:val="001572AA"/>
    <w:rsid w:val="00157DF0"/>
    <w:rsid w:val="00184C62"/>
    <w:rsid w:val="00191828"/>
    <w:rsid w:val="00192F91"/>
    <w:rsid w:val="001A165A"/>
    <w:rsid w:val="001B3541"/>
    <w:rsid w:val="001B7E61"/>
    <w:rsid w:val="001C43C5"/>
    <w:rsid w:val="001C65C5"/>
    <w:rsid w:val="001C78DE"/>
    <w:rsid w:val="001D5ACC"/>
    <w:rsid w:val="001E2AAB"/>
    <w:rsid w:val="001E2B7D"/>
    <w:rsid w:val="00201494"/>
    <w:rsid w:val="002018D9"/>
    <w:rsid w:val="002032B4"/>
    <w:rsid w:val="00211553"/>
    <w:rsid w:val="00212FFA"/>
    <w:rsid w:val="0021312A"/>
    <w:rsid w:val="002179C6"/>
    <w:rsid w:val="002216F4"/>
    <w:rsid w:val="00223437"/>
    <w:rsid w:val="00225028"/>
    <w:rsid w:val="00226287"/>
    <w:rsid w:val="00226FD1"/>
    <w:rsid w:val="002412FF"/>
    <w:rsid w:val="00241555"/>
    <w:rsid w:val="00243CE7"/>
    <w:rsid w:val="00246ADC"/>
    <w:rsid w:val="00253D70"/>
    <w:rsid w:val="002556DD"/>
    <w:rsid w:val="00256763"/>
    <w:rsid w:val="002613CB"/>
    <w:rsid w:val="00270360"/>
    <w:rsid w:val="0027587C"/>
    <w:rsid w:val="00281848"/>
    <w:rsid w:val="00290A98"/>
    <w:rsid w:val="002911DB"/>
    <w:rsid w:val="002939ED"/>
    <w:rsid w:val="002A28EC"/>
    <w:rsid w:val="002A2E02"/>
    <w:rsid w:val="002B1F10"/>
    <w:rsid w:val="002B6AE1"/>
    <w:rsid w:val="002C20CA"/>
    <w:rsid w:val="002C5402"/>
    <w:rsid w:val="002C7AEB"/>
    <w:rsid w:val="002D4D2C"/>
    <w:rsid w:val="002D4E43"/>
    <w:rsid w:val="002E2B10"/>
    <w:rsid w:val="002E4B44"/>
    <w:rsid w:val="002E66D1"/>
    <w:rsid w:val="002F1955"/>
    <w:rsid w:val="002F1CDE"/>
    <w:rsid w:val="002F3200"/>
    <w:rsid w:val="002F69A5"/>
    <w:rsid w:val="00303C99"/>
    <w:rsid w:val="003133EB"/>
    <w:rsid w:val="00313FBD"/>
    <w:rsid w:val="00324B19"/>
    <w:rsid w:val="003279CF"/>
    <w:rsid w:val="00332828"/>
    <w:rsid w:val="003348F9"/>
    <w:rsid w:val="00336133"/>
    <w:rsid w:val="00340D4E"/>
    <w:rsid w:val="00346D05"/>
    <w:rsid w:val="00351516"/>
    <w:rsid w:val="00356B6F"/>
    <w:rsid w:val="00361467"/>
    <w:rsid w:val="00364A63"/>
    <w:rsid w:val="00376F14"/>
    <w:rsid w:val="00377EAF"/>
    <w:rsid w:val="003846B1"/>
    <w:rsid w:val="00391EEC"/>
    <w:rsid w:val="003923FC"/>
    <w:rsid w:val="00396510"/>
    <w:rsid w:val="003969F0"/>
    <w:rsid w:val="00396AA5"/>
    <w:rsid w:val="003970C1"/>
    <w:rsid w:val="003A0823"/>
    <w:rsid w:val="003A258F"/>
    <w:rsid w:val="003A46E9"/>
    <w:rsid w:val="003A587C"/>
    <w:rsid w:val="003B0E2C"/>
    <w:rsid w:val="003B24D0"/>
    <w:rsid w:val="003B6DD1"/>
    <w:rsid w:val="003B74E2"/>
    <w:rsid w:val="003B79E4"/>
    <w:rsid w:val="003C06F7"/>
    <w:rsid w:val="003C1F10"/>
    <w:rsid w:val="003C65E2"/>
    <w:rsid w:val="003D4EEF"/>
    <w:rsid w:val="003E0045"/>
    <w:rsid w:val="003E1879"/>
    <w:rsid w:val="003E37BB"/>
    <w:rsid w:val="003F1B01"/>
    <w:rsid w:val="003F40C0"/>
    <w:rsid w:val="003F40CD"/>
    <w:rsid w:val="003F4333"/>
    <w:rsid w:val="00400043"/>
    <w:rsid w:val="00401C40"/>
    <w:rsid w:val="004064F6"/>
    <w:rsid w:val="00406C4E"/>
    <w:rsid w:val="00407CC9"/>
    <w:rsid w:val="004105B6"/>
    <w:rsid w:val="004111BE"/>
    <w:rsid w:val="00414F9E"/>
    <w:rsid w:val="004154F1"/>
    <w:rsid w:val="00415DA6"/>
    <w:rsid w:val="00417FF8"/>
    <w:rsid w:val="00424569"/>
    <w:rsid w:val="00424D08"/>
    <w:rsid w:val="00426BD0"/>
    <w:rsid w:val="00427628"/>
    <w:rsid w:val="00427CC3"/>
    <w:rsid w:val="004326A3"/>
    <w:rsid w:val="004378C7"/>
    <w:rsid w:val="00444136"/>
    <w:rsid w:val="0045544B"/>
    <w:rsid w:val="00455C2C"/>
    <w:rsid w:val="004570DE"/>
    <w:rsid w:val="00463CAF"/>
    <w:rsid w:val="004724CE"/>
    <w:rsid w:val="004729FC"/>
    <w:rsid w:val="00473675"/>
    <w:rsid w:val="00475BAD"/>
    <w:rsid w:val="00481CB5"/>
    <w:rsid w:val="00485E19"/>
    <w:rsid w:val="00485E31"/>
    <w:rsid w:val="004936D7"/>
    <w:rsid w:val="004A25F0"/>
    <w:rsid w:val="004A3BC1"/>
    <w:rsid w:val="004B05C8"/>
    <w:rsid w:val="004B14A0"/>
    <w:rsid w:val="004B5F88"/>
    <w:rsid w:val="004C18A8"/>
    <w:rsid w:val="004C4220"/>
    <w:rsid w:val="004C508B"/>
    <w:rsid w:val="004D10F9"/>
    <w:rsid w:val="004D1B67"/>
    <w:rsid w:val="004D28AE"/>
    <w:rsid w:val="004D32B3"/>
    <w:rsid w:val="004D5667"/>
    <w:rsid w:val="004E07A6"/>
    <w:rsid w:val="004E0D0F"/>
    <w:rsid w:val="004E3621"/>
    <w:rsid w:val="004E5607"/>
    <w:rsid w:val="004E659E"/>
    <w:rsid w:val="004F13FC"/>
    <w:rsid w:val="004F548F"/>
    <w:rsid w:val="004F6995"/>
    <w:rsid w:val="00500E37"/>
    <w:rsid w:val="00504C01"/>
    <w:rsid w:val="00507C6E"/>
    <w:rsid w:val="00507FB3"/>
    <w:rsid w:val="00510445"/>
    <w:rsid w:val="00516BF5"/>
    <w:rsid w:val="00530F03"/>
    <w:rsid w:val="00531544"/>
    <w:rsid w:val="00532C1F"/>
    <w:rsid w:val="0053786E"/>
    <w:rsid w:val="00540E5F"/>
    <w:rsid w:val="00542F43"/>
    <w:rsid w:val="00545BFF"/>
    <w:rsid w:val="005519FD"/>
    <w:rsid w:val="00557B9D"/>
    <w:rsid w:val="005601E5"/>
    <w:rsid w:val="005634A0"/>
    <w:rsid w:val="005667C6"/>
    <w:rsid w:val="0057006E"/>
    <w:rsid w:val="00572847"/>
    <w:rsid w:val="00576607"/>
    <w:rsid w:val="00576D56"/>
    <w:rsid w:val="00577F0E"/>
    <w:rsid w:val="00583672"/>
    <w:rsid w:val="005924AC"/>
    <w:rsid w:val="00592B06"/>
    <w:rsid w:val="005941D6"/>
    <w:rsid w:val="00595A12"/>
    <w:rsid w:val="005A5AFC"/>
    <w:rsid w:val="005A773E"/>
    <w:rsid w:val="005A7BDA"/>
    <w:rsid w:val="005B36F1"/>
    <w:rsid w:val="005B726B"/>
    <w:rsid w:val="005C7053"/>
    <w:rsid w:val="005D013E"/>
    <w:rsid w:val="005D0CBA"/>
    <w:rsid w:val="005D1BB3"/>
    <w:rsid w:val="005D5814"/>
    <w:rsid w:val="005D5AB1"/>
    <w:rsid w:val="005E105E"/>
    <w:rsid w:val="005E40D0"/>
    <w:rsid w:val="005F44A3"/>
    <w:rsid w:val="005F4AC2"/>
    <w:rsid w:val="005F4BD5"/>
    <w:rsid w:val="00600765"/>
    <w:rsid w:val="00610F2E"/>
    <w:rsid w:val="006126C3"/>
    <w:rsid w:val="006129E3"/>
    <w:rsid w:val="00615225"/>
    <w:rsid w:val="00620BD6"/>
    <w:rsid w:val="00621C16"/>
    <w:rsid w:val="00621F29"/>
    <w:rsid w:val="0062222D"/>
    <w:rsid w:val="00624813"/>
    <w:rsid w:val="00624B08"/>
    <w:rsid w:val="00643048"/>
    <w:rsid w:val="006438C8"/>
    <w:rsid w:val="006528BB"/>
    <w:rsid w:val="0065739D"/>
    <w:rsid w:val="0066000E"/>
    <w:rsid w:val="006600D6"/>
    <w:rsid w:val="006636CA"/>
    <w:rsid w:val="006674A5"/>
    <w:rsid w:val="00670CF1"/>
    <w:rsid w:val="00671FF9"/>
    <w:rsid w:val="006761C2"/>
    <w:rsid w:val="00677461"/>
    <w:rsid w:val="00677A30"/>
    <w:rsid w:val="00680343"/>
    <w:rsid w:val="006847C9"/>
    <w:rsid w:val="00687E3F"/>
    <w:rsid w:val="00690849"/>
    <w:rsid w:val="00694DA8"/>
    <w:rsid w:val="006A18B3"/>
    <w:rsid w:val="006B4165"/>
    <w:rsid w:val="006B5B2E"/>
    <w:rsid w:val="006C10BD"/>
    <w:rsid w:val="006C5E1D"/>
    <w:rsid w:val="006D4486"/>
    <w:rsid w:val="006D61C9"/>
    <w:rsid w:val="006D7A4A"/>
    <w:rsid w:val="006E256C"/>
    <w:rsid w:val="006E397A"/>
    <w:rsid w:val="006E406B"/>
    <w:rsid w:val="006E4364"/>
    <w:rsid w:val="006E52D2"/>
    <w:rsid w:val="006E6EF1"/>
    <w:rsid w:val="006F2517"/>
    <w:rsid w:val="006F4079"/>
    <w:rsid w:val="006F410C"/>
    <w:rsid w:val="0070616B"/>
    <w:rsid w:val="00707B0A"/>
    <w:rsid w:val="00710DF5"/>
    <w:rsid w:val="00715234"/>
    <w:rsid w:val="00724771"/>
    <w:rsid w:val="007251DD"/>
    <w:rsid w:val="00726EBF"/>
    <w:rsid w:val="00727B8C"/>
    <w:rsid w:val="007300D0"/>
    <w:rsid w:val="007336C8"/>
    <w:rsid w:val="00733D5B"/>
    <w:rsid w:val="007344CB"/>
    <w:rsid w:val="007506EB"/>
    <w:rsid w:val="007528CC"/>
    <w:rsid w:val="007533B9"/>
    <w:rsid w:val="00754F02"/>
    <w:rsid w:val="00755D07"/>
    <w:rsid w:val="00757BEF"/>
    <w:rsid w:val="007622A6"/>
    <w:rsid w:val="00771BF1"/>
    <w:rsid w:val="00774651"/>
    <w:rsid w:val="00774966"/>
    <w:rsid w:val="00775754"/>
    <w:rsid w:val="0077575A"/>
    <w:rsid w:val="0077782C"/>
    <w:rsid w:val="007778EB"/>
    <w:rsid w:val="0078150C"/>
    <w:rsid w:val="00783B52"/>
    <w:rsid w:val="00784C3D"/>
    <w:rsid w:val="00786F6B"/>
    <w:rsid w:val="007873D2"/>
    <w:rsid w:val="00795078"/>
    <w:rsid w:val="007A205D"/>
    <w:rsid w:val="007A4025"/>
    <w:rsid w:val="007B041B"/>
    <w:rsid w:val="007B146C"/>
    <w:rsid w:val="007B7EC1"/>
    <w:rsid w:val="007C10D7"/>
    <w:rsid w:val="007D3CB4"/>
    <w:rsid w:val="007D557D"/>
    <w:rsid w:val="007D725D"/>
    <w:rsid w:val="007F4402"/>
    <w:rsid w:val="007F7F8B"/>
    <w:rsid w:val="0080111C"/>
    <w:rsid w:val="00801144"/>
    <w:rsid w:val="00805102"/>
    <w:rsid w:val="00807999"/>
    <w:rsid w:val="00811026"/>
    <w:rsid w:val="0081441F"/>
    <w:rsid w:val="00815387"/>
    <w:rsid w:val="008203C7"/>
    <w:rsid w:val="00823A6F"/>
    <w:rsid w:val="00824A3D"/>
    <w:rsid w:val="0083429A"/>
    <w:rsid w:val="00834CE9"/>
    <w:rsid w:val="0084556F"/>
    <w:rsid w:val="00846503"/>
    <w:rsid w:val="00847611"/>
    <w:rsid w:val="00850D7D"/>
    <w:rsid w:val="008512D0"/>
    <w:rsid w:val="008519A5"/>
    <w:rsid w:val="00862DA1"/>
    <w:rsid w:val="008667CD"/>
    <w:rsid w:val="0088176E"/>
    <w:rsid w:val="00883003"/>
    <w:rsid w:val="0088723E"/>
    <w:rsid w:val="00896615"/>
    <w:rsid w:val="008A1431"/>
    <w:rsid w:val="008A221A"/>
    <w:rsid w:val="008A7C98"/>
    <w:rsid w:val="008B26CA"/>
    <w:rsid w:val="008B2CEB"/>
    <w:rsid w:val="008B5F28"/>
    <w:rsid w:val="008B5FB9"/>
    <w:rsid w:val="008C22B9"/>
    <w:rsid w:val="008D3B3F"/>
    <w:rsid w:val="008D4064"/>
    <w:rsid w:val="008D4F54"/>
    <w:rsid w:val="008D4F85"/>
    <w:rsid w:val="008D6639"/>
    <w:rsid w:val="008D68A2"/>
    <w:rsid w:val="008F295A"/>
    <w:rsid w:val="0090603F"/>
    <w:rsid w:val="00910501"/>
    <w:rsid w:val="0091234C"/>
    <w:rsid w:val="0091473E"/>
    <w:rsid w:val="00915480"/>
    <w:rsid w:val="00920F8E"/>
    <w:rsid w:val="0092551F"/>
    <w:rsid w:val="00931321"/>
    <w:rsid w:val="00932B85"/>
    <w:rsid w:val="0093521F"/>
    <w:rsid w:val="00935468"/>
    <w:rsid w:val="00937C48"/>
    <w:rsid w:val="00943A76"/>
    <w:rsid w:val="009446D5"/>
    <w:rsid w:val="009460D6"/>
    <w:rsid w:val="00946A5A"/>
    <w:rsid w:val="00946D83"/>
    <w:rsid w:val="00947FF6"/>
    <w:rsid w:val="00953A78"/>
    <w:rsid w:val="00954B7C"/>
    <w:rsid w:val="00955A56"/>
    <w:rsid w:val="009565E8"/>
    <w:rsid w:val="009620F8"/>
    <w:rsid w:val="0096352B"/>
    <w:rsid w:val="00966237"/>
    <w:rsid w:val="00970762"/>
    <w:rsid w:val="00975F4D"/>
    <w:rsid w:val="0098493E"/>
    <w:rsid w:val="0099081D"/>
    <w:rsid w:val="00996E1C"/>
    <w:rsid w:val="00997802"/>
    <w:rsid w:val="009A040F"/>
    <w:rsid w:val="009A32F1"/>
    <w:rsid w:val="009A7360"/>
    <w:rsid w:val="009B0CDF"/>
    <w:rsid w:val="009B1492"/>
    <w:rsid w:val="009B4069"/>
    <w:rsid w:val="009B40AF"/>
    <w:rsid w:val="009B5C31"/>
    <w:rsid w:val="009B7ACC"/>
    <w:rsid w:val="009C1BEB"/>
    <w:rsid w:val="009C22F5"/>
    <w:rsid w:val="009C69B2"/>
    <w:rsid w:val="009D0FDC"/>
    <w:rsid w:val="009D2ACB"/>
    <w:rsid w:val="009D446D"/>
    <w:rsid w:val="009D5078"/>
    <w:rsid w:val="009D6742"/>
    <w:rsid w:val="009D6AF8"/>
    <w:rsid w:val="009D7799"/>
    <w:rsid w:val="009D7C25"/>
    <w:rsid w:val="009E3779"/>
    <w:rsid w:val="009E5524"/>
    <w:rsid w:val="009E5822"/>
    <w:rsid w:val="009E6EEF"/>
    <w:rsid w:val="009F266D"/>
    <w:rsid w:val="009F4415"/>
    <w:rsid w:val="009F54FC"/>
    <w:rsid w:val="009F5905"/>
    <w:rsid w:val="009F6DD7"/>
    <w:rsid w:val="009F7C12"/>
    <w:rsid w:val="009F7EEB"/>
    <w:rsid w:val="00A01B9D"/>
    <w:rsid w:val="00A13018"/>
    <w:rsid w:val="00A13BA8"/>
    <w:rsid w:val="00A16088"/>
    <w:rsid w:val="00A17D71"/>
    <w:rsid w:val="00A21E8A"/>
    <w:rsid w:val="00A244B5"/>
    <w:rsid w:val="00A34317"/>
    <w:rsid w:val="00A344C9"/>
    <w:rsid w:val="00A37329"/>
    <w:rsid w:val="00A41141"/>
    <w:rsid w:val="00A46DF8"/>
    <w:rsid w:val="00A614DF"/>
    <w:rsid w:val="00A6171B"/>
    <w:rsid w:val="00A6208A"/>
    <w:rsid w:val="00A633A0"/>
    <w:rsid w:val="00A65064"/>
    <w:rsid w:val="00A70729"/>
    <w:rsid w:val="00A7439B"/>
    <w:rsid w:val="00A7451B"/>
    <w:rsid w:val="00A75165"/>
    <w:rsid w:val="00A7743C"/>
    <w:rsid w:val="00A82B24"/>
    <w:rsid w:val="00A82BF5"/>
    <w:rsid w:val="00A82C06"/>
    <w:rsid w:val="00A83E55"/>
    <w:rsid w:val="00A90617"/>
    <w:rsid w:val="00A9244E"/>
    <w:rsid w:val="00A952F7"/>
    <w:rsid w:val="00A960B7"/>
    <w:rsid w:val="00AA0C10"/>
    <w:rsid w:val="00AA27A0"/>
    <w:rsid w:val="00AA4315"/>
    <w:rsid w:val="00AB19B8"/>
    <w:rsid w:val="00AB495B"/>
    <w:rsid w:val="00AC0E75"/>
    <w:rsid w:val="00AC1549"/>
    <w:rsid w:val="00AC1C18"/>
    <w:rsid w:val="00AC2954"/>
    <w:rsid w:val="00AD4F01"/>
    <w:rsid w:val="00AE1512"/>
    <w:rsid w:val="00AE293D"/>
    <w:rsid w:val="00AE2E38"/>
    <w:rsid w:val="00AE300C"/>
    <w:rsid w:val="00AE4712"/>
    <w:rsid w:val="00AE5640"/>
    <w:rsid w:val="00AF0259"/>
    <w:rsid w:val="00AF355D"/>
    <w:rsid w:val="00AF3B4E"/>
    <w:rsid w:val="00AF6F4F"/>
    <w:rsid w:val="00AF7CC9"/>
    <w:rsid w:val="00B00560"/>
    <w:rsid w:val="00B045B0"/>
    <w:rsid w:val="00B12778"/>
    <w:rsid w:val="00B20219"/>
    <w:rsid w:val="00B25BF4"/>
    <w:rsid w:val="00B26780"/>
    <w:rsid w:val="00B27C7E"/>
    <w:rsid w:val="00B35B49"/>
    <w:rsid w:val="00B36E5B"/>
    <w:rsid w:val="00B42C63"/>
    <w:rsid w:val="00B566D8"/>
    <w:rsid w:val="00B56B8D"/>
    <w:rsid w:val="00B5719C"/>
    <w:rsid w:val="00B61669"/>
    <w:rsid w:val="00B63954"/>
    <w:rsid w:val="00B63C43"/>
    <w:rsid w:val="00B64F4E"/>
    <w:rsid w:val="00B70AAC"/>
    <w:rsid w:val="00B7276E"/>
    <w:rsid w:val="00B82892"/>
    <w:rsid w:val="00B83384"/>
    <w:rsid w:val="00B83FB8"/>
    <w:rsid w:val="00B964DD"/>
    <w:rsid w:val="00B97AA2"/>
    <w:rsid w:val="00BA1AC2"/>
    <w:rsid w:val="00BA748E"/>
    <w:rsid w:val="00BB0405"/>
    <w:rsid w:val="00BB234A"/>
    <w:rsid w:val="00BB5C37"/>
    <w:rsid w:val="00BB718B"/>
    <w:rsid w:val="00BC09D3"/>
    <w:rsid w:val="00BC33FC"/>
    <w:rsid w:val="00BC79CE"/>
    <w:rsid w:val="00BD4246"/>
    <w:rsid w:val="00BD48B0"/>
    <w:rsid w:val="00BE0388"/>
    <w:rsid w:val="00BE20D0"/>
    <w:rsid w:val="00BE2607"/>
    <w:rsid w:val="00BE3E3E"/>
    <w:rsid w:val="00BF1395"/>
    <w:rsid w:val="00BF6CC6"/>
    <w:rsid w:val="00BF716E"/>
    <w:rsid w:val="00C06B4F"/>
    <w:rsid w:val="00C07221"/>
    <w:rsid w:val="00C12154"/>
    <w:rsid w:val="00C126D4"/>
    <w:rsid w:val="00C22880"/>
    <w:rsid w:val="00C23ED8"/>
    <w:rsid w:val="00C24C4F"/>
    <w:rsid w:val="00C30F3D"/>
    <w:rsid w:val="00C44C05"/>
    <w:rsid w:val="00C45E54"/>
    <w:rsid w:val="00C53213"/>
    <w:rsid w:val="00C53FF6"/>
    <w:rsid w:val="00C57783"/>
    <w:rsid w:val="00C6174F"/>
    <w:rsid w:val="00C64DF6"/>
    <w:rsid w:val="00C67ED8"/>
    <w:rsid w:val="00C71D4D"/>
    <w:rsid w:val="00C7618F"/>
    <w:rsid w:val="00C810D2"/>
    <w:rsid w:val="00C83CA2"/>
    <w:rsid w:val="00C86417"/>
    <w:rsid w:val="00C8757A"/>
    <w:rsid w:val="00C9070C"/>
    <w:rsid w:val="00C935CB"/>
    <w:rsid w:val="00CA0E44"/>
    <w:rsid w:val="00CA194F"/>
    <w:rsid w:val="00CA5826"/>
    <w:rsid w:val="00CB2341"/>
    <w:rsid w:val="00CB53B6"/>
    <w:rsid w:val="00CC41EA"/>
    <w:rsid w:val="00CC5193"/>
    <w:rsid w:val="00CD24B7"/>
    <w:rsid w:val="00CD418D"/>
    <w:rsid w:val="00CD4A54"/>
    <w:rsid w:val="00CD6A6E"/>
    <w:rsid w:val="00CE004B"/>
    <w:rsid w:val="00CE13BB"/>
    <w:rsid w:val="00CE28E3"/>
    <w:rsid w:val="00CE2E2C"/>
    <w:rsid w:val="00CE3DEC"/>
    <w:rsid w:val="00CE723E"/>
    <w:rsid w:val="00CE7F14"/>
    <w:rsid w:val="00CF03C2"/>
    <w:rsid w:val="00CF1153"/>
    <w:rsid w:val="00CF210D"/>
    <w:rsid w:val="00CF4014"/>
    <w:rsid w:val="00D003AA"/>
    <w:rsid w:val="00D04746"/>
    <w:rsid w:val="00D067B6"/>
    <w:rsid w:val="00D071FC"/>
    <w:rsid w:val="00D07FC8"/>
    <w:rsid w:val="00D179CC"/>
    <w:rsid w:val="00D210AE"/>
    <w:rsid w:val="00D25E81"/>
    <w:rsid w:val="00D32D5E"/>
    <w:rsid w:val="00D33D00"/>
    <w:rsid w:val="00D36126"/>
    <w:rsid w:val="00D3615D"/>
    <w:rsid w:val="00D3662E"/>
    <w:rsid w:val="00D36878"/>
    <w:rsid w:val="00D37C01"/>
    <w:rsid w:val="00D405D2"/>
    <w:rsid w:val="00D47ED4"/>
    <w:rsid w:val="00D57699"/>
    <w:rsid w:val="00D70CCD"/>
    <w:rsid w:val="00D712A1"/>
    <w:rsid w:val="00D7304E"/>
    <w:rsid w:val="00D7348E"/>
    <w:rsid w:val="00D73C6D"/>
    <w:rsid w:val="00D77F60"/>
    <w:rsid w:val="00D82EBD"/>
    <w:rsid w:val="00D8448E"/>
    <w:rsid w:val="00D86671"/>
    <w:rsid w:val="00D87382"/>
    <w:rsid w:val="00DA6B31"/>
    <w:rsid w:val="00DB103D"/>
    <w:rsid w:val="00DB3746"/>
    <w:rsid w:val="00DC52AC"/>
    <w:rsid w:val="00DC5AAD"/>
    <w:rsid w:val="00DD1809"/>
    <w:rsid w:val="00DD55AA"/>
    <w:rsid w:val="00DD61AF"/>
    <w:rsid w:val="00DE0081"/>
    <w:rsid w:val="00DE1DE6"/>
    <w:rsid w:val="00DE2F4D"/>
    <w:rsid w:val="00DE67D8"/>
    <w:rsid w:val="00DF561A"/>
    <w:rsid w:val="00E0089D"/>
    <w:rsid w:val="00E053E7"/>
    <w:rsid w:val="00E073CF"/>
    <w:rsid w:val="00E1037B"/>
    <w:rsid w:val="00E179BD"/>
    <w:rsid w:val="00E240A9"/>
    <w:rsid w:val="00E30B05"/>
    <w:rsid w:val="00E31E33"/>
    <w:rsid w:val="00E34A8C"/>
    <w:rsid w:val="00E3624C"/>
    <w:rsid w:val="00E36913"/>
    <w:rsid w:val="00E37C9D"/>
    <w:rsid w:val="00E443AE"/>
    <w:rsid w:val="00E46699"/>
    <w:rsid w:val="00E56519"/>
    <w:rsid w:val="00E56B73"/>
    <w:rsid w:val="00E611DB"/>
    <w:rsid w:val="00E6225D"/>
    <w:rsid w:val="00E677BC"/>
    <w:rsid w:val="00E71C2E"/>
    <w:rsid w:val="00E7511F"/>
    <w:rsid w:val="00E8386E"/>
    <w:rsid w:val="00E85BB7"/>
    <w:rsid w:val="00E965D5"/>
    <w:rsid w:val="00E974D8"/>
    <w:rsid w:val="00EA0645"/>
    <w:rsid w:val="00EA26D4"/>
    <w:rsid w:val="00EA2A5C"/>
    <w:rsid w:val="00EA437A"/>
    <w:rsid w:val="00EA7616"/>
    <w:rsid w:val="00EA7C5A"/>
    <w:rsid w:val="00EB2721"/>
    <w:rsid w:val="00EB4532"/>
    <w:rsid w:val="00EB5793"/>
    <w:rsid w:val="00EB7295"/>
    <w:rsid w:val="00EC0FF5"/>
    <w:rsid w:val="00EC3C83"/>
    <w:rsid w:val="00EE0087"/>
    <w:rsid w:val="00EE7E03"/>
    <w:rsid w:val="00EF264F"/>
    <w:rsid w:val="00EF3167"/>
    <w:rsid w:val="00EF495E"/>
    <w:rsid w:val="00EF5FE2"/>
    <w:rsid w:val="00F002C5"/>
    <w:rsid w:val="00F04AEB"/>
    <w:rsid w:val="00F06B73"/>
    <w:rsid w:val="00F07AAA"/>
    <w:rsid w:val="00F10563"/>
    <w:rsid w:val="00F16BE7"/>
    <w:rsid w:val="00F233E6"/>
    <w:rsid w:val="00F23B86"/>
    <w:rsid w:val="00F2616D"/>
    <w:rsid w:val="00F36A03"/>
    <w:rsid w:val="00F476FC"/>
    <w:rsid w:val="00F60728"/>
    <w:rsid w:val="00F64681"/>
    <w:rsid w:val="00F71EC5"/>
    <w:rsid w:val="00F72A30"/>
    <w:rsid w:val="00F749FC"/>
    <w:rsid w:val="00F823C8"/>
    <w:rsid w:val="00F837C1"/>
    <w:rsid w:val="00F83DFC"/>
    <w:rsid w:val="00F8577B"/>
    <w:rsid w:val="00F86BD6"/>
    <w:rsid w:val="00F96FA7"/>
    <w:rsid w:val="00FA25B8"/>
    <w:rsid w:val="00FA453C"/>
    <w:rsid w:val="00FA680B"/>
    <w:rsid w:val="00FA7B0E"/>
    <w:rsid w:val="00FB245D"/>
    <w:rsid w:val="00FB37A9"/>
    <w:rsid w:val="00FB39BF"/>
    <w:rsid w:val="00FB5140"/>
    <w:rsid w:val="00FB7FA5"/>
    <w:rsid w:val="00FC49C7"/>
    <w:rsid w:val="00FD3DC6"/>
    <w:rsid w:val="00FD54C1"/>
    <w:rsid w:val="00FD653F"/>
    <w:rsid w:val="00FD6C63"/>
    <w:rsid w:val="00FE09BB"/>
    <w:rsid w:val="00FE6340"/>
    <w:rsid w:val="00FF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B984B"/>
  <w14:defaultImageDpi w14:val="32767"/>
  <w15:chartTrackingRefBased/>
  <w15:docId w15:val="{A7CFF7CD-BF71-8F44-A727-C98E7D43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244E"/>
    <w:pPr>
      <w:spacing w:after="120" w:line="360" w:lineRule="auto"/>
      <w:ind w:firstLine="567"/>
      <w:jc w:val="both"/>
    </w:pPr>
    <w:rPr>
      <w:rFonts w:ascii="Times" w:hAnsi="Times"/>
      <w:sz w:val="23"/>
    </w:rPr>
  </w:style>
  <w:style w:type="paragraph" w:styleId="Heading1">
    <w:name w:val="heading 1"/>
    <w:basedOn w:val="Normal"/>
    <w:next w:val="Normal"/>
    <w:link w:val="Heading1Char"/>
    <w:uiPriority w:val="9"/>
    <w:qFormat/>
    <w:rsid w:val="00CA0E4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0E4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0E4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A0E4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0E4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0E4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A0E4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A0E4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0E4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5225"/>
    <w:pPr>
      <w:keepLines/>
      <w:spacing w:after="0" w:line="240" w:lineRule="auto"/>
      <w:ind w:firstLine="0"/>
      <w:jc w:val="left"/>
    </w:pPr>
    <w:rPr>
      <w:rFonts w:ascii="Times New Roman" w:eastAsiaTheme="minorEastAsia" w:hAnsi="Times New Roman" w:cs="Times New Roman"/>
      <w:sz w:val="21"/>
    </w:rPr>
  </w:style>
  <w:style w:type="character" w:customStyle="1" w:styleId="FootnoteTextChar">
    <w:name w:val="Footnote Text Char"/>
    <w:basedOn w:val="DefaultParagraphFont"/>
    <w:link w:val="FootnoteText"/>
    <w:uiPriority w:val="99"/>
    <w:rsid w:val="00615225"/>
    <w:rPr>
      <w:rFonts w:ascii="Times New Roman" w:eastAsiaTheme="minorEastAsia" w:hAnsi="Times New Roman" w:cs="Times New Roman"/>
      <w:sz w:val="21"/>
    </w:rPr>
  </w:style>
  <w:style w:type="character" w:styleId="FootnoteReference">
    <w:name w:val="footnote reference"/>
    <w:basedOn w:val="FootnoteTextChar"/>
    <w:uiPriority w:val="99"/>
    <w:unhideWhenUsed/>
    <w:rsid w:val="00A9244E"/>
    <w:rPr>
      <w:rFonts w:ascii="Times" w:eastAsiaTheme="minorEastAsia" w:hAnsi="Times" w:cs="Times New Roman"/>
      <w:sz w:val="24"/>
      <w:vertAlign w:val="superscript"/>
    </w:rPr>
  </w:style>
  <w:style w:type="character" w:customStyle="1" w:styleId="Heading1Char">
    <w:name w:val="Heading 1 Char"/>
    <w:basedOn w:val="DefaultParagraphFont"/>
    <w:link w:val="Heading1"/>
    <w:uiPriority w:val="9"/>
    <w:rsid w:val="00CA0E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0E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A0E44"/>
    <w:rPr>
      <w:rFonts w:asciiTheme="majorHAnsi" w:eastAsiaTheme="majorEastAsia" w:hAnsiTheme="majorHAnsi" w:cstheme="majorBidi"/>
      <w:color w:val="1F3763" w:themeColor="accent1" w:themeShade="7F"/>
      <w:sz w:val="23"/>
    </w:rPr>
  </w:style>
  <w:style w:type="character" w:customStyle="1" w:styleId="Heading4Char">
    <w:name w:val="Heading 4 Char"/>
    <w:basedOn w:val="DefaultParagraphFont"/>
    <w:link w:val="Heading4"/>
    <w:uiPriority w:val="9"/>
    <w:semiHidden/>
    <w:rsid w:val="00CA0E44"/>
    <w:rPr>
      <w:rFonts w:asciiTheme="majorHAnsi" w:eastAsiaTheme="majorEastAsia" w:hAnsiTheme="majorHAnsi" w:cstheme="majorBidi"/>
      <w:i/>
      <w:iCs/>
      <w:color w:val="2F5496" w:themeColor="accent1" w:themeShade="BF"/>
      <w:sz w:val="23"/>
    </w:rPr>
  </w:style>
  <w:style w:type="character" w:customStyle="1" w:styleId="Heading5Char">
    <w:name w:val="Heading 5 Char"/>
    <w:basedOn w:val="DefaultParagraphFont"/>
    <w:link w:val="Heading5"/>
    <w:uiPriority w:val="9"/>
    <w:semiHidden/>
    <w:rsid w:val="00CA0E44"/>
    <w:rPr>
      <w:rFonts w:asciiTheme="majorHAnsi" w:eastAsiaTheme="majorEastAsia" w:hAnsiTheme="majorHAnsi" w:cstheme="majorBidi"/>
      <w:color w:val="2F5496" w:themeColor="accent1" w:themeShade="BF"/>
      <w:sz w:val="23"/>
    </w:rPr>
  </w:style>
  <w:style w:type="character" w:customStyle="1" w:styleId="Heading6Char">
    <w:name w:val="Heading 6 Char"/>
    <w:basedOn w:val="DefaultParagraphFont"/>
    <w:link w:val="Heading6"/>
    <w:uiPriority w:val="9"/>
    <w:semiHidden/>
    <w:rsid w:val="00CA0E44"/>
    <w:rPr>
      <w:rFonts w:asciiTheme="majorHAnsi" w:eastAsiaTheme="majorEastAsia" w:hAnsiTheme="majorHAnsi" w:cstheme="majorBidi"/>
      <w:color w:val="1F3763" w:themeColor="accent1" w:themeShade="7F"/>
      <w:sz w:val="23"/>
    </w:rPr>
  </w:style>
  <w:style w:type="character" w:customStyle="1" w:styleId="Heading7Char">
    <w:name w:val="Heading 7 Char"/>
    <w:basedOn w:val="DefaultParagraphFont"/>
    <w:link w:val="Heading7"/>
    <w:uiPriority w:val="9"/>
    <w:semiHidden/>
    <w:rsid w:val="00CA0E44"/>
    <w:rPr>
      <w:rFonts w:asciiTheme="majorHAnsi" w:eastAsiaTheme="majorEastAsia" w:hAnsiTheme="majorHAnsi" w:cstheme="majorBidi"/>
      <w:i/>
      <w:iCs/>
      <w:color w:val="1F3763" w:themeColor="accent1" w:themeShade="7F"/>
      <w:sz w:val="23"/>
    </w:rPr>
  </w:style>
  <w:style w:type="character" w:customStyle="1" w:styleId="Heading8Char">
    <w:name w:val="Heading 8 Char"/>
    <w:basedOn w:val="DefaultParagraphFont"/>
    <w:link w:val="Heading8"/>
    <w:uiPriority w:val="9"/>
    <w:semiHidden/>
    <w:rsid w:val="00CA0E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0E4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A0E44"/>
    <w:pPr>
      <w:tabs>
        <w:tab w:val="center" w:pos="4513"/>
        <w:tab w:val="right" w:pos="9026"/>
      </w:tabs>
    </w:pPr>
  </w:style>
  <w:style w:type="character" w:customStyle="1" w:styleId="HeaderChar">
    <w:name w:val="Header Char"/>
    <w:basedOn w:val="DefaultParagraphFont"/>
    <w:link w:val="Header"/>
    <w:uiPriority w:val="99"/>
    <w:rsid w:val="00CA0E44"/>
    <w:rPr>
      <w:rFonts w:ascii="Times" w:hAnsi="Times"/>
      <w:sz w:val="23"/>
    </w:rPr>
  </w:style>
  <w:style w:type="character" w:styleId="PageNumber">
    <w:name w:val="page number"/>
    <w:basedOn w:val="DefaultParagraphFont"/>
    <w:uiPriority w:val="99"/>
    <w:semiHidden/>
    <w:unhideWhenUsed/>
    <w:rsid w:val="00CA0E44"/>
  </w:style>
  <w:style w:type="paragraph" w:styleId="Footer">
    <w:name w:val="footer"/>
    <w:basedOn w:val="Normal"/>
    <w:link w:val="FooterChar"/>
    <w:uiPriority w:val="99"/>
    <w:unhideWhenUsed/>
    <w:rsid w:val="00CA0E44"/>
    <w:pPr>
      <w:tabs>
        <w:tab w:val="center" w:pos="4513"/>
        <w:tab w:val="right" w:pos="9026"/>
      </w:tabs>
    </w:pPr>
  </w:style>
  <w:style w:type="character" w:customStyle="1" w:styleId="FooterChar">
    <w:name w:val="Footer Char"/>
    <w:basedOn w:val="DefaultParagraphFont"/>
    <w:link w:val="Footer"/>
    <w:uiPriority w:val="99"/>
    <w:rsid w:val="00CA0E44"/>
    <w:rPr>
      <w:rFonts w:ascii="Times" w:hAnsi="Times"/>
      <w:sz w:val="23"/>
    </w:rPr>
  </w:style>
  <w:style w:type="paragraph" w:styleId="Title">
    <w:name w:val="Title"/>
    <w:basedOn w:val="Normal"/>
    <w:next w:val="Normal"/>
    <w:link w:val="TitleChar"/>
    <w:uiPriority w:val="10"/>
    <w:qFormat/>
    <w:rsid w:val="00CA0E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E44"/>
    <w:pPr>
      <w:numPr>
        <w:ilvl w:val="1"/>
      </w:numPr>
      <w:spacing w:after="160"/>
      <w:ind w:firstLine="567"/>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A0E44"/>
    <w:rPr>
      <w:rFonts w:ascii="Times" w:eastAsiaTheme="minorEastAsia" w:hAnsi="Times"/>
      <w:color w:val="5A5A5A" w:themeColor="text1" w:themeTint="A5"/>
      <w:spacing w:val="15"/>
      <w:sz w:val="22"/>
      <w:szCs w:val="22"/>
    </w:rPr>
  </w:style>
  <w:style w:type="paragraph" w:styleId="Caption">
    <w:name w:val="caption"/>
    <w:basedOn w:val="Normal"/>
    <w:next w:val="Normal"/>
    <w:uiPriority w:val="35"/>
    <w:unhideWhenUsed/>
    <w:qFormat/>
    <w:rsid w:val="00CA0E44"/>
    <w:pPr>
      <w:spacing w:after="200"/>
      <w:jc w:val="center"/>
    </w:pPr>
    <w:rPr>
      <w:rFonts w:eastAsiaTheme="minorEastAsia"/>
      <w:b/>
      <w:bCs/>
      <w:color w:val="000000" w:themeColor="text1"/>
    </w:rPr>
  </w:style>
  <w:style w:type="character" w:styleId="Hyperlink">
    <w:name w:val="Hyperlink"/>
    <w:basedOn w:val="DefaultParagraphFont"/>
    <w:uiPriority w:val="99"/>
    <w:unhideWhenUsed/>
    <w:rsid w:val="00CA0E44"/>
    <w:rPr>
      <w:color w:val="0563C1" w:themeColor="hyperlink"/>
      <w:u w:val="single"/>
    </w:rPr>
  </w:style>
  <w:style w:type="paragraph" w:styleId="ListParagraph">
    <w:name w:val="List Paragraph"/>
    <w:basedOn w:val="Normal"/>
    <w:uiPriority w:val="34"/>
    <w:qFormat/>
    <w:rsid w:val="00CA0E44"/>
    <w:pPr>
      <w:ind w:left="720"/>
      <w:contextualSpacing/>
    </w:pPr>
    <w:rPr>
      <w:rFonts w:eastAsiaTheme="minorEastAsia"/>
    </w:rPr>
  </w:style>
  <w:style w:type="paragraph" w:styleId="TOCHeading">
    <w:name w:val="TOC Heading"/>
    <w:basedOn w:val="Heading1"/>
    <w:next w:val="Normal"/>
    <w:uiPriority w:val="39"/>
    <w:unhideWhenUsed/>
    <w:qFormat/>
    <w:rsid w:val="00CA0E44"/>
    <w:pPr>
      <w:numPr>
        <w:numId w:val="0"/>
      </w:numPr>
      <w:spacing w:before="480" w:line="276" w:lineRule="auto"/>
      <w:outlineLvl w:val="9"/>
    </w:pPr>
    <w:rPr>
      <w:b/>
      <w:bCs/>
      <w:sz w:val="28"/>
      <w:szCs w:val="28"/>
      <w:lang w:val="en-US"/>
    </w:rPr>
  </w:style>
  <w:style w:type="paragraph" w:styleId="TOC1">
    <w:name w:val="toc 1"/>
    <w:basedOn w:val="Normal"/>
    <w:next w:val="Normal"/>
    <w:autoRedefine/>
    <w:uiPriority w:val="39"/>
    <w:unhideWhenUsed/>
    <w:qFormat/>
    <w:rsid w:val="00CA0E44"/>
    <w:pPr>
      <w:tabs>
        <w:tab w:val="right" w:leader="dot" w:pos="9639"/>
      </w:tabs>
      <w:spacing w:before="120" w:after="0" w:line="276" w:lineRule="auto"/>
      <w:ind w:firstLine="0"/>
      <w:jc w:val="left"/>
    </w:pPr>
    <w:rPr>
      <w:b/>
      <w:bCs/>
      <w:noProof/>
      <w:color w:val="000000" w:themeColor="text1"/>
      <w:szCs w:val="23"/>
    </w:rPr>
  </w:style>
  <w:style w:type="paragraph" w:styleId="TOC2">
    <w:name w:val="toc 2"/>
    <w:basedOn w:val="Normal"/>
    <w:next w:val="Normal"/>
    <w:autoRedefine/>
    <w:uiPriority w:val="39"/>
    <w:unhideWhenUsed/>
    <w:qFormat/>
    <w:rsid w:val="00CA0E44"/>
    <w:pPr>
      <w:tabs>
        <w:tab w:val="left" w:pos="960"/>
        <w:tab w:val="right" w:leader="dot" w:pos="9639"/>
      </w:tabs>
      <w:spacing w:after="0" w:line="240" w:lineRule="auto"/>
      <w:ind w:left="238" w:firstLine="0"/>
      <w:jc w:val="left"/>
    </w:pPr>
    <w:rPr>
      <w:bCs/>
      <w:sz w:val="22"/>
      <w:szCs w:val="22"/>
    </w:rPr>
  </w:style>
  <w:style w:type="character" w:customStyle="1" w:styleId="DocumentMapChar">
    <w:name w:val="Document Map Char"/>
    <w:basedOn w:val="DefaultParagraphFont"/>
    <w:link w:val="DocumentMap"/>
    <w:uiPriority w:val="99"/>
    <w:semiHidden/>
    <w:rsid w:val="00CA0E44"/>
    <w:rPr>
      <w:rFonts w:ascii="Times New Roman" w:eastAsiaTheme="minorEastAsia" w:hAnsi="Times New Roman" w:cs="Times New Roman"/>
    </w:rPr>
  </w:style>
  <w:style w:type="paragraph" w:styleId="DocumentMap">
    <w:name w:val="Document Map"/>
    <w:basedOn w:val="Normal"/>
    <w:link w:val="DocumentMapChar"/>
    <w:uiPriority w:val="99"/>
    <w:semiHidden/>
    <w:unhideWhenUsed/>
    <w:rsid w:val="00CA0E44"/>
    <w:rPr>
      <w:rFonts w:ascii="Times New Roman" w:eastAsiaTheme="minorEastAsia" w:hAnsi="Times New Roman" w:cs="Times New Roman"/>
      <w:sz w:val="24"/>
    </w:rPr>
  </w:style>
  <w:style w:type="character" w:customStyle="1" w:styleId="DocumentMapChar1">
    <w:name w:val="Document Map Char1"/>
    <w:basedOn w:val="DefaultParagraphFont"/>
    <w:uiPriority w:val="99"/>
    <w:semiHidden/>
    <w:rsid w:val="00CA0E44"/>
    <w:rPr>
      <w:rFonts w:ascii="Times New Roman" w:hAnsi="Times New Roman" w:cs="Times New Roman"/>
    </w:rPr>
  </w:style>
  <w:style w:type="paragraph" w:styleId="BalloonText">
    <w:name w:val="Balloon Text"/>
    <w:basedOn w:val="Normal"/>
    <w:link w:val="BalloonTextChar"/>
    <w:uiPriority w:val="99"/>
    <w:semiHidden/>
    <w:unhideWhenUsed/>
    <w:rsid w:val="00CA0E44"/>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CA0E44"/>
    <w:rPr>
      <w:rFonts w:ascii="Times New Roman" w:eastAsiaTheme="minorEastAsia" w:hAnsi="Times New Roman" w:cs="Times New Roman"/>
      <w:sz w:val="18"/>
      <w:szCs w:val="18"/>
    </w:rPr>
  </w:style>
  <w:style w:type="table" w:customStyle="1" w:styleId="PlainTable31">
    <w:name w:val="Plain Table 31"/>
    <w:basedOn w:val="TableNormal"/>
    <w:uiPriority w:val="43"/>
    <w:rsid w:val="00CA0E44"/>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CA0E44"/>
    <w:rPr>
      <w:rFonts w:eastAsiaTheme="minorEastAsia"/>
    </w:rPr>
  </w:style>
  <w:style w:type="character" w:customStyle="1" w:styleId="CommentTextChar">
    <w:name w:val="Comment Text Char"/>
    <w:basedOn w:val="DefaultParagraphFont"/>
    <w:link w:val="CommentText"/>
    <w:uiPriority w:val="99"/>
    <w:semiHidden/>
    <w:rsid w:val="00CA0E44"/>
    <w:rPr>
      <w:rFonts w:eastAsiaTheme="minorEastAsia"/>
      <w:sz w:val="20"/>
      <w:szCs w:val="20"/>
    </w:rPr>
  </w:style>
  <w:style w:type="paragraph" w:styleId="CommentText">
    <w:name w:val="annotation text"/>
    <w:basedOn w:val="Normal"/>
    <w:link w:val="CommentTextChar"/>
    <w:uiPriority w:val="99"/>
    <w:semiHidden/>
    <w:unhideWhenUsed/>
    <w:rsid w:val="00CA0E44"/>
    <w:rPr>
      <w:rFonts w:asciiTheme="minorHAnsi" w:eastAsiaTheme="minorEastAsia" w:hAnsiTheme="minorHAnsi"/>
      <w:sz w:val="20"/>
      <w:szCs w:val="20"/>
    </w:rPr>
  </w:style>
  <w:style w:type="character" w:customStyle="1" w:styleId="CommentTextChar1">
    <w:name w:val="Comment Text Char1"/>
    <w:basedOn w:val="DefaultParagraphFont"/>
    <w:uiPriority w:val="99"/>
    <w:semiHidden/>
    <w:rsid w:val="00CA0E44"/>
    <w:rPr>
      <w:rFonts w:ascii="Times" w:hAnsi="Times"/>
    </w:rPr>
  </w:style>
  <w:style w:type="paragraph" w:customStyle="1" w:styleId="MyHeading2">
    <w:name w:val="My Heading 2"/>
    <w:basedOn w:val="Heading2"/>
    <w:next w:val="Normal"/>
    <w:qFormat/>
    <w:rsid w:val="00CA0E44"/>
    <w:pPr>
      <w:numPr>
        <w:ilvl w:val="0"/>
        <w:numId w:val="0"/>
      </w:numPr>
      <w:spacing w:before="240"/>
    </w:pPr>
    <w:rPr>
      <w:rFonts w:ascii="Times New Roman" w:hAnsi="Times New Roman" w:cs="Times New Roman"/>
      <w:i/>
      <w:color w:val="000000" w:themeColor="text1"/>
      <w:sz w:val="24"/>
    </w:rPr>
  </w:style>
  <w:style w:type="paragraph" w:customStyle="1" w:styleId="MyHeading3">
    <w:name w:val="My Heading 3"/>
    <w:basedOn w:val="Heading3"/>
    <w:next w:val="Heading3"/>
    <w:qFormat/>
    <w:rsid w:val="00CA0E44"/>
    <w:pPr>
      <w:numPr>
        <w:ilvl w:val="0"/>
        <w:numId w:val="0"/>
      </w:numPr>
      <w:spacing w:before="200"/>
      <w:ind w:firstLine="720"/>
    </w:pPr>
    <w:rPr>
      <w:rFonts w:ascii="Times New Roman" w:hAnsi="Times New Roman" w:cs="Times New Roman"/>
      <w:i/>
      <w:color w:val="000000" w:themeColor="text1"/>
    </w:rPr>
  </w:style>
  <w:style w:type="paragraph" w:customStyle="1" w:styleId="MyHeading4">
    <w:name w:val="My Heading 4"/>
    <w:basedOn w:val="Heading4"/>
    <w:next w:val="Normal"/>
    <w:qFormat/>
    <w:rsid w:val="00CA0E44"/>
    <w:pPr>
      <w:numPr>
        <w:ilvl w:val="0"/>
        <w:numId w:val="0"/>
      </w:numPr>
      <w:spacing w:before="240"/>
      <w:ind w:firstLine="720"/>
    </w:pPr>
    <w:rPr>
      <w:rFonts w:ascii="Times New Roman" w:hAnsi="Times New Roman" w:cs="Times New Roman"/>
      <w:i w:val="0"/>
      <w:color w:val="000000" w:themeColor="text1"/>
      <w:u w:val="single"/>
    </w:rPr>
  </w:style>
  <w:style w:type="paragraph" w:customStyle="1" w:styleId="MyHeading1">
    <w:name w:val="My Heading 1"/>
    <w:basedOn w:val="Heading1"/>
    <w:qFormat/>
    <w:rsid w:val="00CA0E44"/>
    <w:pPr>
      <w:numPr>
        <w:numId w:val="0"/>
      </w:numPr>
      <w:spacing w:before="0" w:after="400"/>
      <w:jc w:val="center"/>
    </w:pPr>
    <w:rPr>
      <w:rFonts w:ascii="Times New Roman" w:hAnsi="Times New Roman" w:cs="Times New Roman"/>
      <w:b/>
      <w:color w:val="000000" w:themeColor="text1"/>
      <w:sz w:val="28"/>
      <w:szCs w:val="24"/>
    </w:rPr>
  </w:style>
  <w:style w:type="character" w:styleId="FollowedHyperlink">
    <w:name w:val="FollowedHyperlink"/>
    <w:basedOn w:val="DefaultParagraphFont"/>
    <w:uiPriority w:val="99"/>
    <w:semiHidden/>
    <w:unhideWhenUsed/>
    <w:rsid w:val="00CA0E44"/>
    <w:rPr>
      <w:color w:val="954F72" w:themeColor="followedHyperlink"/>
      <w:u w:val="single"/>
    </w:rPr>
  </w:style>
  <w:style w:type="character" w:styleId="PlaceholderText">
    <w:name w:val="Placeholder Text"/>
    <w:basedOn w:val="DefaultParagraphFont"/>
    <w:uiPriority w:val="99"/>
    <w:semiHidden/>
    <w:rsid w:val="00CA0E44"/>
    <w:rPr>
      <w:color w:val="808080"/>
    </w:rPr>
  </w:style>
  <w:style w:type="numbering" w:customStyle="1" w:styleId="NoList1">
    <w:name w:val="No List1"/>
    <w:next w:val="NoList"/>
    <w:uiPriority w:val="99"/>
    <w:semiHidden/>
    <w:unhideWhenUsed/>
    <w:rsid w:val="00CA0E44"/>
  </w:style>
  <w:style w:type="paragraph" w:customStyle="1" w:styleId="MyHeading5">
    <w:name w:val="My Heading 5"/>
    <w:basedOn w:val="Heading5"/>
    <w:next w:val="Normal"/>
    <w:qFormat/>
    <w:rsid w:val="00CA0E44"/>
    <w:pPr>
      <w:numPr>
        <w:ilvl w:val="0"/>
        <w:numId w:val="0"/>
      </w:numPr>
      <w:ind w:left="720"/>
    </w:pPr>
    <w:rPr>
      <w:rFonts w:ascii="Times New Roman" w:hAnsi="Times New Roman" w:cs="Times New Roman"/>
      <w:i/>
      <w:color w:val="000000" w:themeColor="text1"/>
    </w:rPr>
  </w:style>
  <w:style w:type="paragraph" w:customStyle="1" w:styleId="Myfootnotes">
    <w:name w:val="My footnotes"/>
    <w:basedOn w:val="FootnoteText"/>
    <w:qFormat/>
    <w:rsid w:val="00CA0E44"/>
  </w:style>
  <w:style w:type="table" w:styleId="TableGrid">
    <w:name w:val="Table Grid"/>
    <w:basedOn w:val="TableNormal"/>
    <w:uiPriority w:val="59"/>
    <w:rsid w:val="00CA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E44"/>
    <w:pPr>
      <w:spacing w:before="100" w:beforeAutospacing="1" w:after="100" w:afterAutospacing="1" w:line="240" w:lineRule="auto"/>
    </w:pPr>
    <w:rPr>
      <w:rFonts w:ascii="Times New Roman" w:hAnsi="Times New Roman" w:cs="Times New Roman"/>
      <w:lang w:eastAsia="en-GB"/>
    </w:rPr>
  </w:style>
  <w:style w:type="paragraph" w:customStyle="1" w:styleId="MyHeading1B">
    <w:name w:val="My Heading 1B"/>
    <w:basedOn w:val="MyHeading1"/>
    <w:qFormat/>
    <w:rsid w:val="00CA0E44"/>
  </w:style>
  <w:style w:type="paragraph" w:styleId="EndnoteText">
    <w:name w:val="endnote text"/>
    <w:basedOn w:val="Normal"/>
    <w:link w:val="EndnoteTextChar"/>
    <w:uiPriority w:val="99"/>
    <w:unhideWhenUsed/>
    <w:rsid w:val="00CA0E44"/>
    <w:pPr>
      <w:spacing w:after="0" w:line="240" w:lineRule="auto"/>
    </w:pPr>
  </w:style>
  <w:style w:type="character" w:customStyle="1" w:styleId="EndnoteTextChar">
    <w:name w:val="Endnote Text Char"/>
    <w:basedOn w:val="DefaultParagraphFont"/>
    <w:link w:val="EndnoteText"/>
    <w:uiPriority w:val="99"/>
    <w:rsid w:val="00CA0E44"/>
    <w:rPr>
      <w:rFonts w:ascii="Times" w:hAnsi="Times"/>
      <w:sz w:val="23"/>
    </w:rPr>
  </w:style>
  <w:style w:type="character" w:styleId="EndnoteReference">
    <w:name w:val="endnote reference"/>
    <w:basedOn w:val="DefaultParagraphFont"/>
    <w:uiPriority w:val="99"/>
    <w:unhideWhenUsed/>
    <w:rsid w:val="00CA0E44"/>
    <w:rPr>
      <w:vertAlign w:val="superscript"/>
    </w:rPr>
  </w:style>
  <w:style w:type="paragraph" w:styleId="Revision">
    <w:name w:val="Revision"/>
    <w:hidden/>
    <w:uiPriority w:val="99"/>
    <w:semiHidden/>
    <w:rsid w:val="00CA0E44"/>
    <w:rPr>
      <w:rFonts w:ascii="Times" w:hAnsi="Times"/>
    </w:rPr>
  </w:style>
  <w:style w:type="table" w:customStyle="1" w:styleId="TableGrid1">
    <w:name w:val="Table Grid1"/>
    <w:basedOn w:val="TableNormal"/>
    <w:next w:val="TableGrid"/>
    <w:uiPriority w:val="59"/>
    <w:rsid w:val="00CA0E4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normal">
    <w:name w:val="My normal"/>
    <w:basedOn w:val="Normal"/>
    <w:qFormat/>
    <w:rsid w:val="00CA0E44"/>
    <w:pPr>
      <w:spacing w:after="0" w:line="240" w:lineRule="auto"/>
      <w:ind w:firstLine="0"/>
      <w:jc w:val="left"/>
    </w:pPr>
    <w:rPr>
      <w:rFonts w:ascii="Times New Roman" w:hAnsi="Times New Roman" w:cs="Times New Roman"/>
      <w:sz w:val="20"/>
      <w:lang w:eastAsia="en-GB"/>
    </w:rPr>
  </w:style>
  <w:style w:type="paragraph" w:styleId="TOC3">
    <w:name w:val="toc 3"/>
    <w:basedOn w:val="Normal"/>
    <w:next w:val="Normal"/>
    <w:autoRedefine/>
    <w:uiPriority w:val="39"/>
    <w:unhideWhenUsed/>
    <w:qFormat/>
    <w:rsid w:val="00CA0E44"/>
    <w:pPr>
      <w:spacing w:after="0" w:line="240" w:lineRule="auto"/>
      <w:ind w:left="482" w:firstLine="0"/>
      <w:jc w:val="left"/>
    </w:pPr>
    <w:rPr>
      <w:sz w:val="22"/>
      <w:szCs w:val="22"/>
    </w:rPr>
  </w:style>
  <w:style w:type="paragraph" w:styleId="TOC4">
    <w:name w:val="toc 4"/>
    <w:basedOn w:val="Normal"/>
    <w:next w:val="Normal"/>
    <w:autoRedefine/>
    <w:uiPriority w:val="39"/>
    <w:unhideWhenUsed/>
    <w:rsid w:val="00CA0E44"/>
    <w:pPr>
      <w:spacing w:after="0" w:line="240" w:lineRule="auto"/>
      <w:ind w:left="720" w:firstLine="0"/>
      <w:jc w:val="left"/>
    </w:pPr>
    <w:rPr>
      <w:rFonts w:ascii="Times New Roman" w:hAnsi="Times New Roman"/>
      <w:sz w:val="22"/>
      <w:szCs w:val="20"/>
    </w:rPr>
  </w:style>
  <w:style w:type="paragraph" w:styleId="TOC5">
    <w:name w:val="toc 5"/>
    <w:basedOn w:val="Normal"/>
    <w:next w:val="Normal"/>
    <w:autoRedefine/>
    <w:uiPriority w:val="39"/>
    <w:unhideWhenUsed/>
    <w:rsid w:val="00CA0E44"/>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CA0E44"/>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CA0E44"/>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CA0E44"/>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CA0E44"/>
    <w:pPr>
      <w:spacing w:after="0"/>
      <w:ind w:left="1920"/>
      <w:jc w:val="left"/>
    </w:pPr>
    <w:rPr>
      <w:rFonts w:asciiTheme="minorHAnsi" w:hAnsiTheme="minorHAnsi"/>
      <w:sz w:val="20"/>
      <w:szCs w:val="20"/>
    </w:rPr>
  </w:style>
  <w:style w:type="paragraph" w:customStyle="1" w:styleId="MyHeading1C">
    <w:name w:val="My Heading 1C"/>
    <w:basedOn w:val="MyHeading1"/>
    <w:qFormat/>
    <w:rsid w:val="006438C8"/>
    <w:pPr>
      <w:spacing w:after="200"/>
      <w:jc w:val="left"/>
    </w:pPr>
    <w:rPr>
      <w:sz w:val="23"/>
      <w:szCs w:val="23"/>
    </w:rPr>
  </w:style>
  <w:style w:type="numbering" w:customStyle="1" w:styleId="NoList2">
    <w:name w:val="No List2"/>
    <w:next w:val="NoList"/>
    <w:uiPriority w:val="99"/>
    <w:semiHidden/>
    <w:unhideWhenUsed/>
    <w:rsid w:val="00710DF5"/>
  </w:style>
  <w:style w:type="paragraph" w:customStyle="1" w:styleId="Style1">
    <w:name w:val="Style1"/>
    <w:basedOn w:val="Heading2"/>
    <w:qFormat/>
    <w:rsid w:val="00710DF5"/>
    <w:pPr>
      <w:numPr>
        <w:ilvl w:val="0"/>
        <w:numId w:val="0"/>
      </w:numPr>
      <w:spacing w:after="0" w:line="240" w:lineRule="auto"/>
      <w:jc w:val="left"/>
    </w:pPr>
    <w:rPr>
      <w:rFonts w:ascii="Times New Roman" w:hAnsi="Times New Roman"/>
      <w:i/>
      <w:color w:val="000000" w:themeColor="text1"/>
      <w:sz w:val="24"/>
    </w:rPr>
  </w:style>
  <w:style w:type="character" w:styleId="UnresolvedMention">
    <w:name w:val="Unresolved Mention"/>
    <w:basedOn w:val="DefaultParagraphFont"/>
    <w:uiPriority w:val="99"/>
    <w:rsid w:val="009B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996">
      <w:bodyDiv w:val="1"/>
      <w:marLeft w:val="0"/>
      <w:marRight w:val="0"/>
      <w:marTop w:val="0"/>
      <w:marBottom w:val="0"/>
      <w:divBdr>
        <w:top w:val="none" w:sz="0" w:space="0" w:color="auto"/>
        <w:left w:val="none" w:sz="0" w:space="0" w:color="auto"/>
        <w:bottom w:val="none" w:sz="0" w:space="0" w:color="auto"/>
        <w:right w:val="none" w:sz="0" w:space="0" w:color="auto"/>
      </w:divBdr>
    </w:div>
    <w:div w:id="33775914">
      <w:bodyDiv w:val="1"/>
      <w:marLeft w:val="0"/>
      <w:marRight w:val="0"/>
      <w:marTop w:val="0"/>
      <w:marBottom w:val="0"/>
      <w:divBdr>
        <w:top w:val="none" w:sz="0" w:space="0" w:color="auto"/>
        <w:left w:val="none" w:sz="0" w:space="0" w:color="auto"/>
        <w:bottom w:val="none" w:sz="0" w:space="0" w:color="auto"/>
        <w:right w:val="none" w:sz="0" w:space="0" w:color="auto"/>
      </w:divBdr>
      <w:divsChild>
        <w:div w:id="693075807">
          <w:marLeft w:val="0"/>
          <w:marRight w:val="0"/>
          <w:marTop w:val="0"/>
          <w:marBottom w:val="0"/>
          <w:divBdr>
            <w:top w:val="none" w:sz="0" w:space="0" w:color="auto"/>
            <w:left w:val="none" w:sz="0" w:space="0" w:color="auto"/>
            <w:bottom w:val="none" w:sz="0" w:space="0" w:color="auto"/>
            <w:right w:val="none" w:sz="0" w:space="0" w:color="auto"/>
          </w:divBdr>
          <w:divsChild>
            <w:div w:id="840195093">
              <w:marLeft w:val="0"/>
              <w:marRight w:val="0"/>
              <w:marTop w:val="0"/>
              <w:marBottom w:val="0"/>
              <w:divBdr>
                <w:top w:val="none" w:sz="0" w:space="0" w:color="auto"/>
                <w:left w:val="none" w:sz="0" w:space="0" w:color="auto"/>
                <w:bottom w:val="none" w:sz="0" w:space="0" w:color="auto"/>
                <w:right w:val="none" w:sz="0" w:space="0" w:color="auto"/>
              </w:divBdr>
              <w:divsChild>
                <w:div w:id="2127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2096">
      <w:bodyDiv w:val="1"/>
      <w:marLeft w:val="0"/>
      <w:marRight w:val="0"/>
      <w:marTop w:val="0"/>
      <w:marBottom w:val="0"/>
      <w:divBdr>
        <w:top w:val="none" w:sz="0" w:space="0" w:color="auto"/>
        <w:left w:val="none" w:sz="0" w:space="0" w:color="auto"/>
        <w:bottom w:val="none" w:sz="0" w:space="0" w:color="auto"/>
        <w:right w:val="none" w:sz="0" w:space="0" w:color="auto"/>
      </w:divBdr>
    </w:div>
    <w:div w:id="82338957">
      <w:bodyDiv w:val="1"/>
      <w:marLeft w:val="0"/>
      <w:marRight w:val="0"/>
      <w:marTop w:val="0"/>
      <w:marBottom w:val="0"/>
      <w:divBdr>
        <w:top w:val="none" w:sz="0" w:space="0" w:color="auto"/>
        <w:left w:val="none" w:sz="0" w:space="0" w:color="auto"/>
        <w:bottom w:val="none" w:sz="0" w:space="0" w:color="auto"/>
        <w:right w:val="none" w:sz="0" w:space="0" w:color="auto"/>
      </w:divBdr>
    </w:div>
    <w:div w:id="92239423">
      <w:bodyDiv w:val="1"/>
      <w:marLeft w:val="0"/>
      <w:marRight w:val="0"/>
      <w:marTop w:val="0"/>
      <w:marBottom w:val="0"/>
      <w:divBdr>
        <w:top w:val="none" w:sz="0" w:space="0" w:color="auto"/>
        <w:left w:val="none" w:sz="0" w:space="0" w:color="auto"/>
        <w:bottom w:val="none" w:sz="0" w:space="0" w:color="auto"/>
        <w:right w:val="none" w:sz="0" w:space="0" w:color="auto"/>
      </w:divBdr>
    </w:div>
    <w:div w:id="96214464">
      <w:bodyDiv w:val="1"/>
      <w:marLeft w:val="0"/>
      <w:marRight w:val="0"/>
      <w:marTop w:val="0"/>
      <w:marBottom w:val="0"/>
      <w:divBdr>
        <w:top w:val="none" w:sz="0" w:space="0" w:color="auto"/>
        <w:left w:val="none" w:sz="0" w:space="0" w:color="auto"/>
        <w:bottom w:val="none" w:sz="0" w:space="0" w:color="auto"/>
        <w:right w:val="none" w:sz="0" w:space="0" w:color="auto"/>
      </w:divBdr>
    </w:div>
    <w:div w:id="97258707">
      <w:bodyDiv w:val="1"/>
      <w:marLeft w:val="0"/>
      <w:marRight w:val="0"/>
      <w:marTop w:val="0"/>
      <w:marBottom w:val="0"/>
      <w:divBdr>
        <w:top w:val="none" w:sz="0" w:space="0" w:color="auto"/>
        <w:left w:val="none" w:sz="0" w:space="0" w:color="auto"/>
        <w:bottom w:val="none" w:sz="0" w:space="0" w:color="auto"/>
        <w:right w:val="none" w:sz="0" w:space="0" w:color="auto"/>
      </w:divBdr>
    </w:div>
    <w:div w:id="105082003">
      <w:bodyDiv w:val="1"/>
      <w:marLeft w:val="0"/>
      <w:marRight w:val="0"/>
      <w:marTop w:val="0"/>
      <w:marBottom w:val="0"/>
      <w:divBdr>
        <w:top w:val="none" w:sz="0" w:space="0" w:color="auto"/>
        <w:left w:val="none" w:sz="0" w:space="0" w:color="auto"/>
        <w:bottom w:val="none" w:sz="0" w:space="0" w:color="auto"/>
        <w:right w:val="none" w:sz="0" w:space="0" w:color="auto"/>
      </w:divBdr>
    </w:div>
    <w:div w:id="116726044">
      <w:bodyDiv w:val="1"/>
      <w:marLeft w:val="0"/>
      <w:marRight w:val="0"/>
      <w:marTop w:val="0"/>
      <w:marBottom w:val="0"/>
      <w:divBdr>
        <w:top w:val="none" w:sz="0" w:space="0" w:color="auto"/>
        <w:left w:val="none" w:sz="0" w:space="0" w:color="auto"/>
        <w:bottom w:val="none" w:sz="0" w:space="0" w:color="auto"/>
        <w:right w:val="none" w:sz="0" w:space="0" w:color="auto"/>
      </w:divBdr>
    </w:div>
    <w:div w:id="119157089">
      <w:bodyDiv w:val="1"/>
      <w:marLeft w:val="0"/>
      <w:marRight w:val="0"/>
      <w:marTop w:val="0"/>
      <w:marBottom w:val="0"/>
      <w:divBdr>
        <w:top w:val="none" w:sz="0" w:space="0" w:color="auto"/>
        <w:left w:val="none" w:sz="0" w:space="0" w:color="auto"/>
        <w:bottom w:val="none" w:sz="0" w:space="0" w:color="auto"/>
        <w:right w:val="none" w:sz="0" w:space="0" w:color="auto"/>
      </w:divBdr>
    </w:div>
    <w:div w:id="121854164">
      <w:bodyDiv w:val="1"/>
      <w:marLeft w:val="0"/>
      <w:marRight w:val="0"/>
      <w:marTop w:val="0"/>
      <w:marBottom w:val="0"/>
      <w:divBdr>
        <w:top w:val="none" w:sz="0" w:space="0" w:color="auto"/>
        <w:left w:val="none" w:sz="0" w:space="0" w:color="auto"/>
        <w:bottom w:val="none" w:sz="0" w:space="0" w:color="auto"/>
        <w:right w:val="none" w:sz="0" w:space="0" w:color="auto"/>
      </w:divBdr>
      <w:divsChild>
        <w:div w:id="1201286164">
          <w:marLeft w:val="0"/>
          <w:marRight w:val="0"/>
          <w:marTop w:val="0"/>
          <w:marBottom w:val="0"/>
          <w:divBdr>
            <w:top w:val="none" w:sz="0" w:space="0" w:color="auto"/>
            <w:left w:val="none" w:sz="0" w:space="0" w:color="auto"/>
            <w:bottom w:val="none" w:sz="0" w:space="0" w:color="auto"/>
            <w:right w:val="none" w:sz="0" w:space="0" w:color="auto"/>
          </w:divBdr>
          <w:divsChild>
            <w:div w:id="907612753">
              <w:marLeft w:val="0"/>
              <w:marRight w:val="0"/>
              <w:marTop w:val="0"/>
              <w:marBottom w:val="0"/>
              <w:divBdr>
                <w:top w:val="none" w:sz="0" w:space="0" w:color="auto"/>
                <w:left w:val="none" w:sz="0" w:space="0" w:color="auto"/>
                <w:bottom w:val="none" w:sz="0" w:space="0" w:color="auto"/>
                <w:right w:val="none" w:sz="0" w:space="0" w:color="auto"/>
              </w:divBdr>
              <w:divsChild>
                <w:div w:id="5082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6703">
      <w:bodyDiv w:val="1"/>
      <w:marLeft w:val="0"/>
      <w:marRight w:val="0"/>
      <w:marTop w:val="0"/>
      <w:marBottom w:val="0"/>
      <w:divBdr>
        <w:top w:val="none" w:sz="0" w:space="0" w:color="auto"/>
        <w:left w:val="none" w:sz="0" w:space="0" w:color="auto"/>
        <w:bottom w:val="none" w:sz="0" w:space="0" w:color="auto"/>
        <w:right w:val="none" w:sz="0" w:space="0" w:color="auto"/>
      </w:divBdr>
    </w:div>
    <w:div w:id="189807504">
      <w:bodyDiv w:val="1"/>
      <w:marLeft w:val="0"/>
      <w:marRight w:val="0"/>
      <w:marTop w:val="0"/>
      <w:marBottom w:val="0"/>
      <w:divBdr>
        <w:top w:val="none" w:sz="0" w:space="0" w:color="auto"/>
        <w:left w:val="none" w:sz="0" w:space="0" w:color="auto"/>
        <w:bottom w:val="none" w:sz="0" w:space="0" w:color="auto"/>
        <w:right w:val="none" w:sz="0" w:space="0" w:color="auto"/>
      </w:divBdr>
    </w:div>
    <w:div w:id="202983209">
      <w:bodyDiv w:val="1"/>
      <w:marLeft w:val="0"/>
      <w:marRight w:val="0"/>
      <w:marTop w:val="0"/>
      <w:marBottom w:val="0"/>
      <w:divBdr>
        <w:top w:val="none" w:sz="0" w:space="0" w:color="auto"/>
        <w:left w:val="none" w:sz="0" w:space="0" w:color="auto"/>
        <w:bottom w:val="none" w:sz="0" w:space="0" w:color="auto"/>
        <w:right w:val="none" w:sz="0" w:space="0" w:color="auto"/>
      </w:divBdr>
    </w:div>
    <w:div w:id="231044759">
      <w:bodyDiv w:val="1"/>
      <w:marLeft w:val="0"/>
      <w:marRight w:val="0"/>
      <w:marTop w:val="0"/>
      <w:marBottom w:val="0"/>
      <w:divBdr>
        <w:top w:val="none" w:sz="0" w:space="0" w:color="auto"/>
        <w:left w:val="none" w:sz="0" w:space="0" w:color="auto"/>
        <w:bottom w:val="none" w:sz="0" w:space="0" w:color="auto"/>
        <w:right w:val="none" w:sz="0" w:space="0" w:color="auto"/>
      </w:divBdr>
      <w:divsChild>
        <w:div w:id="1402604999">
          <w:marLeft w:val="0"/>
          <w:marRight w:val="0"/>
          <w:marTop w:val="0"/>
          <w:marBottom w:val="0"/>
          <w:divBdr>
            <w:top w:val="none" w:sz="0" w:space="0" w:color="auto"/>
            <w:left w:val="none" w:sz="0" w:space="0" w:color="auto"/>
            <w:bottom w:val="none" w:sz="0" w:space="0" w:color="auto"/>
            <w:right w:val="none" w:sz="0" w:space="0" w:color="auto"/>
          </w:divBdr>
          <w:divsChild>
            <w:div w:id="1879928899">
              <w:marLeft w:val="0"/>
              <w:marRight w:val="0"/>
              <w:marTop w:val="0"/>
              <w:marBottom w:val="0"/>
              <w:divBdr>
                <w:top w:val="none" w:sz="0" w:space="0" w:color="auto"/>
                <w:left w:val="none" w:sz="0" w:space="0" w:color="auto"/>
                <w:bottom w:val="none" w:sz="0" w:space="0" w:color="auto"/>
                <w:right w:val="none" w:sz="0" w:space="0" w:color="auto"/>
              </w:divBdr>
              <w:divsChild>
                <w:div w:id="1059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0063">
      <w:bodyDiv w:val="1"/>
      <w:marLeft w:val="0"/>
      <w:marRight w:val="0"/>
      <w:marTop w:val="0"/>
      <w:marBottom w:val="0"/>
      <w:divBdr>
        <w:top w:val="none" w:sz="0" w:space="0" w:color="auto"/>
        <w:left w:val="none" w:sz="0" w:space="0" w:color="auto"/>
        <w:bottom w:val="none" w:sz="0" w:space="0" w:color="auto"/>
        <w:right w:val="none" w:sz="0" w:space="0" w:color="auto"/>
      </w:divBdr>
    </w:div>
    <w:div w:id="451218216">
      <w:bodyDiv w:val="1"/>
      <w:marLeft w:val="0"/>
      <w:marRight w:val="0"/>
      <w:marTop w:val="0"/>
      <w:marBottom w:val="0"/>
      <w:divBdr>
        <w:top w:val="none" w:sz="0" w:space="0" w:color="auto"/>
        <w:left w:val="none" w:sz="0" w:space="0" w:color="auto"/>
        <w:bottom w:val="none" w:sz="0" w:space="0" w:color="auto"/>
        <w:right w:val="none" w:sz="0" w:space="0" w:color="auto"/>
      </w:divBdr>
    </w:div>
    <w:div w:id="458958429">
      <w:bodyDiv w:val="1"/>
      <w:marLeft w:val="0"/>
      <w:marRight w:val="0"/>
      <w:marTop w:val="0"/>
      <w:marBottom w:val="0"/>
      <w:divBdr>
        <w:top w:val="none" w:sz="0" w:space="0" w:color="auto"/>
        <w:left w:val="none" w:sz="0" w:space="0" w:color="auto"/>
        <w:bottom w:val="none" w:sz="0" w:space="0" w:color="auto"/>
        <w:right w:val="none" w:sz="0" w:space="0" w:color="auto"/>
      </w:divBdr>
    </w:div>
    <w:div w:id="477038413">
      <w:bodyDiv w:val="1"/>
      <w:marLeft w:val="0"/>
      <w:marRight w:val="0"/>
      <w:marTop w:val="0"/>
      <w:marBottom w:val="0"/>
      <w:divBdr>
        <w:top w:val="none" w:sz="0" w:space="0" w:color="auto"/>
        <w:left w:val="none" w:sz="0" w:space="0" w:color="auto"/>
        <w:bottom w:val="none" w:sz="0" w:space="0" w:color="auto"/>
        <w:right w:val="none" w:sz="0" w:space="0" w:color="auto"/>
      </w:divBdr>
      <w:divsChild>
        <w:div w:id="209464514">
          <w:marLeft w:val="0"/>
          <w:marRight w:val="0"/>
          <w:marTop w:val="0"/>
          <w:marBottom w:val="0"/>
          <w:divBdr>
            <w:top w:val="none" w:sz="0" w:space="0" w:color="auto"/>
            <w:left w:val="none" w:sz="0" w:space="0" w:color="auto"/>
            <w:bottom w:val="none" w:sz="0" w:space="0" w:color="auto"/>
            <w:right w:val="none" w:sz="0" w:space="0" w:color="auto"/>
          </w:divBdr>
          <w:divsChild>
            <w:div w:id="785201366">
              <w:marLeft w:val="0"/>
              <w:marRight w:val="0"/>
              <w:marTop w:val="0"/>
              <w:marBottom w:val="0"/>
              <w:divBdr>
                <w:top w:val="none" w:sz="0" w:space="0" w:color="auto"/>
                <w:left w:val="none" w:sz="0" w:space="0" w:color="auto"/>
                <w:bottom w:val="none" w:sz="0" w:space="0" w:color="auto"/>
                <w:right w:val="none" w:sz="0" w:space="0" w:color="auto"/>
              </w:divBdr>
              <w:divsChild>
                <w:div w:id="5434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6361">
      <w:bodyDiv w:val="1"/>
      <w:marLeft w:val="0"/>
      <w:marRight w:val="0"/>
      <w:marTop w:val="0"/>
      <w:marBottom w:val="0"/>
      <w:divBdr>
        <w:top w:val="none" w:sz="0" w:space="0" w:color="auto"/>
        <w:left w:val="none" w:sz="0" w:space="0" w:color="auto"/>
        <w:bottom w:val="none" w:sz="0" w:space="0" w:color="auto"/>
        <w:right w:val="none" w:sz="0" w:space="0" w:color="auto"/>
      </w:divBdr>
    </w:div>
    <w:div w:id="550457859">
      <w:bodyDiv w:val="1"/>
      <w:marLeft w:val="0"/>
      <w:marRight w:val="0"/>
      <w:marTop w:val="0"/>
      <w:marBottom w:val="0"/>
      <w:divBdr>
        <w:top w:val="none" w:sz="0" w:space="0" w:color="auto"/>
        <w:left w:val="none" w:sz="0" w:space="0" w:color="auto"/>
        <w:bottom w:val="none" w:sz="0" w:space="0" w:color="auto"/>
        <w:right w:val="none" w:sz="0" w:space="0" w:color="auto"/>
      </w:divBdr>
    </w:div>
    <w:div w:id="563107072">
      <w:bodyDiv w:val="1"/>
      <w:marLeft w:val="0"/>
      <w:marRight w:val="0"/>
      <w:marTop w:val="0"/>
      <w:marBottom w:val="0"/>
      <w:divBdr>
        <w:top w:val="none" w:sz="0" w:space="0" w:color="auto"/>
        <w:left w:val="none" w:sz="0" w:space="0" w:color="auto"/>
        <w:bottom w:val="none" w:sz="0" w:space="0" w:color="auto"/>
        <w:right w:val="none" w:sz="0" w:space="0" w:color="auto"/>
      </w:divBdr>
    </w:div>
    <w:div w:id="622810317">
      <w:bodyDiv w:val="1"/>
      <w:marLeft w:val="0"/>
      <w:marRight w:val="0"/>
      <w:marTop w:val="0"/>
      <w:marBottom w:val="0"/>
      <w:divBdr>
        <w:top w:val="none" w:sz="0" w:space="0" w:color="auto"/>
        <w:left w:val="none" w:sz="0" w:space="0" w:color="auto"/>
        <w:bottom w:val="none" w:sz="0" w:space="0" w:color="auto"/>
        <w:right w:val="none" w:sz="0" w:space="0" w:color="auto"/>
      </w:divBdr>
      <w:divsChild>
        <w:div w:id="567885366">
          <w:marLeft w:val="0"/>
          <w:marRight w:val="0"/>
          <w:marTop w:val="0"/>
          <w:marBottom w:val="0"/>
          <w:divBdr>
            <w:top w:val="none" w:sz="0" w:space="0" w:color="auto"/>
            <w:left w:val="none" w:sz="0" w:space="0" w:color="auto"/>
            <w:bottom w:val="none" w:sz="0" w:space="0" w:color="auto"/>
            <w:right w:val="none" w:sz="0" w:space="0" w:color="auto"/>
          </w:divBdr>
          <w:divsChild>
            <w:div w:id="1287277320">
              <w:marLeft w:val="0"/>
              <w:marRight w:val="0"/>
              <w:marTop w:val="0"/>
              <w:marBottom w:val="0"/>
              <w:divBdr>
                <w:top w:val="none" w:sz="0" w:space="0" w:color="auto"/>
                <w:left w:val="none" w:sz="0" w:space="0" w:color="auto"/>
                <w:bottom w:val="none" w:sz="0" w:space="0" w:color="auto"/>
                <w:right w:val="none" w:sz="0" w:space="0" w:color="auto"/>
              </w:divBdr>
              <w:divsChild>
                <w:div w:id="1669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32434">
      <w:bodyDiv w:val="1"/>
      <w:marLeft w:val="0"/>
      <w:marRight w:val="0"/>
      <w:marTop w:val="0"/>
      <w:marBottom w:val="0"/>
      <w:divBdr>
        <w:top w:val="none" w:sz="0" w:space="0" w:color="auto"/>
        <w:left w:val="none" w:sz="0" w:space="0" w:color="auto"/>
        <w:bottom w:val="none" w:sz="0" w:space="0" w:color="auto"/>
        <w:right w:val="none" w:sz="0" w:space="0" w:color="auto"/>
      </w:divBdr>
    </w:div>
    <w:div w:id="740054799">
      <w:bodyDiv w:val="1"/>
      <w:marLeft w:val="0"/>
      <w:marRight w:val="0"/>
      <w:marTop w:val="0"/>
      <w:marBottom w:val="0"/>
      <w:divBdr>
        <w:top w:val="none" w:sz="0" w:space="0" w:color="auto"/>
        <w:left w:val="none" w:sz="0" w:space="0" w:color="auto"/>
        <w:bottom w:val="none" w:sz="0" w:space="0" w:color="auto"/>
        <w:right w:val="none" w:sz="0" w:space="0" w:color="auto"/>
      </w:divBdr>
      <w:divsChild>
        <w:div w:id="1164082056">
          <w:marLeft w:val="0"/>
          <w:marRight w:val="0"/>
          <w:marTop w:val="0"/>
          <w:marBottom w:val="0"/>
          <w:divBdr>
            <w:top w:val="none" w:sz="0" w:space="0" w:color="auto"/>
            <w:left w:val="none" w:sz="0" w:space="0" w:color="auto"/>
            <w:bottom w:val="none" w:sz="0" w:space="0" w:color="auto"/>
            <w:right w:val="none" w:sz="0" w:space="0" w:color="auto"/>
          </w:divBdr>
          <w:divsChild>
            <w:div w:id="1136026980">
              <w:marLeft w:val="0"/>
              <w:marRight w:val="0"/>
              <w:marTop w:val="0"/>
              <w:marBottom w:val="0"/>
              <w:divBdr>
                <w:top w:val="none" w:sz="0" w:space="0" w:color="auto"/>
                <w:left w:val="none" w:sz="0" w:space="0" w:color="auto"/>
                <w:bottom w:val="none" w:sz="0" w:space="0" w:color="auto"/>
                <w:right w:val="none" w:sz="0" w:space="0" w:color="auto"/>
              </w:divBdr>
              <w:divsChild>
                <w:div w:id="207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3856">
      <w:bodyDiv w:val="1"/>
      <w:marLeft w:val="0"/>
      <w:marRight w:val="0"/>
      <w:marTop w:val="0"/>
      <w:marBottom w:val="0"/>
      <w:divBdr>
        <w:top w:val="none" w:sz="0" w:space="0" w:color="auto"/>
        <w:left w:val="none" w:sz="0" w:space="0" w:color="auto"/>
        <w:bottom w:val="none" w:sz="0" w:space="0" w:color="auto"/>
        <w:right w:val="none" w:sz="0" w:space="0" w:color="auto"/>
      </w:divBdr>
    </w:div>
    <w:div w:id="852718456">
      <w:bodyDiv w:val="1"/>
      <w:marLeft w:val="0"/>
      <w:marRight w:val="0"/>
      <w:marTop w:val="0"/>
      <w:marBottom w:val="0"/>
      <w:divBdr>
        <w:top w:val="none" w:sz="0" w:space="0" w:color="auto"/>
        <w:left w:val="none" w:sz="0" w:space="0" w:color="auto"/>
        <w:bottom w:val="none" w:sz="0" w:space="0" w:color="auto"/>
        <w:right w:val="none" w:sz="0" w:space="0" w:color="auto"/>
      </w:divBdr>
      <w:divsChild>
        <w:div w:id="995643175">
          <w:marLeft w:val="0"/>
          <w:marRight w:val="0"/>
          <w:marTop w:val="0"/>
          <w:marBottom w:val="0"/>
          <w:divBdr>
            <w:top w:val="none" w:sz="0" w:space="0" w:color="auto"/>
            <w:left w:val="none" w:sz="0" w:space="0" w:color="auto"/>
            <w:bottom w:val="none" w:sz="0" w:space="0" w:color="auto"/>
            <w:right w:val="none" w:sz="0" w:space="0" w:color="auto"/>
          </w:divBdr>
          <w:divsChild>
            <w:div w:id="1451850629">
              <w:marLeft w:val="0"/>
              <w:marRight w:val="0"/>
              <w:marTop w:val="0"/>
              <w:marBottom w:val="0"/>
              <w:divBdr>
                <w:top w:val="none" w:sz="0" w:space="0" w:color="auto"/>
                <w:left w:val="none" w:sz="0" w:space="0" w:color="auto"/>
                <w:bottom w:val="none" w:sz="0" w:space="0" w:color="auto"/>
                <w:right w:val="none" w:sz="0" w:space="0" w:color="auto"/>
              </w:divBdr>
              <w:divsChild>
                <w:div w:id="15565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2992">
      <w:bodyDiv w:val="1"/>
      <w:marLeft w:val="0"/>
      <w:marRight w:val="0"/>
      <w:marTop w:val="0"/>
      <w:marBottom w:val="0"/>
      <w:divBdr>
        <w:top w:val="none" w:sz="0" w:space="0" w:color="auto"/>
        <w:left w:val="none" w:sz="0" w:space="0" w:color="auto"/>
        <w:bottom w:val="none" w:sz="0" w:space="0" w:color="auto"/>
        <w:right w:val="none" w:sz="0" w:space="0" w:color="auto"/>
      </w:divBdr>
    </w:div>
    <w:div w:id="926694899">
      <w:bodyDiv w:val="1"/>
      <w:marLeft w:val="0"/>
      <w:marRight w:val="0"/>
      <w:marTop w:val="0"/>
      <w:marBottom w:val="0"/>
      <w:divBdr>
        <w:top w:val="none" w:sz="0" w:space="0" w:color="auto"/>
        <w:left w:val="none" w:sz="0" w:space="0" w:color="auto"/>
        <w:bottom w:val="none" w:sz="0" w:space="0" w:color="auto"/>
        <w:right w:val="none" w:sz="0" w:space="0" w:color="auto"/>
      </w:divBdr>
    </w:div>
    <w:div w:id="1049691209">
      <w:bodyDiv w:val="1"/>
      <w:marLeft w:val="0"/>
      <w:marRight w:val="0"/>
      <w:marTop w:val="0"/>
      <w:marBottom w:val="0"/>
      <w:divBdr>
        <w:top w:val="none" w:sz="0" w:space="0" w:color="auto"/>
        <w:left w:val="none" w:sz="0" w:space="0" w:color="auto"/>
        <w:bottom w:val="none" w:sz="0" w:space="0" w:color="auto"/>
        <w:right w:val="none" w:sz="0" w:space="0" w:color="auto"/>
      </w:divBdr>
      <w:divsChild>
        <w:div w:id="1635796692">
          <w:marLeft w:val="0"/>
          <w:marRight w:val="0"/>
          <w:marTop w:val="0"/>
          <w:marBottom w:val="0"/>
          <w:divBdr>
            <w:top w:val="none" w:sz="0" w:space="0" w:color="auto"/>
            <w:left w:val="none" w:sz="0" w:space="0" w:color="auto"/>
            <w:bottom w:val="none" w:sz="0" w:space="0" w:color="auto"/>
            <w:right w:val="none" w:sz="0" w:space="0" w:color="auto"/>
          </w:divBdr>
          <w:divsChild>
            <w:div w:id="326860594">
              <w:marLeft w:val="0"/>
              <w:marRight w:val="0"/>
              <w:marTop w:val="0"/>
              <w:marBottom w:val="0"/>
              <w:divBdr>
                <w:top w:val="none" w:sz="0" w:space="0" w:color="auto"/>
                <w:left w:val="none" w:sz="0" w:space="0" w:color="auto"/>
                <w:bottom w:val="none" w:sz="0" w:space="0" w:color="auto"/>
                <w:right w:val="none" w:sz="0" w:space="0" w:color="auto"/>
              </w:divBdr>
              <w:divsChild>
                <w:div w:id="265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4456">
      <w:bodyDiv w:val="1"/>
      <w:marLeft w:val="0"/>
      <w:marRight w:val="0"/>
      <w:marTop w:val="0"/>
      <w:marBottom w:val="0"/>
      <w:divBdr>
        <w:top w:val="none" w:sz="0" w:space="0" w:color="auto"/>
        <w:left w:val="none" w:sz="0" w:space="0" w:color="auto"/>
        <w:bottom w:val="none" w:sz="0" w:space="0" w:color="auto"/>
        <w:right w:val="none" w:sz="0" w:space="0" w:color="auto"/>
      </w:divBdr>
    </w:div>
    <w:div w:id="1181896585">
      <w:bodyDiv w:val="1"/>
      <w:marLeft w:val="0"/>
      <w:marRight w:val="0"/>
      <w:marTop w:val="0"/>
      <w:marBottom w:val="0"/>
      <w:divBdr>
        <w:top w:val="none" w:sz="0" w:space="0" w:color="auto"/>
        <w:left w:val="none" w:sz="0" w:space="0" w:color="auto"/>
        <w:bottom w:val="none" w:sz="0" w:space="0" w:color="auto"/>
        <w:right w:val="none" w:sz="0" w:space="0" w:color="auto"/>
      </w:divBdr>
    </w:div>
    <w:div w:id="1210805849">
      <w:bodyDiv w:val="1"/>
      <w:marLeft w:val="0"/>
      <w:marRight w:val="0"/>
      <w:marTop w:val="0"/>
      <w:marBottom w:val="0"/>
      <w:divBdr>
        <w:top w:val="none" w:sz="0" w:space="0" w:color="auto"/>
        <w:left w:val="none" w:sz="0" w:space="0" w:color="auto"/>
        <w:bottom w:val="none" w:sz="0" w:space="0" w:color="auto"/>
        <w:right w:val="none" w:sz="0" w:space="0" w:color="auto"/>
      </w:divBdr>
    </w:div>
    <w:div w:id="1239246254">
      <w:bodyDiv w:val="1"/>
      <w:marLeft w:val="0"/>
      <w:marRight w:val="0"/>
      <w:marTop w:val="0"/>
      <w:marBottom w:val="0"/>
      <w:divBdr>
        <w:top w:val="none" w:sz="0" w:space="0" w:color="auto"/>
        <w:left w:val="none" w:sz="0" w:space="0" w:color="auto"/>
        <w:bottom w:val="none" w:sz="0" w:space="0" w:color="auto"/>
        <w:right w:val="none" w:sz="0" w:space="0" w:color="auto"/>
      </w:divBdr>
      <w:divsChild>
        <w:div w:id="1054736756">
          <w:marLeft w:val="0"/>
          <w:marRight w:val="0"/>
          <w:marTop w:val="0"/>
          <w:marBottom w:val="0"/>
          <w:divBdr>
            <w:top w:val="none" w:sz="0" w:space="0" w:color="auto"/>
            <w:left w:val="none" w:sz="0" w:space="0" w:color="auto"/>
            <w:bottom w:val="none" w:sz="0" w:space="0" w:color="auto"/>
            <w:right w:val="none" w:sz="0" w:space="0" w:color="auto"/>
          </w:divBdr>
          <w:divsChild>
            <w:div w:id="1086611144">
              <w:marLeft w:val="0"/>
              <w:marRight w:val="0"/>
              <w:marTop w:val="0"/>
              <w:marBottom w:val="0"/>
              <w:divBdr>
                <w:top w:val="none" w:sz="0" w:space="0" w:color="auto"/>
                <w:left w:val="none" w:sz="0" w:space="0" w:color="auto"/>
                <w:bottom w:val="none" w:sz="0" w:space="0" w:color="auto"/>
                <w:right w:val="none" w:sz="0" w:space="0" w:color="auto"/>
              </w:divBdr>
              <w:divsChild>
                <w:div w:id="20977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2617">
      <w:bodyDiv w:val="1"/>
      <w:marLeft w:val="0"/>
      <w:marRight w:val="0"/>
      <w:marTop w:val="0"/>
      <w:marBottom w:val="0"/>
      <w:divBdr>
        <w:top w:val="none" w:sz="0" w:space="0" w:color="auto"/>
        <w:left w:val="none" w:sz="0" w:space="0" w:color="auto"/>
        <w:bottom w:val="none" w:sz="0" w:space="0" w:color="auto"/>
        <w:right w:val="none" w:sz="0" w:space="0" w:color="auto"/>
      </w:divBdr>
      <w:divsChild>
        <w:div w:id="1627201213">
          <w:marLeft w:val="0"/>
          <w:marRight w:val="0"/>
          <w:marTop w:val="0"/>
          <w:marBottom w:val="0"/>
          <w:divBdr>
            <w:top w:val="none" w:sz="0" w:space="0" w:color="auto"/>
            <w:left w:val="none" w:sz="0" w:space="0" w:color="auto"/>
            <w:bottom w:val="none" w:sz="0" w:space="0" w:color="auto"/>
            <w:right w:val="none" w:sz="0" w:space="0" w:color="auto"/>
          </w:divBdr>
          <w:divsChild>
            <w:div w:id="977881135">
              <w:marLeft w:val="0"/>
              <w:marRight w:val="0"/>
              <w:marTop w:val="0"/>
              <w:marBottom w:val="0"/>
              <w:divBdr>
                <w:top w:val="none" w:sz="0" w:space="0" w:color="auto"/>
                <w:left w:val="none" w:sz="0" w:space="0" w:color="auto"/>
                <w:bottom w:val="none" w:sz="0" w:space="0" w:color="auto"/>
                <w:right w:val="none" w:sz="0" w:space="0" w:color="auto"/>
              </w:divBdr>
              <w:divsChild>
                <w:div w:id="6908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0476">
      <w:bodyDiv w:val="1"/>
      <w:marLeft w:val="0"/>
      <w:marRight w:val="0"/>
      <w:marTop w:val="0"/>
      <w:marBottom w:val="0"/>
      <w:divBdr>
        <w:top w:val="none" w:sz="0" w:space="0" w:color="auto"/>
        <w:left w:val="none" w:sz="0" w:space="0" w:color="auto"/>
        <w:bottom w:val="none" w:sz="0" w:space="0" w:color="auto"/>
        <w:right w:val="none" w:sz="0" w:space="0" w:color="auto"/>
      </w:divBdr>
    </w:div>
    <w:div w:id="1460994640">
      <w:bodyDiv w:val="1"/>
      <w:marLeft w:val="0"/>
      <w:marRight w:val="0"/>
      <w:marTop w:val="0"/>
      <w:marBottom w:val="0"/>
      <w:divBdr>
        <w:top w:val="none" w:sz="0" w:space="0" w:color="auto"/>
        <w:left w:val="none" w:sz="0" w:space="0" w:color="auto"/>
        <w:bottom w:val="none" w:sz="0" w:space="0" w:color="auto"/>
        <w:right w:val="none" w:sz="0" w:space="0" w:color="auto"/>
      </w:divBdr>
    </w:div>
    <w:div w:id="1470592896">
      <w:bodyDiv w:val="1"/>
      <w:marLeft w:val="0"/>
      <w:marRight w:val="0"/>
      <w:marTop w:val="0"/>
      <w:marBottom w:val="0"/>
      <w:divBdr>
        <w:top w:val="none" w:sz="0" w:space="0" w:color="auto"/>
        <w:left w:val="none" w:sz="0" w:space="0" w:color="auto"/>
        <w:bottom w:val="none" w:sz="0" w:space="0" w:color="auto"/>
        <w:right w:val="none" w:sz="0" w:space="0" w:color="auto"/>
      </w:divBdr>
    </w:div>
    <w:div w:id="1480999332">
      <w:bodyDiv w:val="1"/>
      <w:marLeft w:val="0"/>
      <w:marRight w:val="0"/>
      <w:marTop w:val="0"/>
      <w:marBottom w:val="0"/>
      <w:divBdr>
        <w:top w:val="none" w:sz="0" w:space="0" w:color="auto"/>
        <w:left w:val="none" w:sz="0" w:space="0" w:color="auto"/>
        <w:bottom w:val="none" w:sz="0" w:space="0" w:color="auto"/>
        <w:right w:val="none" w:sz="0" w:space="0" w:color="auto"/>
      </w:divBdr>
    </w:div>
    <w:div w:id="1496846509">
      <w:bodyDiv w:val="1"/>
      <w:marLeft w:val="0"/>
      <w:marRight w:val="0"/>
      <w:marTop w:val="0"/>
      <w:marBottom w:val="0"/>
      <w:divBdr>
        <w:top w:val="none" w:sz="0" w:space="0" w:color="auto"/>
        <w:left w:val="none" w:sz="0" w:space="0" w:color="auto"/>
        <w:bottom w:val="none" w:sz="0" w:space="0" w:color="auto"/>
        <w:right w:val="none" w:sz="0" w:space="0" w:color="auto"/>
      </w:divBdr>
    </w:div>
    <w:div w:id="1679693934">
      <w:bodyDiv w:val="1"/>
      <w:marLeft w:val="0"/>
      <w:marRight w:val="0"/>
      <w:marTop w:val="0"/>
      <w:marBottom w:val="0"/>
      <w:divBdr>
        <w:top w:val="none" w:sz="0" w:space="0" w:color="auto"/>
        <w:left w:val="none" w:sz="0" w:space="0" w:color="auto"/>
        <w:bottom w:val="none" w:sz="0" w:space="0" w:color="auto"/>
        <w:right w:val="none" w:sz="0" w:space="0" w:color="auto"/>
      </w:divBdr>
    </w:div>
    <w:div w:id="1703280887">
      <w:bodyDiv w:val="1"/>
      <w:marLeft w:val="0"/>
      <w:marRight w:val="0"/>
      <w:marTop w:val="0"/>
      <w:marBottom w:val="0"/>
      <w:divBdr>
        <w:top w:val="none" w:sz="0" w:space="0" w:color="auto"/>
        <w:left w:val="none" w:sz="0" w:space="0" w:color="auto"/>
        <w:bottom w:val="none" w:sz="0" w:space="0" w:color="auto"/>
        <w:right w:val="none" w:sz="0" w:space="0" w:color="auto"/>
      </w:divBdr>
      <w:divsChild>
        <w:div w:id="1262760019">
          <w:marLeft w:val="0"/>
          <w:marRight w:val="0"/>
          <w:marTop w:val="0"/>
          <w:marBottom w:val="0"/>
          <w:divBdr>
            <w:top w:val="none" w:sz="0" w:space="0" w:color="auto"/>
            <w:left w:val="none" w:sz="0" w:space="0" w:color="auto"/>
            <w:bottom w:val="none" w:sz="0" w:space="0" w:color="auto"/>
            <w:right w:val="none" w:sz="0" w:space="0" w:color="auto"/>
          </w:divBdr>
          <w:divsChild>
            <w:div w:id="1603688803">
              <w:marLeft w:val="0"/>
              <w:marRight w:val="0"/>
              <w:marTop w:val="0"/>
              <w:marBottom w:val="0"/>
              <w:divBdr>
                <w:top w:val="none" w:sz="0" w:space="0" w:color="auto"/>
                <w:left w:val="none" w:sz="0" w:space="0" w:color="auto"/>
                <w:bottom w:val="none" w:sz="0" w:space="0" w:color="auto"/>
                <w:right w:val="none" w:sz="0" w:space="0" w:color="auto"/>
              </w:divBdr>
              <w:divsChild>
                <w:div w:id="259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629">
      <w:bodyDiv w:val="1"/>
      <w:marLeft w:val="0"/>
      <w:marRight w:val="0"/>
      <w:marTop w:val="0"/>
      <w:marBottom w:val="0"/>
      <w:divBdr>
        <w:top w:val="none" w:sz="0" w:space="0" w:color="auto"/>
        <w:left w:val="none" w:sz="0" w:space="0" w:color="auto"/>
        <w:bottom w:val="none" w:sz="0" w:space="0" w:color="auto"/>
        <w:right w:val="none" w:sz="0" w:space="0" w:color="auto"/>
      </w:divBdr>
    </w:div>
    <w:div w:id="1775520276">
      <w:bodyDiv w:val="1"/>
      <w:marLeft w:val="0"/>
      <w:marRight w:val="0"/>
      <w:marTop w:val="0"/>
      <w:marBottom w:val="0"/>
      <w:divBdr>
        <w:top w:val="none" w:sz="0" w:space="0" w:color="auto"/>
        <w:left w:val="none" w:sz="0" w:space="0" w:color="auto"/>
        <w:bottom w:val="none" w:sz="0" w:space="0" w:color="auto"/>
        <w:right w:val="none" w:sz="0" w:space="0" w:color="auto"/>
      </w:divBdr>
    </w:div>
    <w:div w:id="1849901075">
      <w:bodyDiv w:val="1"/>
      <w:marLeft w:val="0"/>
      <w:marRight w:val="0"/>
      <w:marTop w:val="0"/>
      <w:marBottom w:val="0"/>
      <w:divBdr>
        <w:top w:val="none" w:sz="0" w:space="0" w:color="auto"/>
        <w:left w:val="none" w:sz="0" w:space="0" w:color="auto"/>
        <w:bottom w:val="none" w:sz="0" w:space="0" w:color="auto"/>
        <w:right w:val="none" w:sz="0" w:space="0" w:color="auto"/>
      </w:divBdr>
    </w:div>
    <w:div w:id="1871525145">
      <w:bodyDiv w:val="1"/>
      <w:marLeft w:val="0"/>
      <w:marRight w:val="0"/>
      <w:marTop w:val="0"/>
      <w:marBottom w:val="0"/>
      <w:divBdr>
        <w:top w:val="none" w:sz="0" w:space="0" w:color="auto"/>
        <w:left w:val="none" w:sz="0" w:space="0" w:color="auto"/>
        <w:bottom w:val="none" w:sz="0" w:space="0" w:color="auto"/>
        <w:right w:val="none" w:sz="0" w:space="0" w:color="auto"/>
      </w:divBdr>
    </w:div>
    <w:div w:id="1879125281">
      <w:bodyDiv w:val="1"/>
      <w:marLeft w:val="0"/>
      <w:marRight w:val="0"/>
      <w:marTop w:val="0"/>
      <w:marBottom w:val="0"/>
      <w:divBdr>
        <w:top w:val="none" w:sz="0" w:space="0" w:color="auto"/>
        <w:left w:val="none" w:sz="0" w:space="0" w:color="auto"/>
        <w:bottom w:val="none" w:sz="0" w:space="0" w:color="auto"/>
        <w:right w:val="none" w:sz="0" w:space="0" w:color="auto"/>
      </w:divBdr>
    </w:div>
    <w:div w:id="1974825855">
      <w:bodyDiv w:val="1"/>
      <w:marLeft w:val="0"/>
      <w:marRight w:val="0"/>
      <w:marTop w:val="0"/>
      <w:marBottom w:val="0"/>
      <w:divBdr>
        <w:top w:val="none" w:sz="0" w:space="0" w:color="auto"/>
        <w:left w:val="none" w:sz="0" w:space="0" w:color="auto"/>
        <w:bottom w:val="none" w:sz="0" w:space="0" w:color="auto"/>
        <w:right w:val="none" w:sz="0" w:space="0" w:color="auto"/>
      </w:divBdr>
    </w:div>
    <w:div w:id="2021228240">
      <w:bodyDiv w:val="1"/>
      <w:marLeft w:val="0"/>
      <w:marRight w:val="0"/>
      <w:marTop w:val="0"/>
      <w:marBottom w:val="0"/>
      <w:divBdr>
        <w:top w:val="none" w:sz="0" w:space="0" w:color="auto"/>
        <w:left w:val="none" w:sz="0" w:space="0" w:color="auto"/>
        <w:bottom w:val="none" w:sz="0" w:space="0" w:color="auto"/>
        <w:right w:val="none" w:sz="0" w:space="0" w:color="auto"/>
      </w:divBdr>
    </w:div>
    <w:div w:id="2080205845">
      <w:bodyDiv w:val="1"/>
      <w:marLeft w:val="0"/>
      <w:marRight w:val="0"/>
      <w:marTop w:val="0"/>
      <w:marBottom w:val="0"/>
      <w:divBdr>
        <w:top w:val="none" w:sz="0" w:space="0" w:color="auto"/>
        <w:left w:val="none" w:sz="0" w:space="0" w:color="auto"/>
        <w:bottom w:val="none" w:sz="0" w:space="0" w:color="auto"/>
        <w:right w:val="none" w:sz="0" w:space="0" w:color="auto"/>
      </w:divBdr>
      <w:divsChild>
        <w:div w:id="1368750679">
          <w:marLeft w:val="0"/>
          <w:marRight w:val="0"/>
          <w:marTop w:val="0"/>
          <w:marBottom w:val="0"/>
          <w:divBdr>
            <w:top w:val="none" w:sz="0" w:space="0" w:color="auto"/>
            <w:left w:val="none" w:sz="0" w:space="0" w:color="auto"/>
            <w:bottom w:val="none" w:sz="0" w:space="0" w:color="auto"/>
            <w:right w:val="none" w:sz="0" w:space="0" w:color="auto"/>
          </w:divBdr>
          <w:divsChild>
            <w:div w:id="1286043215">
              <w:marLeft w:val="0"/>
              <w:marRight w:val="0"/>
              <w:marTop w:val="0"/>
              <w:marBottom w:val="0"/>
              <w:divBdr>
                <w:top w:val="none" w:sz="0" w:space="0" w:color="auto"/>
                <w:left w:val="none" w:sz="0" w:space="0" w:color="auto"/>
                <w:bottom w:val="none" w:sz="0" w:space="0" w:color="auto"/>
                <w:right w:val="none" w:sz="0" w:space="0" w:color="auto"/>
              </w:divBdr>
              <w:divsChild>
                <w:div w:id="6275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red.stlouisfe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6/1813-9450-4704"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wresearch.org/fact-tank/2019/01/17/where-millennials-end-and-generation-z-begin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ewsocialtrends.org/essay/millennial-life-how-young-adulthood-today-compares-with-prior-gener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ber.org/papers/w1982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hanna.szymborska@ope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85E876-DDF2-7B42-9503-F2C09E50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47</Pages>
  <Words>18563</Words>
  <Characters>105814</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Szymborska [RPG]</dc:creator>
  <cp:keywords/>
  <dc:description/>
  <cp:lastModifiedBy>Hanna.Szymborska</cp:lastModifiedBy>
  <cp:revision>32</cp:revision>
  <cp:lastPrinted>2018-05-15T19:28:00Z</cp:lastPrinted>
  <dcterms:created xsi:type="dcterms:W3CDTF">2019-05-21T15:27:00Z</dcterms:created>
  <dcterms:modified xsi:type="dcterms:W3CDTF">2019-05-28T18:32:00Z</dcterms:modified>
</cp:coreProperties>
</file>