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55061" w14:textId="389A17C4" w:rsidR="397EC2D7" w:rsidRPr="004D6B8B" w:rsidRDefault="397EC2D7" w:rsidP="397EC2D7">
      <w:pPr>
        <w:rPr>
          <w:rFonts w:eastAsia="Arial" w:cstheme="minorHAnsi"/>
          <w:sz w:val="24"/>
          <w:szCs w:val="24"/>
        </w:rPr>
      </w:pPr>
      <w:r w:rsidRPr="004D6B8B">
        <w:rPr>
          <w:rFonts w:eastAsia="Times New Roman" w:cstheme="minorHAnsi"/>
          <w:b/>
          <w:bCs/>
          <w:sz w:val="24"/>
          <w:szCs w:val="24"/>
        </w:rPr>
        <w:t xml:space="preserve">ABSTRACT </w:t>
      </w:r>
    </w:p>
    <w:p w14:paraId="0B5CE08A" w14:textId="3F311472" w:rsidR="008E495C" w:rsidRPr="004D6B8B" w:rsidRDefault="397EC2D7" w:rsidP="008E495C">
      <w:pPr>
        <w:rPr>
          <w:rFonts w:eastAsia="Times New Roman" w:cstheme="minorHAnsi"/>
          <w:bCs/>
          <w:sz w:val="24"/>
          <w:szCs w:val="24"/>
        </w:rPr>
      </w:pPr>
      <w:r w:rsidRPr="004D6B8B">
        <w:rPr>
          <w:rFonts w:eastAsia="Times New Roman" w:cstheme="minorHAnsi"/>
          <w:b/>
          <w:bCs/>
          <w:sz w:val="24"/>
          <w:szCs w:val="24"/>
        </w:rPr>
        <w:t>Aim:</w:t>
      </w:r>
      <w:r w:rsidR="008E495C" w:rsidRPr="004D6B8B">
        <w:rPr>
          <w:rFonts w:eastAsia="Times New Roman" w:cstheme="minorHAnsi"/>
          <w:bCs/>
          <w:sz w:val="24"/>
          <w:szCs w:val="24"/>
        </w:rPr>
        <w:t xml:space="preserve"> To identify training strategies and determine h</w:t>
      </w:r>
      <w:r w:rsidR="008E495C" w:rsidRPr="004D6B8B">
        <w:rPr>
          <w:rFonts w:cstheme="minorHAnsi"/>
          <w:sz w:val="24"/>
          <w:szCs w:val="24"/>
          <w:lang w:val="en-GB"/>
        </w:rPr>
        <w:t xml:space="preserve">ow registered health and social care practitioners change their practice post Mental Capacity Act training. </w:t>
      </w:r>
      <w:r w:rsidR="008E495C" w:rsidRPr="004D6B8B">
        <w:rPr>
          <w:rFonts w:eastAsia="Times New Roman" w:cstheme="minorHAnsi"/>
          <w:bCs/>
          <w:sz w:val="24"/>
          <w:szCs w:val="24"/>
        </w:rPr>
        <w:t xml:space="preserve"> </w:t>
      </w:r>
    </w:p>
    <w:p w14:paraId="11541B73" w14:textId="77777777" w:rsidR="00E03642" w:rsidRPr="004D6B8B" w:rsidRDefault="397EC2D7" w:rsidP="00E03642">
      <w:pPr>
        <w:rPr>
          <w:rFonts w:eastAsia="Times New Roman" w:cstheme="minorHAnsi"/>
          <w:sz w:val="24"/>
          <w:szCs w:val="24"/>
        </w:rPr>
      </w:pPr>
      <w:r w:rsidRPr="004D6B8B">
        <w:rPr>
          <w:rFonts w:eastAsia="Times New Roman" w:cstheme="minorHAnsi"/>
          <w:b/>
          <w:bCs/>
          <w:sz w:val="24"/>
          <w:szCs w:val="24"/>
        </w:rPr>
        <w:t xml:space="preserve">Design: </w:t>
      </w:r>
      <w:r w:rsidR="00E03642" w:rsidRPr="004D6B8B">
        <w:rPr>
          <w:rFonts w:eastAsia="Times New Roman" w:cstheme="minorHAnsi"/>
          <w:bCs/>
          <w:sz w:val="24"/>
          <w:szCs w:val="24"/>
        </w:rPr>
        <w:t>Narrative literature review</w:t>
      </w:r>
    </w:p>
    <w:p w14:paraId="0F5A5134" w14:textId="5B788F2F" w:rsidR="00E03642" w:rsidRPr="004D6B8B" w:rsidRDefault="397EC2D7" w:rsidP="00E03642">
      <w:pPr>
        <w:rPr>
          <w:rFonts w:eastAsia="Times New Roman" w:cstheme="minorHAnsi"/>
          <w:sz w:val="24"/>
          <w:szCs w:val="24"/>
        </w:rPr>
      </w:pPr>
      <w:r w:rsidRPr="004D6B8B">
        <w:rPr>
          <w:rFonts w:eastAsia="Times New Roman" w:cstheme="minorHAnsi"/>
          <w:b/>
          <w:bCs/>
          <w:sz w:val="24"/>
          <w:szCs w:val="24"/>
        </w:rPr>
        <w:t>Data sources:</w:t>
      </w:r>
      <w:r w:rsidR="00E03642" w:rsidRPr="004D6B8B">
        <w:rPr>
          <w:rFonts w:eastAsia="Times New Roman" w:cstheme="minorHAnsi"/>
          <w:b/>
          <w:bCs/>
          <w:sz w:val="24"/>
          <w:szCs w:val="24"/>
        </w:rPr>
        <w:t xml:space="preserve"> </w:t>
      </w:r>
      <w:r w:rsidR="003D0412" w:rsidRPr="004D6B8B">
        <w:rPr>
          <w:rFonts w:eastAsia="Times New Roman" w:cstheme="minorHAnsi"/>
          <w:sz w:val="24"/>
          <w:szCs w:val="24"/>
        </w:rPr>
        <w:t xml:space="preserve">Seventeen </w:t>
      </w:r>
      <w:r w:rsidR="00E03642" w:rsidRPr="004D6B8B">
        <w:rPr>
          <w:rFonts w:eastAsia="Times New Roman" w:cstheme="minorHAnsi"/>
          <w:sz w:val="24"/>
          <w:szCs w:val="24"/>
        </w:rPr>
        <w:t>databases</w:t>
      </w:r>
      <w:r w:rsidR="003D0412" w:rsidRPr="004D6B8B">
        <w:rPr>
          <w:rFonts w:eastAsia="Times New Roman" w:cstheme="minorHAnsi"/>
          <w:sz w:val="24"/>
          <w:szCs w:val="24"/>
        </w:rPr>
        <w:t xml:space="preserve"> were searched </w:t>
      </w:r>
      <w:r w:rsidR="00B86D7D" w:rsidRPr="004D6B8B">
        <w:rPr>
          <w:rFonts w:eastAsia="Times New Roman" w:cstheme="minorHAnsi"/>
          <w:sz w:val="24"/>
          <w:szCs w:val="24"/>
        </w:rPr>
        <w:t xml:space="preserve">up to </w:t>
      </w:r>
      <w:r w:rsidR="00960D3D" w:rsidRPr="004D6B8B">
        <w:rPr>
          <w:rFonts w:eastAsia="Times New Roman" w:cstheme="minorHAnsi"/>
          <w:sz w:val="24"/>
          <w:szCs w:val="24"/>
        </w:rPr>
        <w:t>December 2019</w:t>
      </w:r>
      <w:r w:rsidR="003D0412" w:rsidRPr="004D6B8B">
        <w:rPr>
          <w:rFonts w:eastAsia="Times New Roman" w:cstheme="minorHAnsi"/>
          <w:sz w:val="24"/>
          <w:szCs w:val="24"/>
        </w:rPr>
        <w:t xml:space="preserve">; </w:t>
      </w:r>
      <w:r w:rsidR="00E03642" w:rsidRPr="004D6B8B">
        <w:rPr>
          <w:rFonts w:cstheme="minorHAnsi"/>
          <w:sz w:val="24"/>
          <w:szCs w:val="24"/>
        </w:rPr>
        <w:t xml:space="preserve">CINAHL, Social Care Online, PubMed, Social Policy and Practice, Discover, Medline, Science Direct, Ovid, </w:t>
      </w:r>
      <w:proofErr w:type="spellStart"/>
      <w:r w:rsidR="00E03642" w:rsidRPr="004D6B8B">
        <w:rPr>
          <w:rFonts w:cstheme="minorHAnsi"/>
          <w:sz w:val="24"/>
          <w:szCs w:val="24"/>
        </w:rPr>
        <w:t>PsycINFO</w:t>
      </w:r>
      <w:proofErr w:type="spellEnd"/>
      <w:r w:rsidR="00E03642" w:rsidRPr="004D6B8B">
        <w:rPr>
          <w:rFonts w:cstheme="minorHAnsi"/>
          <w:sz w:val="24"/>
          <w:szCs w:val="24"/>
        </w:rPr>
        <w:t>, ASSIA, Social Services Abstracts, Science Direct, Academic Search Premier, Web of Science, British Nursing Index, DH-Data</w:t>
      </w:r>
      <w:r w:rsidR="00C37621" w:rsidRPr="004D6B8B">
        <w:rPr>
          <w:rFonts w:cstheme="minorHAnsi"/>
          <w:sz w:val="24"/>
          <w:szCs w:val="24"/>
        </w:rPr>
        <w:t>,</w:t>
      </w:r>
      <w:r w:rsidR="00E03642" w:rsidRPr="004D6B8B">
        <w:rPr>
          <w:rFonts w:cstheme="minorHAnsi"/>
          <w:sz w:val="24"/>
          <w:szCs w:val="24"/>
        </w:rPr>
        <w:t xml:space="preserve"> King’s Fund Library Catalogue</w:t>
      </w:r>
      <w:r w:rsidR="007E2B79" w:rsidRPr="004D6B8B">
        <w:rPr>
          <w:rFonts w:cstheme="minorHAnsi"/>
          <w:sz w:val="24"/>
          <w:szCs w:val="24"/>
        </w:rPr>
        <w:t>.</w:t>
      </w:r>
    </w:p>
    <w:p w14:paraId="0A68B3AB" w14:textId="0D9B0EC4" w:rsidR="397EC2D7" w:rsidRPr="004D6B8B" w:rsidRDefault="397EC2D7" w:rsidP="397EC2D7">
      <w:pPr>
        <w:rPr>
          <w:rFonts w:eastAsia="Times New Roman" w:cstheme="minorHAnsi"/>
          <w:sz w:val="24"/>
          <w:szCs w:val="24"/>
        </w:rPr>
      </w:pPr>
      <w:r w:rsidRPr="004D6B8B">
        <w:rPr>
          <w:rFonts w:eastAsia="Times New Roman" w:cstheme="minorHAnsi"/>
          <w:b/>
          <w:bCs/>
          <w:sz w:val="24"/>
          <w:szCs w:val="24"/>
        </w:rPr>
        <w:t xml:space="preserve">Review Methods: </w:t>
      </w:r>
      <w:r w:rsidR="00F26709" w:rsidRPr="004D6B8B">
        <w:rPr>
          <w:rFonts w:eastAsia="Times New Roman" w:cstheme="minorHAnsi"/>
          <w:bCs/>
          <w:sz w:val="24"/>
          <w:szCs w:val="24"/>
        </w:rPr>
        <w:t>Empirical</w:t>
      </w:r>
      <w:r w:rsidR="007E2B79" w:rsidRPr="004D6B8B">
        <w:rPr>
          <w:rFonts w:eastAsia="Times New Roman" w:cstheme="minorHAnsi"/>
          <w:bCs/>
          <w:sz w:val="24"/>
          <w:szCs w:val="24"/>
        </w:rPr>
        <w:t xml:space="preserve"> studies of any de</w:t>
      </w:r>
      <w:r w:rsidR="00F26709" w:rsidRPr="004D6B8B">
        <w:rPr>
          <w:rFonts w:eastAsia="Times New Roman" w:cstheme="minorHAnsi"/>
          <w:bCs/>
          <w:sz w:val="24"/>
          <w:szCs w:val="24"/>
        </w:rPr>
        <w:t>s</w:t>
      </w:r>
      <w:r w:rsidR="007E2B79" w:rsidRPr="004D6B8B">
        <w:rPr>
          <w:rFonts w:eastAsia="Times New Roman" w:cstheme="minorHAnsi"/>
          <w:bCs/>
          <w:sz w:val="24"/>
          <w:szCs w:val="24"/>
        </w:rPr>
        <w:t>ign investigating Mental Capacity Act training were searched and screened</w:t>
      </w:r>
      <w:r w:rsidR="00F26709" w:rsidRPr="004D6B8B">
        <w:rPr>
          <w:rFonts w:eastAsia="Times New Roman" w:cstheme="minorHAnsi"/>
          <w:bCs/>
          <w:sz w:val="24"/>
          <w:szCs w:val="24"/>
        </w:rPr>
        <w:t>. Data were extracted to a bespoke spreadsheet and quality assessed.</w:t>
      </w:r>
      <w:r w:rsidR="001A0F54" w:rsidRPr="004D6B8B">
        <w:t xml:space="preserve"> </w:t>
      </w:r>
      <w:r w:rsidR="001A0F54" w:rsidRPr="004D6B8B">
        <w:rPr>
          <w:rFonts w:eastAsia="Times New Roman" w:cstheme="minorHAnsi"/>
          <w:bCs/>
          <w:sz w:val="24"/>
          <w:szCs w:val="24"/>
        </w:rPr>
        <w:t xml:space="preserve">Reporting followed the Preferred Reporting Items for Systematic Reviews and Meta‐Analyses, </w:t>
      </w:r>
      <w:r w:rsidR="007A4BB6" w:rsidRPr="004D6B8B">
        <w:rPr>
          <w:rFonts w:eastAsia="Times New Roman" w:cstheme="minorHAnsi"/>
          <w:bCs/>
          <w:sz w:val="24"/>
          <w:szCs w:val="24"/>
        </w:rPr>
        <w:t>(PRISMA</w:t>
      </w:r>
      <w:r w:rsidR="001A0F54" w:rsidRPr="004D6B8B">
        <w:rPr>
          <w:rFonts w:eastAsia="Times New Roman" w:cstheme="minorHAnsi"/>
          <w:bCs/>
          <w:sz w:val="24"/>
          <w:szCs w:val="24"/>
        </w:rPr>
        <w:t>).</w:t>
      </w:r>
    </w:p>
    <w:p w14:paraId="61A0021F" w14:textId="4D5D84E3" w:rsidR="007E2B79" w:rsidRPr="004D6B8B" w:rsidRDefault="397EC2D7" w:rsidP="007E2B79">
      <w:pPr>
        <w:rPr>
          <w:rFonts w:eastAsia="Times New Roman" w:cstheme="minorHAnsi"/>
          <w:strike/>
          <w:sz w:val="24"/>
          <w:szCs w:val="24"/>
        </w:rPr>
      </w:pPr>
      <w:r w:rsidRPr="004D6B8B">
        <w:rPr>
          <w:rFonts w:eastAsia="Times New Roman" w:cstheme="minorHAnsi"/>
          <w:b/>
          <w:bCs/>
          <w:sz w:val="24"/>
          <w:szCs w:val="24"/>
        </w:rPr>
        <w:t>Results:</w:t>
      </w:r>
      <w:r w:rsidR="007E2B79" w:rsidRPr="004D6B8B">
        <w:rPr>
          <w:rFonts w:eastAsia="Times New Roman" w:cstheme="minorHAnsi"/>
          <w:b/>
          <w:bCs/>
          <w:sz w:val="24"/>
          <w:szCs w:val="24"/>
        </w:rPr>
        <w:t xml:space="preserve"> </w:t>
      </w:r>
      <w:r w:rsidR="007E2B79" w:rsidRPr="004D6B8B">
        <w:rPr>
          <w:rFonts w:eastAsia="Times New Roman" w:cstheme="minorHAnsi"/>
          <w:bCs/>
          <w:sz w:val="24"/>
          <w:szCs w:val="24"/>
        </w:rPr>
        <w:t>Of 16</w:t>
      </w:r>
      <w:r w:rsidR="00960D3D" w:rsidRPr="004D6B8B">
        <w:rPr>
          <w:rFonts w:eastAsia="Times New Roman" w:cstheme="minorHAnsi"/>
          <w:bCs/>
          <w:sz w:val="24"/>
          <w:szCs w:val="24"/>
        </w:rPr>
        <w:t>2</w:t>
      </w:r>
      <w:r w:rsidR="007E2B79" w:rsidRPr="004D6B8B">
        <w:rPr>
          <w:rFonts w:eastAsia="Times New Roman" w:cstheme="minorHAnsi"/>
          <w:bCs/>
          <w:sz w:val="24"/>
          <w:szCs w:val="24"/>
        </w:rPr>
        <w:t xml:space="preserve"> papers identified</w:t>
      </w:r>
      <w:r w:rsidR="000543A2" w:rsidRPr="004D6B8B">
        <w:rPr>
          <w:rFonts w:eastAsia="Times New Roman" w:cstheme="minorHAnsi"/>
          <w:bCs/>
          <w:sz w:val="24"/>
          <w:szCs w:val="24"/>
        </w:rPr>
        <w:t>,</w:t>
      </w:r>
      <w:r w:rsidR="007E2B79" w:rsidRPr="004D6B8B">
        <w:rPr>
          <w:rFonts w:eastAsia="Times New Roman" w:cstheme="minorHAnsi"/>
          <w:bCs/>
          <w:sz w:val="24"/>
          <w:szCs w:val="24"/>
        </w:rPr>
        <w:t xml:space="preserve"> </w:t>
      </w:r>
      <w:r w:rsidR="00B54645" w:rsidRPr="004D6B8B">
        <w:rPr>
          <w:rFonts w:eastAsia="Times New Roman" w:cstheme="minorHAnsi"/>
          <w:bCs/>
          <w:sz w:val="24"/>
          <w:szCs w:val="24"/>
        </w:rPr>
        <w:t>1</w:t>
      </w:r>
      <w:r w:rsidR="00960D3D" w:rsidRPr="004D6B8B">
        <w:rPr>
          <w:rFonts w:eastAsia="Times New Roman" w:cstheme="minorHAnsi"/>
          <w:bCs/>
          <w:sz w:val="24"/>
          <w:szCs w:val="24"/>
        </w:rPr>
        <w:t>6</w:t>
      </w:r>
      <w:r w:rsidR="00B54645" w:rsidRPr="004D6B8B">
        <w:rPr>
          <w:rFonts w:eastAsia="Times New Roman" w:cstheme="minorHAnsi"/>
          <w:bCs/>
          <w:sz w:val="24"/>
          <w:szCs w:val="24"/>
        </w:rPr>
        <w:t xml:space="preserve"> </w:t>
      </w:r>
      <w:r w:rsidR="007E2B79" w:rsidRPr="004D6B8B">
        <w:rPr>
          <w:rFonts w:eastAsia="Times New Roman" w:cstheme="minorHAnsi"/>
          <w:bCs/>
          <w:sz w:val="24"/>
          <w:szCs w:val="24"/>
        </w:rPr>
        <w:t xml:space="preserve">were </w:t>
      </w:r>
      <w:r w:rsidR="00EC4365" w:rsidRPr="004D6B8B">
        <w:rPr>
          <w:rFonts w:eastAsia="Times New Roman" w:cstheme="minorHAnsi"/>
          <w:bCs/>
          <w:sz w:val="24"/>
          <w:szCs w:val="24"/>
        </w:rPr>
        <w:t>included</w:t>
      </w:r>
      <w:r w:rsidR="00B86D7D" w:rsidRPr="004D6B8B">
        <w:rPr>
          <w:rFonts w:eastAsia="Times New Roman" w:cstheme="minorHAnsi"/>
          <w:bCs/>
          <w:sz w:val="24"/>
          <w:szCs w:val="24"/>
        </w:rPr>
        <w:t xml:space="preserve"> comprising</w:t>
      </w:r>
      <w:r w:rsidR="00EC4365" w:rsidRPr="004D6B8B">
        <w:rPr>
          <w:rFonts w:eastAsia="Times New Roman" w:cstheme="minorHAnsi"/>
          <w:bCs/>
          <w:sz w:val="24"/>
          <w:szCs w:val="24"/>
        </w:rPr>
        <w:t xml:space="preserve"> qualitative, quantitative</w:t>
      </w:r>
      <w:r w:rsidR="00312FFE" w:rsidRPr="004D6B8B">
        <w:rPr>
          <w:rFonts w:eastAsia="Times New Roman" w:cstheme="minorHAnsi"/>
          <w:bCs/>
          <w:sz w:val="24"/>
          <w:szCs w:val="24"/>
        </w:rPr>
        <w:t xml:space="preserve"> and</w:t>
      </w:r>
      <w:r w:rsidR="00EC4365" w:rsidRPr="004D6B8B">
        <w:rPr>
          <w:rFonts w:eastAsia="Times New Roman" w:cstheme="minorHAnsi"/>
          <w:bCs/>
          <w:sz w:val="24"/>
          <w:szCs w:val="24"/>
        </w:rPr>
        <w:t xml:space="preserve"> mixed methods</w:t>
      </w:r>
      <w:r w:rsidR="00B86D7D" w:rsidRPr="004D6B8B">
        <w:rPr>
          <w:rFonts w:eastAsia="Times New Roman" w:cstheme="minorHAnsi"/>
          <w:bCs/>
          <w:sz w:val="24"/>
          <w:szCs w:val="24"/>
        </w:rPr>
        <w:t xml:space="preserve"> studies. </w:t>
      </w:r>
      <w:r w:rsidR="00F26709" w:rsidRPr="004D6B8B">
        <w:rPr>
          <w:rFonts w:eastAsia="Times New Roman" w:cstheme="minorHAnsi"/>
          <w:bCs/>
          <w:sz w:val="24"/>
          <w:szCs w:val="24"/>
        </w:rPr>
        <w:t>Trainees</w:t>
      </w:r>
      <w:r w:rsidR="007E2B79" w:rsidRPr="004D6B8B">
        <w:rPr>
          <w:rFonts w:eastAsia="Times New Roman" w:cstheme="minorHAnsi"/>
          <w:bCs/>
          <w:sz w:val="24"/>
          <w:szCs w:val="24"/>
        </w:rPr>
        <w:t xml:space="preserve"> valued interactive training with close alignment to practice. Training did not lead to demonstrable</w:t>
      </w:r>
      <w:r w:rsidR="00C66A81" w:rsidRPr="004D6B8B">
        <w:rPr>
          <w:rFonts w:eastAsia="Times New Roman" w:cstheme="minorHAnsi"/>
          <w:bCs/>
          <w:sz w:val="24"/>
          <w:szCs w:val="24"/>
        </w:rPr>
        <w:t xml:space="preserve"> practice change</w:t>
      </w:r>
      <w:r w:rsidR="007E2B79" w:rsidRPr="004D6B8B">
        <w:rPr>
          <w:rFonts w:eastAsia="Times New Roman" w:cstheme="minorHAnsi"/>
          <w:bCs/>
          <w:sz w:val="24"/>
          <w:szCs w:val="24"/>
        </w:rPr>
        <w:t xml:space="preserve">. </w:t>
      </w:r>
      <w:r w:rsidR="00B86D7D" w:rsidRPr="004D6B8B">
        <w:rPr>
          <w:rFonts w:eastAsia="Times New Roman" w:cstheme="minorHAnsi"/>
          <w:sz w:val="24"/>
          <w:szCs w:val="24"/>
        </w:rPr>
        <w:t>Barriers in the context and cultures of care environments were identified.</w:t>
      </w:r>
    </w:p>
    <w:p w14:paraId="09B6E1A2" w14:textId="0A58791F" w:rsidR="00B86D7D" w:rsidRPr="004D6B8B" w:rsidRDefault="397EC2D7" w:rsidP="397EC2D7">
      <w:pPr>
        <w:rPr>
          <w:rFonts w:eastAsia="Times New Roman" w:cstheme="minorHAnsi"/>
          <w:sz w:val="24"/>
          <w:szCs w:val="24"/>
        </w:rPr>
      </w:pPr>
      <w:r w:rsidRPr="004D6B8B">
        <w:rPr>
          <w:rFonts w:eastAsia="Times New Roman" w:cstheme="minorHAnsi"/>
          <w:b/>
          <w:bCs/>
          <w:sz w:val="24"/>
          <w:szCs w:val="24"/>
        </w:rPr>
        <w:t>Conclusion:</w:t>
      </w:r>
      <w:r w:rsidR="00F26709" w:rsidRPr="004D6B8B">
        <w:rPr>
          <w:rFonts w:eastAsia="Times New Roman" w:cstheme="minorHAnsi"/>
          <w:b/>
          <w:bCs/>
          <w:sz w:val="24"/>
          <w:szCs w:val="24"/>
        </w:rPr>
        <w:t xml:space="preserve"> </w:t>
      </w:r>
      <w:r w:rsidR="00665A5E" w:rsidRPr="004D6B8B">
        <w:rPr>
          <w:rFonts w:eastAsia="Times New Roman" w:cstheme="minorHAnsi"/>
          <w:sz w:val="24"/>
          <w:szCs w:val="24"/>
        </w:rPr>
        <w:t xml:space="preserve">To facilitate application of </w:t>
      </w:r>
      <w:r w:rsidR="00B86D7D" w:rsidRPr="004D6B8B">
        <w:rPr>
          <w:rFonts w:eastAsia="Times New Roman" w:cstheme="minorHAnsi"/>
          <w:sz w:val="24"/>
          <w:szCs w:val="24"/>
        </w:rPr>
        <w:t>Mental Capacity Act</w:t>
      </w:r>
      <w:r w:rsidR="00665A5E" w:rsidRPr="004D6B8B">
        <w:rPr>
          <w:rFonts w:eastAsia="Times New Roman" w:cstheme="minorHAnsi"/>
          <w:sz w:val="24"/>
          <w:szCs w:val="24"/>
        </w:rPr>
        <w:t xml:space="preserve"> legislation, </w:t>
      </w:r>
      <w:r w:rsidR="00B86D7D" w:rsidRPr="004D6B8B">
        <w:rPr>
          <w:rFonts w:eastAsia="Times New Roman" w:cstheme="minorHAnsi"/>
          <w:sz w:val="24"/>
          <w:szCs w:val="24"/>
        </w:rPr>
        <w:t xml:space="preserve">identified </w:t>
      </w:r>
      <w:r w:rsidR="00665A5E" w:rsidRPr="004D6B8B">
        <w:rPr>
          <w:rFonts w:eastAsia="Times New Roman" w:cstheme="minorHAnsi"/>
          <w:sz w:val="24"/>
          <w:szCs w:val="24"/>
        </w:rPr>
        <w:t>barriers should be addressed.</w:t>
      </w:r>
      <w:r w:rsidR="00665A5E" w:rsidRPr="004D6B8B">
        <w:rPr>
          <w:rFonts w:eastAsia="Times New Roman" w:cstheme="minorHAnsi"/>
          <w:b/>
          <w:bCs/>
          <w:sz w:val="24"/>
          <w:szCs w:val="24"/>
        </w:rPr>
        <w:t xml:space="preserve"> </w:t>
      </w:r>
      <w:r w:rsidR="00665A5E" w:rsidRPr="004D6B8B">
        <w:rPr>
          <w:rFonts w:eastAsia="Times New Roman" w:cstheme="minorHAnsi"/>
          <w:bCs/>
          <w:sz w:val="24"/>
          <w:szCs w:val="24"/>
        </w:rPr>
        <w:t>F</w:t>
      </w:r>
      <w:r w:rsidR="00F26709" w:rsidRPr="004D6B8B">
        <w:rPr>
          <w:rFonts w:eastAsia="Times New Roman" w:cstheme="minorHAnsi"/>
          <w:bCs/>
          <w:sz w:val="24"/>
          <w:szCs w:val="24"/>
        </w:rPr>
        <w:t>uture training should be i</w:t>
      </w:r>
      <w:r w:rsidR="00F26709" w:rsidRPr="004D6B8B">
        <w:rPr>
          <w:rFonts w:cstheme="minorHAnsi"/>
          <w:sz w:val="24"/>
          <w:szCs w:val="24"/>
        </w:rPr>
        <w:t>nteractive, scenario-based and relevant to trainees</w:t>
      </w:r>
      <w:r w:rsidR="00665A5E" w:rsidRPr="004D6B8B">
        <w:rPr>
          <w:rFonts w:cstheme="minorHAnsi"/>
          <w:sz w:val="24"/>
          <w:szCs w:val="24"/>
        </w:rPr>
        <w:t>’</w:t>
      </w:r>
      <w:r w:rsidR="00C66A81" w:rsidRPr="004D6B8B">
        <w:rPr>
          <w:rFonts w:cstheme="minorHAnsi"/>
          <w:sz w:val="24"/>
          <w:szCs w:val="24"/>
        </w:rPr>
        <w:t xml:space="preserve"> practice</w:t>
      </w:r>
      <w:r w:rsidR="00F26709" w:rsidRPr="004D6B8B">
        <w:rPr>
          <w:rFonts w:cstheme="minorHAnsi"/>
          <w:sz w:val="24"/>
          <w:szCs w:val="24"/>
        </w:rPr>
        <w:t xml:space="preserve">. </w:t>
      </w:r>
    </w:p>
    <w:p w14:paraId="776F5366" w14:textId="65DDC3B9" w:rsidR="397EC2D7" w:rsidRPr="004D6B8B" w:rsidRDefault="00003F33" w:rsidP="397EC2D7">
      <w:pPr>
        <w:rPr>
          <w:rFonts w:eastAsia="Times New Roman" w:cstheme="minorHAnsi"/>
          <w:sz w:val="24"/>
          <w:szCs w:val="24"/>
        </w:rPr>
      </w:pPr>
      <w:r w:rsidRPr="004D6B8B">
        <w:rPr>
          <w:rFonts w:eastAsia="Times New Roman" w:cstheme="minorHAnsi"/>
          <w:b/>
          <w:bCs/>
          <w:sz w:val="24"/>
          <w:szCs w:val="24"/>
        </w:rPr>
        <w:t>Relevance to Clinical Practice</w:t>
      </w:r>
    </w:p>
    <w:p w14:paraId="17594F98" w14:textId="400E5149" w:rsidR="00CC67CD" w:rsidRPr="004D6B8B" w:rsidRDefault="00CC67CD" w:rsidP="00003F33">
      <w:pPr>
        <w:rPr>
          <w:rFonts w:cstheme="minorHAnsi"/>
          <w:sz w:val="24"/>
          <w:szCs w:val="24"/>
        </w:rPr>
      </w:pPr>
      <w:r w:rsidRPr="004D6B8B">
        <w:rPr>
          <w:rFonts w:eastAsia="Times New Roman" w:cstheme="minorHAnsi"/>
          <w:bCs/>
          <w:sz w:val="24"/>
          <w:szCs w:val="24"/>
        </w:rPr>
        <w:t xml:space="preserve">The </w:t>
      </w:r>
      <w:r w:rsidR="00755367" w:rsidRPr="004D6B8B">
        <w:rPr>
          <w:rFonts w:eastAsia="Times New Roman" w:cstheme="minorHAnsi"/>
          <w:bCs/>
          <w:sz w:val="24"/>
          <w:szCs w:val="24"/>
        </w:rPr>
        <w:t xml:space="preserve">Mental Capacity Act </w:t>
      </w:r>
      <w:r w:rsidRPr="004D6B8B">
        <w:rPr>
          <w:rFonts w:eastAsia="Times New Roman" w:cstheme="minorHAnsi"/>
          <w:bCs/>
          <w:sz w:val="24"/>
          <w:szCs w:val="24"/>
        </w:rPr>
        <w:t>is widely misunderstood and i</w:t>
      </w:r>
      <w:r w:rsidR="00003F33" w:rsidRPr="004D6B8B">
        <w:rPr>
          <w:rFonts w:eastAsia="Times New Roman" w:cstheme="minorHAnsi"/>
          <w:bCs/>
          <w:sz w:val="24"/>
          <w:szCs w:val="24"/>
        </w:rPr>
        <w:t xml:space="preserve">mplementation poor. Training is </w:t>
      </w:r>
      <w:r w:rsidRPr="004D6B8B">
        <w:rPr>
          <w:rFonts w:eastAsia="Times New Roman" w:cstheme="minorHAnsi"/>
          <w:bCs/>
          <w:sz w:val="24"/>
          <w:szCs w:val="24"/>
        </w:rPr>
        <w:t xml:space="preserve">proposed as a solution, but the nature of training that will positively </w:t>
      </w:r>
      <w:r w:rsidR="00D20BEC" w:rsidRPr="004D6B8B">
        <w:rPr>
          <w:rFonts w:eastAsia="Times New Roman" w:cstheme="minorHAnsi"/>
          <w:bCs/>
          <w:sz w:val="24"/>
          <w:szCs w:val="24"/>
        </w:rPr>
        <w:t>affect</w:t>
      </w:r>
      <w:r w:rsidRPr="004D6B8B">
        <w:rPr>
          <w:rFonts w:eastAsia="Times New Roman" w:cstheme="minorHAnsi"/>
          <w:bCs/>
          <w:sz w:val="24"/>
          <w:szCs w:val="24"/>
        </w:rPr>
        <w:t xml:space="preserve"> practice remains unknown.</w:t>
      </w:r>
      <w:r w:rsidR="00FD248D" w:rsidRPr="004D6B8B">
        <w:rPr>
          <w:rFonts w:eastAsia="Times New Roman" w:cstheme="minorHAnsi"/>
          <w:bCs/>
          <w:sz w:val="24"/>
          <w:szCs w:val="24"/>
        </w:rPr>
        <w:t xml:space="preserve"> This review aims to address this gap in the evidence base.</w:t>
      </w:r>
      <w:r w:rsidR="00003F33" w:rsidRPr="004D6B8B">
        <w:rPr>
          <w:rFonts w:eastAsia="Times New Roman" w:cstheme="minorHAnsi"/>
          <w:bCs/>
          <w:sz w:val="24"/>
          <w:szCs w:val="24"/>
        </w:rPr>
        <w:t xml:space="preserve"> </w:t>
      </w:r>
      <w:r w:rsidRPr="004D6B8B">
        <w:rPr>
          <w:rFonts w:eastAsia="Times New Roman" w:cstheme="minorHAnsi"/>
          <w:bCs/>
          <w:sz w:val="24"/>
          <w:szCs w:val="24"/>
        </w:rPr>
        <w:t>Interactive training, using scenarios that reflect practice complexitie</w:t>
      </w:r>
      <w:r w:rsidR="00755367" w:rsidRPr="004D6B8B">
        <w:rPr>
          <w:rFonts w:eastAsia="Times New Roman" w:cstheme="minorHAnsi"/>
          <w:bCs/>
          <w:sz w:val="24"/>
          <w:szCs w:val="24"/>
        </w:rPr>
        <w:t>s, has the most positive impact</w:t>
      </w:r>
      <w:r w:rsidRPr="004D6B8B">
        <w:rPr>
          <w:rFonts w:eastAsia="Times New Roman" w:cstheme="minorHAnsi"/>
          <w:bCs/>
          <w:sz w:val="24"/>
          <w:szCs w:val="24"/>
        </w:rPr>
        <w:t xml:space="preserve">. </w:t>
      </w:r>
      <w:r w:rsidR="008A093E" w:rsidRPr="004D6B8B">
        <w:rPr>
          <w:rFonts w:eastAsia="Times New Roman" w:cstheme="minorHAnsi"/>
          <w:bCs/>
          <w:sz w:val="24"/>
          <w:szCs w:val="24"/>
        </w:rPr>
        <w:t>Cultural norms in care environments may impede application of this legislation.</w:t>
      </w:r>
    </w:p>
    <w:p w14:paraId="40A69080" w14:textId="4889D485" w:rsidR="00CC67CD" w:rsidRPr="004D6B8B" w:rsidRDefault="00CC67CD" w:rsidP="00003F33">
      <w:pPr>
        <w:rPr>
          <w:rFonts w:eastAsia="Times New Roman" w:cstheme="minorHAnsi"/>
          <w:bCs/>
          <w:sz w:val="24"/>
          <w:szCs w:val="24"/>
        </w:rPr>
      </w:pPr>
      <w:r w:rsidRPr="004D6B8B">
        <w:rPr>
          <w:rFonts w:eastAsia="Times New Roman" w:cstheme="minorHAnsi"/>
          <w:bCs/>
          <w:sz w:val="24"/>
          <w:szCs w:val="24"/>
        </w:rPr>
        <w:t xml:space="preserve">The review has international relevance as there is a global imperative to adhere to the </w:t>
      </w:r>
      <w:r w:rsidRPr="004D6B8B">
        <w:rPr>
          <w:rFonts w:cstheme="minorHAnsi"/>
          <w:sz w:val="24"/>
          <w:szCs w:val="24"/>
        </w:rPr>
        <w:t xml:space="preserve">United Nations Convention on the Rights of Persons with Disabilities. </w:t>
      </w:r>
      <w:r w:rsidRPr="004D6B8B">
        <w:rPr>
          <w:rFonts w:eastAsia="Times New Roman" w:cstheme="minorHAnsi"/>
          <w:bCs/>
          <w:sz w:val="24"/>
          <w:szCs w:val="24"/>
        </w:rPr>
        <w:t xml:space="preserve">The review will inform </w:t>
      </w:r>
      <w:r w:rsidR="00003F33" w:rsidRPr="004D6B8B">
        <w:rPr>
          <w:rFonts w:eastAsia="Times New Roman" w:cstheme="minorHAnsi"/>
          <w:bCs/>
          <w:sz w:val="24"/>
          <w:szCs w:val="24"/>
        </w:rPr>
        <w:t>t</w:t>
      </w:r>
      <w:r w:rsidRPr="004D6B8B">
        <w:rPr>
          <w:rFonts w:eastAsia="Times New Roman" w:cstheme="minorHAnsi"/>
          <w:bCs/>
          <w:sz w:val="24"/>
          <w:szCs w:val="24"/>
        </w:rPr>
        <w:t>raining</w:t>
      </w:r>
      <w:r w:rsidR="00755367" w:rsidRPr="004D6B8B">
        <w:rPr>
          <w:rFonts w:eastAsia="Times New Roman" w:cstheme="minorHAnsi"/>
          <w:bCs/>
          <w:sz w:val="24"/>
          <w:szCs w:val="24"/>
        </w:rPr>
        <w:t xml:space="preserve"> design and delivery</w:t>
      </w:r>
      <w:r w:rsidRPr="004D6B8B">
        <w:rPr>
          <w:rFonts w:eastAsia="Times New Roman" w:cstheme="minorHAnsi"/>
          <w:bCs/>
          <w:sz w:val="24"/>
          <w:szCs w:val="24"/>
        </w:rPr>
        <w:t xml:space="preserve"> to ensure that people with impaired capacity to make decision</w:t>
      </w:r>
      <w:r w:rsidR="008055F7" w:rsidRPr="004D6B8B">
        <w:rPr>
          <w:rFonts w:eastAsia="Times New Roman" w:cstheme="minorHAnsi"/>
          <w:bCs/>
          <w:sz w:val="24"/>
          <w:szCs w:val="24"/>
        </w:rPr>
        <w:t>s</w:t>
      </w:r>
      <w:r w:rsidRPr="004D6B8B">
        <w:rPr>
          <w:rFonts w:eastAsia="Times New Roman" w:cstheme="minorHAnsi"/>
          <w:bCs/>
          <w:sz w:val="24"/>
          <w:szCs w:val="24"/>
        </w:rPr>
        <w:t xml:space="preserve"> are given </w:t>
      </w:r>
      <w:proofErr w:type="gramStart"/>
      <w:r w:rsidRPr="004D6B8B">
        <w:rPr>
          <w:rFonts w:eastAsia="Times New Roman" w:cstheme="minorHAnsi"/>
          <w:bCs/>
          <w:sz w:val="24"/>
          <w:szCs w:val="24"/>
        </w:rPr>
        <w:t>the</w:t>
      </w:r>
      <w:proofErr w:type="gramEnd"/>
      <w:r w:rsidRPr="004D6B8B">
        <w:rPr>
          <w:rFonts w:eastAsia="Times New Roman" w:cstheme="minorHAnsi"/>
          <w:bCs/>
          <w:sz w:val="24"/>
          <w:szCs w:val="24"/>
        </w:rPr>
        <w:t xml:space="preserve"> best opportunity to act autonomously. </w:t>
      </w:r>
    </w:p>
    <w:p w14:paraId="2A39E6B8" w14:textId="1CBF1D7F" w:rsidR="008B723C" w:rsidRPr="004D6B8B" w:rsidRDefault="014374D6" w:rsidP="008B723C">
      <w:pPr>
        <w:rPr>
          <w:rFonts w:eastAsia="Times New Roman" w:cstheme="minorHAnsi"/>
          <w:sz w:val="24"/>
          <w:szCs w:val="24"/>
        </w:rPr>
      </w:pPr>
      <w:r w:rsidRPr="004D6B8B">
        <w:rPr>
          <w:rFonts w:eastAsia="Times New Roman" w:cstheme="minorHAnsi"/>
          <w:b/>
          <w:bCs/>
          <w:sz w:val="24"/>
          <w:szCs w:val="24"/>
        </w:rPr>
        <w:t>Key words:</w:t>
      </w:r>
      <w:r w:rsidR="008B723C" w:rsidRPr="004D6B8B">
        <w:rPr>
          <w:rFonts w:eastAsia="Times New Roman" w:cstheme="minorHAnsi"/>
          <w:b/>
          <w:bCs/>
          <w:sz w:val="24"/>
          <w:szCs w:val="24"/>
        </w:rPr>
        <w:t xml:space="preserve"> </w:t>
      </w:r>
      <w:r w:rsidR="008B723C" w:rsidRPr="004D6B8B">
        <w:rPr>
          <w:rFonts w:eastAsia="Times New Roman" w:cstheme="minorHAnsi"/>
          <w:bCs/>
          <w:sz w:val="24"/>
          <w:szCs w:val="24"/>
        </w:rPr>
        <w:t>n</w:t>
      </w:r>
      <w:r w:rsidR="008B723C" w:rsidRPr="004D6B8B">
        <w:rPr>
          <w:rFonts w:eastAsia="Times New Roman" w:cstheme="minorHAnsi"/>
          <w:sz w:val="24"/>
          <w:szCs w:val="24"/>
        </w:rPr>
        <w:t xml:space="preserve">arrative </w:t>
      </w:r>
      <w:r w:rsidR="0017061A" w:rsidRPr="004D6B8B">
        <w:rPr>
          <w:rFonts w:eastAsia="Times New Roman" w:cstheme="minorHAnsi"/>
          <w:sz w:val="24"/>
          <w:szCs w:val="24"/>
        </w:rPr>
        <w:t xml:space="preserve">literature </w:t>
      </w:r>
      <w:r w:rsidR="008055F7" w:rsidRPr="004D6B8B">
        <w:rPr>
          <w:rFonts w:eastAsia="Times New Roman" w:cstheme="minorHAnsi"/>
          <w:sz w:val="24"/>
          <w:szCs w:val="24"/>
        </w:rPr>
        <w:t>review, nurses</w:t>
      </w:r>
      <w:r w:rsidR="008B723C" w:rsidRPr="004D6B8B">
        <w:rPr>
          <w:rFonts w:eastAsia="Times New Roman" w:cstheme="minorHAnsi"/>
          <w:sz w:val="24"/>
          <w:szCs w:val="24"/>
        </w:rPr>
        <w:t xml:space="preserve">, </w:t>
      </w:r>
      <w:r w:rsidR="0017061A" w:rsidRPr="004D6B8B">
        <w:rPr>
          <w:rFonts w:eastAsia="Times New Roman" w:cstheme="minorHAnsi"/>
          <w:sz w:val="24"/>
          <w:szCs w:val="24"/>
        </w:rPr>
        <w:t xml:space="preserve">health care, </w:t>
      </w:r>
      <w:r w:rsidR="008B723C" w:rsidRPr="004D6B8B">
        <w:rPr>
          <w:rFonts w:eastAsia="Times New Roman" w:cstheme="minorHAnsi"/>
          <w:sz w:val="24"/>
          <w:szCs w:val="24"/>
        </w:rPr>
        <w:t>social care, Mental Capacity Act, training, impact</w:t>
      </w:r>
    </w:p>
    <w:p w14:paraId="7824B937" w14:textId="5D6E84C1" w:rsidR="397EC2D7" w:rsidRPr="004D6B8B" w:rsidRDefault="397EC2D7" w:rsidP="397EC2D7">
      <w:pPr>
        <w:rPr>
          <w:rFonts w:eastAsia="Times New Roman" w:cstheme="minorHAnsi"/>
          <w:b/>
          <w:bCs/>
          <w:sz w:val="24"/>
          <w:szCs w:val="24"/>
        </w:rPr>
      </w:pPr>
      <w:r w:rsidRPr="004D6B8B">
        <w:rPr>
          <w:rFonts w:eastAsia="Times New Roman" w:cstheme="minorHAnsi"/>
          <w:b/>
          <w:bCs/>
          <w:sz w:val="24"/>
          <w:szCs w:val="24"/>
        </w:rPr>
        <w:lastRenderedPageBreak/>
        <w:t>INTRODUCTION</w:t>
      </w:r>
    </w:p>
    <w:p w14:paraId="1DDDDFE8" w14:textId="4C9AC518" w:rsidR="008B723C" w:rsidRPr="004D6B8B" w:rsidRDefault="008B723C" w:rsidP="008B723C">
      <w:pPr>
        <w:rPr>
          <w:rFonts w:cstheme="minorHAnsi"/>
          <w:sz w:val="24"/>
          <w:szCs w:val="24"/>
        </w:rPr>
      </w:pPr>
      <w:r w:rsidRPr="004D6B8B">
        <w:rPr>
          <w:rFonts w:cstheme="minorHAnsi"/>
          <w:sz w:val="24"/>
          <w:szCs w:val="24"/>
        </w:rPr>
        <w:t>Global</w:t>
      </w:r>
      <w:r w:rsidR="0017061A" w:rsidRPr="004D6B8B">
        <w:rPr>
          <w:rFonts w:cstheme="minorHAnsi"/>
          <w:sz w:val="24"/>
          <w:szCs w:val="24"/>
        </w:rPr>
        <w:t>ly</w:t>
      </w:r>
      <w:r w:rsidRPr="004D6B8B">
        <w:rPr>
          <w:rFonts w:cstheme="minorHAnsi"/>
          <w:sz w:val="24"/>
          <w:szCs w:val="24"/>
        </w:rPr>
        <w:t xml:space="preserve"> capacity legislation is gradually aligning with Article 12 of the United Nations Convention on the Rights of Persons with Disabilities (UNCRPD</w:t>
      </w:r>
      <w:r w:rsidR="00DC562A" w:rsidRPr="004D6B8B">
        <w:rPr>
          <w:rFonts w:cstheme="minorHAnsi"/>
          <w:sz w:val="24"/>
          <w:szCs w:val="24"/>
        </w:rPr>
        <w:t>,</w:t>
      </w:r>
      <w:r w:rsidRPr="004D6B8B">
        <w:rPr>
          <w:rFonts w:cstheme="minorHAnsi"/>
          <w:sz w:val="24"/>
          <w:szCs w:val="24"/>
        </w:rPr>
        <w:t xml:space="preserve"> 2006), which </w:t>
      </w:r>
      <w:r w:rsidR="00FD248D" w:rsidRPr="004D6B8B">
        <w:rPr>
          <w:rFonts w:cstheme="minorHAnsi"/>
          <w:sz w:val="24"/>
          <w:szCs w:val="24"/>
        </w:rPr>
        <w:t>accords</w:t>
      </w:r>
      <w:r w:rsidRPr="004D6B8B">
        <w:rPr>
          <w:rFonts w:cstheme="minorHAnsi"/>
          <w:sz w:val="24"/>
          <w:szCs w:val="24"/>
        </w:rPr>
        <w:t xml:space="preserve"> equal recognition in law to people with disabilities, </w:t>
      </w:r>
      <w:proofErr w:type="spellStart"/>
      <w:r w:rsidRPr="004D6B8B">
        <w:rPr>
          <w:rFonts w:cstheme="minorHAnsi"/>
          <w:sz w:val="24"/>
          <w:szCs w:val="24"/>
        </w:rPr>
        <w:t>emphasising</w:t>
      </w:r>
      <w:proofErr w:type="spellEnd"/>
      <w:r w:rsidRPr="004D6B8B">
        <w:rPr>
          <w:rFonts w:cstheme="minorHAnsi"/>
          <w:sz w:val="24"/>
          <w:szCs w:val="24"/>
        </w:rPr>
        <w:t xml:space="preserve"> their rights as citizens. In </w:t>
      </w:r>
      <w:r w:rsidR="00FD248D" w:rsidRPr="004D6B8B">
        <w:rPr>
          <w:rFonts w:cstheme="minorHAnsi"/>
          <w:sz w:val="24"/>
          <w:szCs w:val="24"/>
        </w:rPr>
        <w:t>line</w:t>
      </w:r>
      <w:r w:rsidRPr="004D6B8B">
        <w:rPr>
          <w:rFonts w:cstheme="minorHAnsi"/>
          <w:sz w:val="24"/>
          <w:szCs w:val="24"/>
        </w:rPr>
        <w:t xml:space="preserve"> with international</w:t>
      </w:r>
      <w:r w:rsidR="00FD248D" w:rsidRPr="004D6B8B">
        <w:rPr>
          <w:rFonts w:cstheme="minorHAnsi"/>
          <w:sz w:val="24"/>
          <w:szCs w:val="24"/>
        </w:rPr>
        <w:t xml:space="preserve"> legislation</w:t>
      </w:r>
      <w:r w:rsidRPr="004D6B8B">
        <w:rPr>
          <w:rFonts w:cstheme="minorHAnsi"/>
          <w:sz w:val="24"/>
          <w:szCs w:val="24"/>
        </w:rPr>
        <w:t>, the intention of the Mental Capacity Act (</w:t>
      </w:r>
      <w:r w:rsidR="00086FA0" w:rsidRPr="004D6B8B">
        <w:rPr>
          <w:rFonts w:cstheme="minorHAnsi"/>
          <w:sz w:val="24"/>
          <w:szCs w:val="24"/>
        </w:rPr>
        <w:t>Department of Health</w:t>
      </w:r>
      <w:r w:rsidR="0034087F" w:rsidRPr="004D6B8B">
        <w:rPr>
          <w:rFonts w:cstheme="minorHAnsi"/>
          <w:sz w:val="24"/>
          <w:szCs w:val="24"/>
        </w:rPr>
        <w:t xml:space="preserve"> (DH)</w:t>
      </w:r>
      <w:r w:rsidR="00DC562A" w:rsidRPr="004D6B8B">
        <w:rPr>
          <w:rFonts w:cstheme="minorHAnsi"/>
          <w:sz w:val="24"/>
          <w:szCs w:val="24"/>
        </w:rPr>
        <w:t>,</w:t>
      </w:r>
      <w:r w:rsidR="00086FA0" w:rsidRPr="004D6B8B">
        <w:rPr>
          <w:rFonts w:cstheme="minorHAnsi"/>
          <w:sz w:val="24"/>
          <w:szCs w:val="24"/>
        </w:rPr>
        <w:t xml:space="preserve"> </w:t>
      </w:r>
      <w:r w:rsidRPr="004D6B8B">
        <w:rPr>
          <w:rFonts w:cstheme="minorHAnsi"/>
          <w:sz w:val="24"/>
          <w:szCs w:val="24"/>
        </w:rPr>
        <w:t>2005) (MCA), which applies in England and Wales, is to promote the autonomy of people who may temporarily or permanently lack capacity to make their own decisions by providing a framework to guide decision-making (</w:t>
      </w:r>
      <w:proofErr w:type="spellStart"/>
      <w:r w:rsidRPr="004D6B8B">
        <w:rPr>
          <w:rFonts w:cstheme="minorHAnsi"/>
          <w:sz w:val="24"/>
          <w:szCs w:val="24"/>
        </w:rPr>
        <w:t>Hinsliff</w:t>
      </w:r>
      <w:proofErr w:type="spellEnd"/>
      <w:r w:rsidRPr="004D6B8B">
        <w:rPr>
          <w:rFonts w:cstheme="minorHAnsi"/>
          <w:sz w:val="24"/>
          <w:szCs w:val="24"/>
        </w:rPr>
        <w:t>-Smith</w:t>
      </w:r>
      <w:r w:rsidR="00DC562A" w:rsidRPr="004D6B8B">
        <w:rPr>
          <w:rFonts w:cstheme="minorHAnsi"/>
          <w:sz w:val="24"/>
          <w:szCs w:val="24"/>
        </w:rPr>
        <w:t xml:space="preserve">, </w:t>
      </w:r>
      <w:r w:rsidR="00DC562A" w:rsidRPr="004D6B8B">
        <w:rPr>
          <w:rFonts w:cstheme="minorHAnsi"/>
        </w:rPr>
        <w:t xml:space="preserve"> </w:t>
      </w:r>
      <w:proofErr w:type="spellStart"/>
      <w:r w:rsidR="00DC562A" w:rsidRPr="004D6B8B">
        <w:rPr>
          <w:rFonts w:cstheme="minorHAnsi"/>
          <w:sz w:val="24"/>
          <w:szCs w:val="24"/>
        </w:rPr>
        <w:t>Feakes</w:t>
      </w:r>
      <w:proofErr w:type="spellEnd"/>
      <w:r w:rsidR="00DC562A" w:rsidRPr="004D6B8B">
        <w:rPr>
          <w:rFonts w:cstheme="minorHAnsi"/>
          <w:sz w:val="24"/>
          <w:szCs w:val="24"/>
        </w:rPr>
        <w:t xml:space="preserve">,  Whitworth, Seymour, </w:t>
      </w:r>
      <w:proofErr w:type="spellStart"/>
      <w:r w:rsidR="00DC562A" w:rsidRPr="004D6B8B">
        <w:rPr>
          <w:rFonts w:cstheme="minorHAnsi"/>
          <w:sz w:val="24"/>
          <w:szCs w:val="24"/>
        </w:rPr>
        <w:t>Moghaddam</w:t>
      </w:r>
      <w:proofErr w:type="spellEnd"/>
      <w:r w:rsidR="00DC562A" w:rsidRPr="004D6B8B">
        <w:rPr>
          <w:rFonts w:cstheme="minorHAnsi"/>
          <w:sz w:val="24"/>
          <w:szCs w:val="24"/>
        </w:rPr>
        <w:t xml:space="preserve">, </w:t>
      </w:r>
      <w:proofErr w:type="spellStart"/>
      <w:r w:rsidR="00DC562A" w:rsidRPr="004D6B8B">
        <w:rPr>
          <w:rFonts w:cstheme="minorHAnsi"/>
          <w:sz w:val="24"/>
          <w:szCs w:val="24"/>
        </w:rPr>
        <w:t>Dening</w:t>
      </w:r>
      <w:proofErr w:type="spellEnd"/>
      <w:r w:rsidR="00DC562A" w:rsidRPr="004D6B8B">
        <w:rPr>
          <w:rFonts w:cstheme="minorHAnsi"/>
          <w:sz w:val="24"/>
          <w:szCs w:val="24"/>
        </w:rPr>
        <w:t>, et al</w:t>
      </w:r>
      <w:r w:rsidR="00916F92" w:rsidRPr="004D6B8B">
        <w:rPr>
          <w:rFonts w:cstheme="minorHAnsi"/>
          <w:sz w:val="24"/>
          <w:szCs w:val="24"/>
        </w:rPr>
        <w:t>.,</w:t>
      </w:r>
      <w:r w:rsidR="00DC562A" w:rsidRPr="004D6B8B">
        <w:rPr>
          <w:rFonts w:cstheme="minorHAnsi"/>
          <w:sz w:val="24"/>
          <w:szCs w:val="24"/>
        </w:rPr>
        <w:t xml:space="preserve"> </w:t>
      </w:r>
      <w:r w:rsidRPr="004D6B8B">
        <w:rPr>
          <w:rFonts w:cstheme="minorHAnsi"/>
          <w:sz w:val="24"/>
          <w:szCs w:val="24"/>
        </w:rPr>
        <w:t xml:space="preserve">2015). </w:t>
      </w:r>
    </w:p>
    <w:p w14:paraId="63688688" w14:textId="06403AA3" w:rsidR="00C41A59" w:rsidRPr="004D6B8B" w:rsidRDefault="00C41A59" w:rsidP="00C41A59">
      <w:pPr>
        <w:rPr>
          <w:rFonts w:cstheme="minorHAnsi"/>
          <w:sz w:val="24"/>
          <w:szCs w:val="24"/>
        </w:rPr>
      </w:pPr>
      <w:r w:rsidRPr="004D6B8B">
        <w:rPr>
          <w:rFonts w:cstheme="minorHAnsi"/>
          <w:sz w:val="24"/>
          <w:szCs w:val="24"/>
        </w:rPr>
        <w:t>The act reflects a social model understanding of disability in which disability is framed as impairment in combination with societal barriers, which together impede rights to equal social inclusion (</w:t>
      </w:r>
      <w:proofErr w:type="spellStart"/>
      <w:r w:rsidRPr="004D6B8B">
        <w:rPr>
          <w:rFonts w:cstheme="minorHAnsi"/>
          <w:sz w:val="24"/>
          <w:szCs w:val="24"/>
        </w:rPr>
        <w:t>Croucher</w:t>
      </w:r>
      <w:proofErr w:type="spellEnd"/>
      <w:r w:rsidRPr="004D6B8B">
        <w:rPr>
          <w:rFonts w:cstheme="minorHAnsi"/>
          <w:sz w:val="24"/>
          <w:szCs w:val="24"/>
        </w:rPr>
        <w:t xml:space="preserve"> 2016). This viewpoint is increasingly influential; global capacity legislation is gradually aligning with Article 12 of the United Nations Convention on the Rights of Persons with Disabilities (UNCRPD), which drives equal recognition in law to people with disabilities. Therefore, European capacity legislation is going through a process of reformation, away from </w:t>
      </w:r>
      <w:proofErr w:type="spellStart"/>
      <w:r w:rsidRPr="004D6B8B">
        <w:rPr>
          <w:rFonts w:cstheme="minorHAnsi"/>
          <w:sz w:val="24"/>
          <w:szCs w:val="24"/>
        </w:rPr>
        <w:t>prioritisation</w:t>
      </w:r>
      <w:proofErr w:type="spellEnd"/>
      <w:r w:rsidRPr="004D6B8B">
        <w:rPr>
          <w:rFonts w:cstheme="minorHAnsi"/>
          <w:sz w:val="24"/>
          <w:szCs w:val="24"/>
        </w:rPr>
        <w:t xml:space="preserve"> of safeguarding and substitute decision-making on the basis of diagnosis</w:t>
      </w:r>
      <w:r w:rsidR="008E495C" w:rsidRPr="004D6B8B">
        <w:rPr>
          <w:rFonts w:cstheme="minorHAnsi"/>
          <w:sz w:val="24"/>
          <w:szCs w:val="24"/>
        </w:rPr>
        <w:t xml:space="preserve"> and</w:t>
      </w:r>
      <w:r w:rsidRPr="004D6B8B">
        <w:rPr>
          <w:rFonts w:cstheme="minorHAnsi"/>
          <w:sz w:val="24"/>
          <w:szCs w:val="24"/>
        </w:rPr>
        <w:t xml:space="preserve"> towards supported decision-making (European Union Agency for Fundamental Rights 2013). This process is not universal, for example although the CRPD has been ratified by most states in the African Union, </w:t>
      </w:r>
      <w:r w:rsidR="008E495C" w:rsidRPr="004D6B8B">
        <w:rPr>
          <w:rFonts w:cstheme="minorHAnsi"/>
          <w:sz w:val="24"/>
          <w:szCs w:val="24"/>
        </w:rPr>
        <w:t xml:space="preserve">informal practices in many </w:t>
      </w:r>
      <w:r w:rsidRPr="004D6B8B">
        <w:rPr>
          <w:rFonts w:cstheme="minorHAnsi"/>
          <w:sz w:val="24"/>
          <w:szCs w:val="24"/>
        </w:rPr>
        <w:t xml:space="preserve">African countries are restrictive of people with disabilities, and current legislation reinforces discriminatory practices (Mental Disability Advocacy Center 2016). The MCA (2005) for England and Wales, the Adults with Incapacity (Scotland) Act 2000 and The Mental Capacity Act (Northern Ireland) 2016 are </w:t>
      </w:r>
      <w:proofErr w:type="spellStart"/>
      <w:r w:rsidRPr="004D6B8B">
        <w:rPr>
          <w:rFonts w:cstheme="minorHAnsi"/>
          <w:sz w:val="24"/>
          <w:szCs w:val="24"/>
        </w:rPr>
        <w:t>harmonised</w:t>
      </w:r>
      <w:proofErr w:type="spellEnd"/>
      <w:r w:rsidRPr="004D6B8B">
        <w:rPr>
          <w:rFonts w:cstheme="minorHAnsi"/>
          <w:sz w:val="24"/>
          <w:szCs w:val="24"/>
        </w:rPr>
        <w:t xml:space="preserve"> with the values of the CRPD in identifying capacity as ‘decision-specific’ and evaluated on the basis of cognition, rather than ‘status’ or diagnosis, while </w:t>
      </w:r>
      <w:proofErr w:type="spellStart"/>
      <w:r w:rsidRPr="004D6B8B">
        <w:rPr>
          <w:rFonts w:cstheme="minorHAnsi"/>
          <w:sz w:val="24"/>
          <w:szCs w:val="24"/>
        </w:rPr>
        <w:t>prioritising</w:t>
      </w:r>
      <w:proofErr w:type="spellEnd"/>
      <w:r w:rsidRPr="004D6B8B">
        <w:rPr>
          <w:rFonts w:cstheme="minorHAnsi"/>
          <w:sz w:val="24"/>
          <w:szCs w:val="24"/>
        </w:rPr>
        <w:t xml:space="preserve"> empowerment over protection.</w:t>
      </w:r>
    </w:p>
    <w:p w14:paraId="3BFDF05D" w14:textId="33F84475" w:rsidR="00C41A59" w:rsidRPr="004D6B8B" w:rsidRDefault="00C41A59" w:rsidP="00C41A59">
      <w:pPr>
        <w:rPr>
          <w:rFonts w:cstheme="minorHAnsi"/>
          <w:sz w:val="24"/>
          <w:szCs w:val="24"/>
        </w:rPr>
      </w:pPr>
      <w:r w:rsidRPr="004D6B8B">
        <w:rPr>
          <w:rFonts w:cstheme="minorHAnsi"/>
          <w:sz w:val="24"/>
          <w:szCs w:val="24"/>
        </w:rPr>
        <w:t>Initially the act was well-received, it was described as ‘a sound framework for balancing autonomy and empowerment with safeguards and care’ (Ward, 2005:70). However, there are suggestions that the MCA is generally not implemented as intended (House of Lords, 2014).</w:t>
      </w:r>
    </w:p>
    <w:p w14:paraId="2C0E11F0" w14:textId="61702320" w:rsidR="008B723C" w:rsidRPr="004D6B8B" w:rsidRDefault="008B723C" w:rsidP="008B723C">
      <w:pPr>
        <w:rPr>
          <w:rFonts w:cstheme="minorHAnsi"/>
          <w:sz w:val="24"/>
          <w:szCs w:val="24"/>
        </w:rPr>
      </w:pPr>
      <w:r w:rsidRPr="004D6B8B">
        <w:rPr>
          <w:rFonts w:cstheme="minorHAnsi"/>
          <w:sz w:val="24"/>
          <w:szCs w:val="24"/>
        </w:rPr>
        <w:t xml:space="preserve">Two million people in the UK are estimated to have conditions that </w:t>
      </w:r>
      <w:r w:rsidR="00C2060A" w:rsidRPr="004D6B8B">
        <w:rPr>
          <w:rFonts w:cstheme="minorHAnsi"/>
          <w:sz w:val="24"/>
          <w:szCs w:val="24"/>
        </w:rPr>
        <w:t xml:space="preserve">limit their decision-making capacity </w:t>
      </w:r>
      <w:r w:rsidRPr="004D6B8B">
        <w:rPr>
          <w:rFonts w:cstheme="minorHAnsi"/>
          <w:sz w:val="24"/>
          <w:szCs w:val="24"/>
        </w:rPr>
        <w:t>(S</w:t>
      </w:r>
      <w:r w:rsidR="00C2060A" w:rsidRPr="004D6B8B">
        <w:rPr>
          <w:rFonts w:cstheme="minorHAnsi"/>
          <w:sz w:val="24"/>
          <w:szCs w:val="24"/>
        </w:rPr>
        <w:t>ocial Care Institute for Excellence (S</w:t>
      </w:r>
      <w:r w:rsidRPr="004D6B8B">
        <w:rPr>
          <w:rFonts w:cstheme="minorHAnsi"/>
          <w:sz w:val="24"/>
          <w:szCs w:val="24"/>
        </w:rPr>
        <w:t>CIE</w:t>
      </w:r>
      <w:r w:rsidR="00C2060A" w:rsidRPr="004D6B8B">
        <w:rPr>
          <w:rFonts w:cstheme="minorHAnsi"/>
          <w:sz w:val="24"/>
          <w:szCs w:val="24"/>
        </w:rPr>
        <w:t>)</w:t>
      </w:r>
      <w:r w:rsidR="00DC562A" w:rsidRPr="004D6B8B">
        <w:rPr>
          <w:rFonts w:cstheme="minorHAnsi"/>
          <w:sz w:val="24"/>
          <w:szCs w:val="24"/>
        </w:rPr>
        <w:t>,</w:t>
      </w:r>
      <w:r w:rsidRPr="004D6B8B">
        <w:rPr>
          <w:rFonts w:cstheme="minorHAnsi"/>
          <w:sz w:val="24"/>
          <w:szCs w:val="24"/>
        </w:rPr>
        <w:t xml:space="preserve"> 2016). Consequently, the act is relevant to the practice of any registered or non-registered worker in health or social care, in addition to voluntary workers and family </w:t>
      </w:r>
      <w:proofErr w:type="spellStart"/>
      <w:r w:rsidRPr="004D6B8B">
        <w:rPr>
          <w:rFonts w:cstheme="minorHAnsi"/>
          <w:sz w:val="24"/>
          <w:szCs w:val="24"/>
        </w:rPr>
        <w:t>carers</w:t>
      </w:r>
      <w:proofErr w:type="spellEnd"/>
      <w:r w:rsidRPr="004D6B8B">
        <w:rPr>
          <w:rFonts w:cstheme="minorHAnsi"/>
          <w:sz w:val="24"/>
          <w:szCs w:val="24"/>
        </w:rPr>
        <w:t xml:space="preserve"> who provide informal support (Daniel </w:t>
      </w:r>
      <w:r w:rsidR="00DC562A" w:rsidRPr="004D6B8B">
        <w:rPr>
          <w:rFonts w:cstheme="minorHAnsi"/>
          <w:sz w:val="24"/>
          <w:szCs w:val="24"/>
        </w:rPr>
        <w:t>&amp;</w:t>
      </w:r>
      <w:r w:rsidRPr="004D6B8B">
        <w:rPr>
          <w:rFonts w:cstheme="minorHAnsi"/>
          <w:sz w:val="24"/>
          <w:szCs w:val="24"/>
        </w:rPr>
        <w:t xml:space="preserve"> Dewing</w:t>
      </w:r>
      <w:r w:rsidR="00916F92" w:rsidRPr="004D6B8B">
        <w:rPr>
          <w:rFonts w:cstheme="minorHAnsi"/>
          <w:sz w:val="24"/>
          <w:szCs w:val="24"/>
        </w:rPr>
        <w:t>,</w:t>
      </w:r>
      <w:r w:rsidRPr="004D6B8B">
        <w:rPr>
          <w:rFonts w:cstheme="minorHAnsi"/>
          <w:sz w:val="24"/>
          <w:szCs w:val="24"/>
        </w:rPr>
        <w:t xml:space="preserve"> 2012)</w:t>
      </w:r>
      <w:r w:rsidR="00C2060A" w:rsidRPr="004D6B8B">
        <w:rPr>
          <w:rFonts w:cstheme="minorHAnsi"/>
          <w:sz w:val="24"/>
          <w:szCs w:val="24"/>
        </w:rPr>
        <w:t xml:space="preserve">. This equates to approximately </w:t>
      </w:r>
      <w:r w:rsidRPr="004D6B8B">
        <w:rPr>
          <w:rFonts w:cstheme="minorHAnsi"/>
          <w:sz w:val="24"/>
          <w:szCs w:val="24"/>
        </w:rPr>
        <w:t>six million individuals in England and Wales (SCIE</w:t>
      </w:r>
      <w:r w:rsidR="00916F92" w:rsidRPr="004D6B8B">
        <w:rPr>
          <w:rFonts w:cstheme="minorHAnsi"/>
          <w:sz w:val="24"/>
          <w:szCs w:val="24"/>
        </w:rPr>
        <w:t>,</w:t>
      </w:r>
      <w:r w:rsidRPr="004D6B8B">
        <w:rPr>
          <w:rFonts w:cstheme="minorHAnsi"/>
          <w:sz w:val="24"/>
          <w:szCs w:val="24"/>
        </w:rPr>
        <w:t xml:space="preserve"> 2016). National Institute for Health and Care Excellence (NICE) Guidance (</w:t>
      </w:r>
      <w:r w:rsidR="00C2060A" w:rsidRPr="004D6B8B">
        <w:rPr>
          <w:rFonts w:cstheme="minorHAnsi"/>
          <w:sz w:val="24"/>
          <w:szCs w:val="24"/>
        </w:rPr>
        <w:t xml:space="preserve">NICE, </w:t>
      </w:r>
      <w:r w:rsidRPr="004D6B8B">
        <w:rPr>
          <w:rFonts w:cstheme="minorHAnsi"/>
          <w:sz w:val="24"/>
          <w:szCs w:val="24"/>
        </w:rPr>
        <w:t xml:space="preserve">2018) </w:t>
      </w:r>
      <w:r w:rsidR="00C2060A" w:rsidRPr="004D6B8B">
        <w:rPr>
          <w:rFonts w:cstheme="minorHAnsi"/>
          <w:sz w:val="24"/>
          <w:szCs w:val="24"/>
        </w:rPr>
        <w:t>states that</w:t>
      </w:r>
      <w:r w:rsidRPr="004D6B8B">
        <w:rPr>
          <w:rFonts w:cstheme="minorHAnsi"/>
          <w:sz w:val="24"/>
          <w:szCs w:val="24"/>
        </w:rPr>
        <w:t xml:space="preserve"> training is central to effective </w:t>
      </w:r>
      <w:r w:rsidR="00C2060A" w:rsidRPr="004D6B8B">
        <w:rPr>
          <w:rFonts w:cstheme="minorHAnsi"/>
          <w:sz w:val="24"/>
          <w:szCs w:val="24"/>
        </w:rPr>
        <w:t>MCA implementation</w:t>
      </w:r>
      <w:r w:rsidRPr="004D6B8B">
        <w:rPr>
          <w:rFonts w:cstheme="minorHAnsi"/>
          <w:sz w:val="24"/>
          <w:szCs w:val="24"/>
        </w:rPr>
        <w:t xml:space="preserve">. </w:t>
      </w:r>
      <w:r w:rsidR="00C2060A" w:rsidRPr="004D6B8B">
        <w:rPr>
          <w:rFonts w:cstheme="minorHAnsi"/>
          <w:sz w:val="24"/>
          <w:szCs w:val="24"/>
        </w:rPr>
        <w:t>This</w:t>
      </w:r>
      <w:r w:rsidRPr="004D6B8B">
        <w:rPr>
          <w:rFonts w:cstheme="minorHAnsi"/>
          <w:sz w:val="24"/>
          <w:szCs w:val="24"/>
        </w:rPr>
        <w:t xml:space="preserve"> guidance </w:t>
      </w:r>
      <w:r w:rsidR="00C2060A" w:rsidRPr="004D6B8B">
        <w:rPr>
          <w:rFonts w:cstheme="minorHAnsi"/>
          <w:sz w:val="24"/>
          <w:szCs w:val="24"/>
        </w:rPr>
        <w:t xml:space="preserve">points to </w:t>
      </w:r>
      <w:r w:rsidRPr="004D6B8B">
        <w:rPr>
          <w:rFonts w:cstheme="minorHAnsi"/>
          <w:sz w:val="24"/>
          <w:szCs w:val="24"/>
        </w:rPr>
        <w:t xml:space="preserve">existing research into </w:t>
      </w:r>
      <w:r w:rsidR="00C2060A" w:rsidRPr="004D6B8B">
        <w:rPr>
          <w:rFonts w:cstheme="minorHAnsi"/>
          <w:sz w:val="24"/>
          <w:szCs w:val="24"/>
        </w:rPr>
        <w:t xml:space="preserve">MCA </w:t>
      </w:r>
      <w:r w:rsidRPr="004D6B8B">
        <w:rPr>
          <w:rFonts w:cstheme="minorHAnsi"/>
          <w:sz w:val="24"/>
          <w:szCs w:val="24"/>
        </w:rPr>
        <w:t xml:space="preserve">training </w:t>
      </w:r>
      <w:r w:rsidR="00C2060A" w:rsidRPr="004D6B8B">
        <w:rPr>
          <w:rFonts w:cstheme="minorHAnsi"/>
          <w:sz w:val="24"/>
          <w:szCs w:val="24"/>
        </w:rPr>
        <w:t xml:space="preserve">being of </w:t>
      </w:r>
      <w:r w:rsidRPr="004D6B8B">
        <w:rPr>
          <w:rFonts w:cstheme="minorHAnsi"/>
          <w:sz w:val="24"/>
          <w:szCs w:val="24"/>
        </w:rPr>
        <w:t>low quality</w:t>
      </w:r>
      <w:r w:rsidR="00FD248D" w:rsidRPr="004D6B8B">
        <w:rPr>
          <w:rFonts w:cstheme="minorHAnsi"/>
          <w:sz w:val="24"/>
          <w:szCs w:val="24"/>
        </w:rPr>
        <w:t xml:space="preserve"> and</w:t>
      </w:r>
      <w:r w:rsidR="005D406D" w:rsidRPr="004D6B8B">
        <w:rPr>
          <w:rFonts w:cstheme="minorHAnsi"/>
          <w:sz w:val="24"/>
          <w:szCs w:val="24"/>
        </w:rPr>
        <w:t xml:space="preserve"> </w:t>
      </w:r>
      <w:r w:rsidRPr="004D6B8B">
        <w:rPr>
          <w:rFonts w:cstheme="minorHAnsi"/>
          <w:sz w:val="24"/>
          <w:szCs w:val="24"/>
        </w:rPr>
        <w:t>highlights th</w:t>
      </w:r>
      <w:r w:rsidR="00C2060A" w:rsidRPr="004D6B8B">
        <w:rPr>
          <w:rFonts w:cstheme="minorHAnsi"/>
          <w:sz w:val="24"/>
          <w:szCs w:val="24"/>
        </w:rPr>
        <w:t xml:space="preserve">e need for </w:t>
      </w:r>
      <w:r w:rsidRPr="004D6B8B">
        <w:rPr>
          <w:rFonts w:cstheme="minorHAnsi"/>
          <w:sz w:val="24"/>
          <w:szCs w:val="24"/>
        </w:rPr>
        <w:t>further research</w:t>
      </w:r>
      <w:r w:rsidR="00C2060A" w:rsidRPr="004D6B8B">
        <w:rPr>
          <w:rFonts w:cstheme="minorHAnsi"/>
          <w:sz w:val="24"/>
          <w:szCs w:val="24"/>
        </w:rPr>
        <w:t xml:space="preserve"> into optimum approaches to training</w:t>
      </w:r>
      <w:r w:rsidRPr="004D6B8B">
        <w:rPr>
          <w:rFonts w:cstheme="minorHAnsi"/>
          <w:sz w:val="24"/>
          <w:szCs w:val="24"/>
        </w:rPr>
        <w:t xml:space="preserve">. </w:t>
      </w:r>
    </w:p>
    <w:p w14:paraId="6DC7BC91" w14:textId="119998FD" w:rsidR="00690E48" w:rsidRPr="004D6B8B" w:rsidRDefault="00C2060A" w:rsidP="00C2060A">
      <w:pPr>
        <w:rPr>
          <w:rFonts w:cstheme="minorHAnsi"/>
          <w:sz w:val="24"/>
          <w:szCs w:val="24"/>
        </w:rPr>
      </w:pPr>
      <w:r w:rsidRPr="004D6B8B">
        <w:rPr>
          <w:rFonts w:cstheme="minorHAnsi"/>
          <w:sz w:val="24"/>
          <w:szCs w:val="24"/>
        </w:rPr>
        <w:lastRenderedPageBreak/>
        <w:t xml:space="preserve">Mental capacity is defined as the ability to make one’s own decisions, based on the ability to understand and reason (Daniel </w:t>
      </w:r>
      <w:r w:rsidR="00DC562A" w:rsidRPr="004D6B8B">
        <w:rPr>
          <w:rFonts w:cstheme="minorHAnsi"/>
          <w:sz w:val="24"/>
          <w:szCs w:val="24"/>
        </w:rPr>
        <w:t>&amp;</w:t>
      </w:r>
      <w:r w:rsidRPr="004D6B8B">
        <w:rPr>
          <w:rFonts w:cstheme="minorHAnsi"/>
          <w:sz w:val="24"/>
          <w:szCs w:val="24"/>
        </w:rPr>
        <w:t xml:space="preserve"> Dewing</w:t>
      </w:r>
      <w:r w:rsidR="00DC562A" w:rsidRPr="004D6B8B">
        <w:rPr>
          <w:rFonts w:cstheme="minorHAnsi"/>
          <w:sz w:val="24"/>
          <w:szCs w:val="24"/>
        </w:rPr>
        <w:t>,</w:t>
      </w:r>
      <w:r w:rsidRPr="004D6B8B">
        <w:rPr>
          <w:rFonts w:cstheme="minorHAnsi"/>
          <w:sz w:val="24"/>
          <w:szCs w:val="24"/>
        </w:rPr>
        <w:t xml:space="preserve"> 2012). Capacity is not determined by diagnosis or individual characteristics, but is dependent on</w:t>
      </w:r>
      <w:r w:rsidR="0017061A" w:rsidRPr="004D6B8B">
        <w:rPr>
          <w:rFonts w:cstheme="minorHAnsi"/>
          <w:sz w:val="24"/>
          <w:szCs w:val="24"/>
        </w:rPr>
        <w:t xml:space="preserve"> the</w:t>
      </w:r>
      <w:r w:rsidRPr="004D6B8B">
        <w:rPr>
          <w:rFonts w:cstheme="minorHAnsi"/>
          <w:sz w:val="24"/>
          <w:szCs w:val="24"/>
        </w:rPr>
        <w:t xml:space="preserve"> impact of a person’s impairment and the nature of a specific decision to be made at a </w:t>
      </w:r>
      <w:r w:rsidR="0017061A" w:rsidRPr="004D6B8B">
        <w:rPr>
          <w:rFonts w:cstheme="minorHAnsi"/>
          <w:sz w:val="24"/>
          <w:szCs w:val="24"/>
        </w:rPr>
        <w:t xml:space="preserve">particular </w:t>
      </w:r>
      <w:r w:rsidRPr="004D6B8B">
        <w:rPr>
          <w:rFonts w:cstheme="minorHAnsi"/>
          <w:sz w:val="24"/>
          <w:szCs w:val="24"/>
        </w:rPr>
        <w:t>time (</w:t>
      </w:r>
      <w:proofErr w:type="spellStart"/>
      <w:r w:rsidRPr="004D6B8B">
        <w:rPr>
          <w:rFonts w:cstheme="minorHAnsi"/>
          <w:sz w:val="24"/>
          <w:szCs w:val="24"/>
        </w:rPr>
        <w:t>Taghizadeh</w:t>
      </w:r>
      <w:proofErr w:type="spellEnd"/>
      <w:r w:rsidR="002638E8" w:rsidRPr="004D6B8B">
        <w:rPr>
          <w:rFonts w:cstheme="minorHAnsi"/>
          <w:sz w:val="24"/>
          <w:szCs w:val="24"/>
        </w:rPr>
        <w:t xml:space="preserve"> </w:t>
      </w:r>
      <w:r w:rsidRPr="004D6B8B">
        <w:rPr>
          <w:rFonts w:cstheme="minorHAnsi"/>
          <w:sz w:val="24"/>
          <w:szCs w:val="24"/>
        </w:rPr>
        <w:t>Larsson</w:t>
      </w:r>
      <w:r w:rsidR="00DC562A" w:rsidRPr="004D6B8B">
        <w:rPr>
          <w:rFonts w:cstheme="minorHAnsi"/>
          <w:sz w:val="24"/>
          <w:szCs w:val="24"/>
        </w:rPr>
        <w:t>, &amp;</w:t>
      </w:r>
      <w:r w:rsidRPr="004D6B8B">
        <w:rPr>
          <w:rFonts w:cstheme="minorHAnsi"/>
          <w:sz w:val="24"/>
          <w:szCs w:val="24"/>
        </w:rPr>
        <w:t xml:space="preserve"> </w:t>
      </w:r>
      <w:proofErr w:type="spellStart"/>
      <w:r w:rsidRPr="004D6B8B">
        <w:rPr>
          <w:rFonts w:cstheme="minorHAnsi"/>
          <w:sz w:val="24"/>
          <w:szCs w:val="24"/>
        </w:rPr>
        <w:t>Österholm</w:t>
      </w:r>
      <w:proofErr w:type="spellEnd"/>
      <w:r w:rsidR="00DC562A" w:rsidRPr="004D6B8B">
        <w:rPr>
          <w:rFonts w:cstheme="minorHAnsi"/>
          <w:sz w:val="24"/>
          <w:szCs w:val="24"/>
        </w:rPr>
        <w:t>,</w:t>
      </w:r>
      <w:r w:rsidRPr="004D6B8B">
        <w:rPr>
          <w:rFonts w:cstheme="minorHAnsi"/>
          <w:sz w:val="24"/>
          <w:szCs w:val="24"/>
        </w:rPr>
        <w:t xml:space="preserve"> 2014).  The MCA applies to all types of decisions, from the humdrum (such as what to wear) to the highly significant (which care home to choose) (</w:t>
      </w:r>
      <w:proofErr w:type="spellStart"/>
      <w:r w:rsidRPr="004D6B8B">
        <w:rPr>
          <w:rFonts w:cstheme="minorHAnsi"/>
          <w:sz w:val="24"/>
          <w:szCs w:val="24"/>
        </w:rPr>
        <w:t>Hinsliff</w:t>
      </w:r>
      <w:proofErr w:type="spellEnd"/>
      <w:r w:rsidRPr="004D6B8B">
        <w:rPr>
          <w:rFonts w:cstheme="minorHAnsi"/>
          <w:sz w:val="24"/>
          <w:szCs w:val="24"/>
        </w:rPr>
        <w:t>-Smith et al</w:t>
      </w:r>
      <w:r w:rsidR="00DC562A" w:rsidRPr="004D6B8B">
        <w:rPr>
          <w:rFonts w:cstheme="minorHAnsi"/>
          <w:sz w:val="24"/>
          <w:szCs w:val="24"/>
        </w:rPr>
        <w:t>.</w:t>
      </w:r>
      <w:r w:rsidR="00916F92" w:rsidRPr="004D6B8B">
        <w:rPr>
          <w:rFonts w:cstheme="minorHAnsi"/>
          <w:sz w:val="24"/>
          <w:szCs w:val="24"/>
        </w:rPr>
        <w:t>,</w:t>
      </w:r>
      <w:r w:rsidRPr="004D6B8B">
        <w:rPr>
          <w:rFonts w:cstheme="minorHAnsi"/>
          <w:sz w:val="24"/>
          <w:szCs w:val="24"/>
        </w:rPr>
        <w:t xml:space="preserve"> 2015).</w:t>
      </w:r>
      <w:r w:rsidR="00690E48" w:rsidRPr="004D6B8B">
        <w:rPr>
          <w:rFonts w:cstheme="minorHAnsi"/>
          <w:sz w:val="24"/>
          <w:szCs w:val="24"/>
        </w:rPr>
        <w:t xml:space="preserve"> </w:t>
      </w:r>
      <w:r w:rsidR="00F23605" w:rsidRPr="004D6B8B">
        <w:rPr>
          <w:rFonts w:cstheme="minorHAnsi"/>
          <w:sz w:val="24"/>
          <w:szCs w:val="24"/>
        </w:rPr>
        <w:t>The first principle of the act requires practitioners to assume service-users’ capacity</w:t>
      </w:r>
      <w:r w:rsidR="002552F2" w:rsidRPr="004D6B8B">
        <w:rPr>
          <w:rFonts w:cstheme="minorHAnsi"/>
          <w:sz w:val="24"/>
          <w:szCs w:val="24"/>
        </w:rPr>
        <w:t xml:space="preserve"> (Department of Health 2005 (</w:t>
      </w:r>
      <w:proofErr w:type="gramStart"/>
      <w:r w:rsidR="002552F2" w:rsidRPr="004D6B8B">
        <w:rPr>
          <w:rFonts w:cstheme="minorHAnsi"/>
          <w:sz w:val="24"/>
          <w:szCs w:val="24"/>
        </w:rPr>
        <w:t>s1(</w:t>
      </w:r>
      <w:proofErr w:type="gramEnd"/>
      <w:r w:rsidR="002552F2" w:rsidRPr="004D6B8B">
        <w:rPr>
          <w:rFonts w:cstheme="minorHAnsi"/>
          <w:sz w:val="24"/>
          <w:szCs w:val="24"/>
        </w:rPr>
        <w:t>2))</w:t>
      </w:r>
      <w:r w:rsidR="00F23605" w:rsidRPr="004D6B8B">
        <w:rPr>
          <w:rFonts w:cstheme="minorHAnsi"/>
          <w:sz w:val="24"/>
          <w:szCs w:val="24"/>
        </w:rPr>
        <w:t xml:space="preserve">; </w:t>
      </w:r>
      <w:r w:rsidR="00C3453B" w:rsidRPr="004D6B8B">
        <w:rPr>
          <w:rFonts w:cstheme="minorHAnsi"/>
          <w:sz w:val="24"/>
          <w:szCs w:val="24"/>
        </w:rPr>
        <w:t xml:space="preserve">this and subsequent provisions reflect the intent of the legislation </w:t>
      </w:r>
      <w:r w:rsidR="00AD647D" w:rsidRPr="004D6B8B">
        <w:rPr>
          <w:rFonts w:cstheme="minorHAnsi"/>
          <w:sz w:val="24"/>
          <w:szCs w:val="24"/>
        </w:rPr>
        <w:t xml:space="preserve">primarily </w:t>
      </w:r>
      <w:r w:rsidR="00C3453B" w:rsidRPr="004D6B8B">
        <w:rPr>
          <w:rFonts w:cstheme="minorHAnsi"/>
          <w:sz w:val="24"/>
          <w:szCs w:val="24"/>
        </w:rPr>
        <w:t>to promote autonomy, with the best-interests principle</w:t>
      </w:r>
      <w:r w:rsidR="00960D3D" w:rsidRPr="004D6B8B">
        <w:rPr>
          <w:rFonts w:cstheme="minorHAnsi"/>
          <w:sz w:val="24"/>
          <w:szCs w:val="24"/>
        </w:rPr>
        <w:t xml:space="preserve"> (explained below)</w:t>
      </w:r>
      <w:r w:rsidR="00C3453B" w:rsidRPr="004D6B8B">
        <w:rPr>
          <w:rFonts w:cstheme="minorHAnsi"/>
          <w:sz w:val="24"/>
          <w:szCs w:val="24"/>
        </w:rPr>
        <w:t xml:space="preserve"> </w:t>
      </w:r>
      <w:r w:rsidR="002552F2" w:rsidRPr="004D6B8B">
        <w:rPr>
          <w:rFonts w:cstheme="minorHAnsi"/>
          <w:sz w:val="24"/>
          <w:szCs w:val="24"/>
        </w:rPr>
        <w:t>in place should</w:t>
      </w:r>
      <w:r w:rsidR="00C3453B" w:rsidRPr="004D6B8B">
        <w:rPr>
          <w:rFonts w:cstheme="minorHAnsi"/>
          <w:sz w:val="24"/>
          <w:szCs w:val="24"/>
        </w:rPr>
        <w:t xml:space="preserve"> a person is not able to make a decision for themselves (Mackenzie &amp; Rogers, 2013). </w:t>
      </w:r>
    </w:p>
    <w:p w14:paraId="011A15D8" w14:textId="276D6024" w:rsidR="0063669C" w:rsidRPr="004D6B8B" w:rsidRDefault="00C2060A" w:rsidP="00C2060A">
      <w:pPr>
        <w:rPr>
          <w:rFonts w:cstheme="minorHAnsi"/>
          <w:sz w:val="24"/>
          <w:szCs w:val="24"/>
        </w:rPr>
      </w:pPr>
      <w:r w:rsidRPr="004D6B8B">
        <w:rPr>
          <w:rFonts w:cstheme="minorHAnsi"/>
          <w:sz w:val="24"/>
          <w:szCs w:val="24"/>
        </w:rPr>
        <w:t>There is provision for those concerned about their future decision-making abilities to plan ahead, using advance decisions (legally binding recorded decisions to refuse treatment in specific circumstances) and statements (concerning a person’s preferences), and to clarify who they would have represent their interests should decisions need to be made on their behalf (</w:t>
      </w:r>
      <w:r w:rsidR="00407FC2" w:rsidRPr="004D6B8B">
        <w:rPr>
          <w:rFonts w:cstheme="minorHAnsi"/>
          <w:sz w:val="24"/>
          <w:szCs w:val="24"/>
        </w:rPr>
        <w:t>NICE</w:t>
      </w:r>
      <w:r w:rsidR="00DC562A" w:rsidRPr="004D6B8B">
        <w:rPr>
          <w:rFonts w:cstheme="minorHAnsi"/>
          <w:sz w:val="24"/>
          <w:szCs w:val="24"/>
        </w:rPr>
        <w:t>,</w:t>
      </w:r>
      <w:r w:rsidR="00407FC2" w:rsidRPr="004D6B8B">
        <w:rPr>
          <w:rFonts w:cstheme="minorHAnsi"/>
          <w:sz w:val="24"/>
          <w:szCs w:val="24"/>
        </w:rPr>
        <w:t xml:space="preserve"> 2018</w:t>
      </w:r>
      <w:r w:rsidRPr="004D6B8B">
        <w:rPr>
          <w:rFonts w:cstheme="minorHAnsi"/>
          <w:sz w:val="24"/>
          <w:szCs w:val="24"/>
        </w:rPr>
        <w:t xml:space="preserve">). </w:t>
      </w:r>
      <w:r w:rsidR="001C1CFC" w:rsidRPr="004D6B8B">
        <w:rPr>
          <w:rFonts w:cstheme="minorHAnsi"/>
          <w:sz w:val="24"/>
          <w:szCs w:val="24"/>
        </w:rPr>
        <w:t xml:space="preserve">The </w:t>
      </w:r>
      <w:r w:rsidR="0024196A" w:rsidRPr="004D6B8B">
        <w:rPr>
          <w:rFonts w:cstheme="minorHAnsi"/>
          <w:sz w:val="24"/>
          <w:szCs w:val="24"/>
        </w:rPr>
        <w:t>a</w:t>
      </w:r>
      <w:r w:rsidR="001C1CFC" w:rsidRPr="004D6B8B">
        <w:rPr>
          <w:rFonts w:cstheme="minorHAnsi"/>
          <w:sz w:val="24"/>
          <w:szCs w:val="24"/>
        </w:rPr>
        <w:t xml:space="preserve">ct provides guidance for researchers who </w:t>
      </w:r>
      <w:r w:rsidR="00962201" w:rsidRPr="004D6B8B">
        <w:rPr>
          <w:rFonts w:cstheme="minorHAnsi"/>
          <w:sz w:val="24"/>
          <w:szCs w:val="24"/>
        </w:rPr>
        <w:t>are conducting studies involving people who may lack capacity; for example the project must have ethical approval, the focus of the research must be linked to the person’s ‘impairing condition’ and have a chance of benefitting the individual or others with the same condition (Department of Constitutional Affairs 2007)</w:t>
      </w:r>
      <w:r w:rsidR="0024196A" w:rsidRPr="004D6B8B">
        <w:rPr>
          <w:rFonts w:cstheme="minorHAnsi"/>
          <w:sz w:val="24"/>
          <w:szCs w:val="24"/>
        </w:rPr>
        <w:t xml:space="preserve">. </w:t>
      </w:r>
      <w:r w:rsidRPr="004D6B8B">
        <w:rPr>
          <w:rFonts w:cstheme="minorHAnsi"/>
          <w:sz w:val="24"/>
          <w:szCs w:val="24"/>
        </w:rPr>
        <w:t xml:space="preserve">The legislation also provides a structure for professionals that clarifies and directs the process of respecting an individual’s decisions. It guides assisting with decision-making, assessing a person’s capacity to make a specific decision and, if a person is unable to make a decision, guiding the professional (or family or voluntary </w:t>
      </w:r>
      <w:proofErr w:type="spellStart"/>
      <w:r w:rsidRPr="004D6B8B">
        <w:rPr>
          <w:rFonts w:cstheme="minorHAnsi"/>
          <w:sz w:val="24"/>
          <w:szCs w:val="24"/>
        </w:rPr>
        <w:t>carer</w:t>
      </w:r>
      <w:proofErr w:type="spellEnd"/>
      <w:r w:rsidRPr="004D6B8B">
        <w:rPr>
          <w:rFonts w:cstheme="minorHAnsi"/>
          <w:sz w:val="24"/>
          <w:szCs w:val="24"/>
        </w:rPr>
        <w:t>) substitute decision-makers in determining a person’s best interests so that a decision reflects their values and lifestyle, with minimal restrictions to the individual (</w:t>
      </w:r>
      <w:r w:rsidR="002552F2" w:rsidRPr="004D6B8B">
        <w:rPr>
          <w:rFonts w:cstheme="minorHAnsi"/>
          <w:sz w:val="24"/>
          <w:szCs w:val="24"/>
        </w:rPr>
        <w:t>Department of Health 2005 (</w:t>
      </w:r>
      <w:proofErr w:type="gramStart"/>
      <w:r w:rsidR="002552F2" w:rsidRPr="004D6B8B">
        <w:rPr>
          <w:rFonts w:cstheme="minorHAnsi"/>
          <w:sz w:val="24"/>
          <w:szCs w:val="24"/>
        </w:rPr>
        <w:t>s</w:t>
      </w:r>
      <w:r w:rsidR="0070424E" w:rsidRPr="004D6B8B">
        <w:rPr>
          <w:rFonts w:cstheme="minorHAnsi"/>
          <w:sz w:val="24"/>
          <w:szCs w:val="24"/>
        </w:rPr>
        <w:t>1(</w:t>
      </w:r>
      <w:proofErr w:type="gramEnd"/>
      <w:r w:rsidR="0070424E" w:rsidRPr="004D6B8B">
        <w:rPr>
          <w:rFonts w:cstheme="minorHAnsi"/>
          <w:sz w:val="24"/>
          <w:szCs w:val="24"/>
        </w:rPr>
        <w:t xml:space="preserve">2-6)), </w:t>
      </w:r>
      <w:r w:rsidRPr="004D6B8B">
        <w:rPr>
          <w:rFonts w:cstheme="minorHAnsi"/>
          <w:sz w:val="24"/>
          <w:szCs w:val="24"/>
        </w:rPr>
        <w:t>Stevens</w:t>
      </w:r>
      <w:r w:rsidR="00DC562A" w:rsidRPr="004D6B8B">
        <w:rPr>
          <w:rFonts w:cstheme="minorHAnsi"/>
          <w:sz w:val="24"/>
          <w:szCs w:val="24"/>
        </w:rPr>
        <w:t>,</w:t>
      </w:r>
      <w:r w:rsidRPr="004D6B8B">
        <w:rPr>
          <w:rFonts w:cstheme="minorHAnsi"/>
          <w:sz w:val="24"/>
          <w:szCs w:val="24"/>
        </w:rPr>
        <w:t xml:space="preserve"> 2013). </w:t>
      </w:r>
      <w:r w:rsidR="00A44244" w:rsidRPr="004D6B8B">
        <w:rPr>
          <w:rFonts w:cstheme="minorHAnsi"/>
          <w:sz w:val="24"/>
          <w:szCs w:val="24"/>
        </w:rPr>
        <w:t xml:space="preserve">Under an amendment to the MCA, </w:t>
      </w:r>
      <w:r w:rsidR="0063669C" w:rsidRPr="004D6B8B">
        <w:rPr>
          <w:rFonts w:cstheme="minorHAnsi"/>
          <w:sz w:val="24"/>
          <w:szCs w:val="24"/>
        </w:rPr>
        <w:t>Liberty Protection Safeguards are due to replace</w:t>
      </w:r>
      <w:r w:rsidR="00263112" w:rsidRPr="004D6B8B">
        <w:rPr>
          <w:rFonts w:cstheme="minorHAnsi"/>
          <w:sz w:val="24"/>
          <w:szCs w:val="24"/>
        </w:rPr>
        <w:t xml:space="preserve"> </w:t>
      </w:r>
      <w:r w:rsidR="0063669C" w:rsidRPr="004D6B8B">
        <w:rPr>
          <w:rFonts w:cstheme="minorHAnsi"/>
          <w:sz w:val="24"/>
          <w:szCs w:val="24"/>
        </w:rPr>
        <w:t xml:space="preserve">Deprivation of Liberty Safeguards by spring 2020. These provisions authorize care </w:t>
      </w:r>
      <w:r w:rsidR="00263112" w:rsidRPr="004D6B8B">
        <w:rPr>
          <w:rFonts w:cstheme="minorHAnsi"/>
          <w:sz w:val="24"/>
          <w:szCs w:val="24"/>
        </w:rPr>
        <w:t xml:space="preserve">in a hospital or care home </w:t>
      </w:r>
      <w:r w:rsidR="0063669C" w:rsidRPr="004D6B8B">
        <w:rPr>
          <w:rFonts w:cstheme="minorHAnsi"/>
          <w:sz w:val="24"/>
          <w:szCs w:val="24"/>
        </w:rPr>
        <w:t xml:space="preserve">for a person who does not have capacity to consent, </w:t>
      </w:r>
      <w:r w:rsidR="00263112" w:rsidRPr="004D6B8B">
        <w:rPr>
          <w:rFonts w:cstheme="minorHAnsi"/>
          <w:sz w:val="24"/>
          <w:szCs w:val="24"/>
        </w:rPr>
        <w:t>but</w:t>
      </w:r>
      <w:r w:rsidR="0063669C" w:rsidRPr="004D6B8B">
        <w:rPr>
          <w:rFonts w:cstheme="minorHAnsi"/>
          <w:sz w:val="24"/>
          <w:szCs w:val="24"/>
        </w:rPr>
        <w:t xml:space="preserve"> </w:t>
      </w:r>
      <w:r w:rsidR="00960D3D" w:rsidRPr="004D6B8B">
        <w:rPr>
          <w:rFonts w:cstheme="minorHAnsi"/>
          <w:sz w:val="24"/>
          <w:szCs w:val="24"/>
        </w:rPr>
        <w:t xml:space="preserve">for whom </w:t>
      </w:r>
      <w:r w:rsidR="0063669C" w:rsidRPr="004D6B8B">
        <w:rPr>
          <w:rFonts w:cstheme="minorHAnsi"/>
          <w:sz w:val="24"/>
          <w:szCs w:val="24"/>
        </w:rPr>
        <w:t xml:space="preserve">the </w:t>
      </w:r>
      <w:r w:rsidR="00263112" w:rsidRPr="004D6B8B">
        <w:rPr>
          <w:rFonts w:cstheme="minorHAnsi"/>
          <w:sz w:val="24"/>
          <w:szCs w:val="24"/>
        </w:rPr>
        <w:t>a</w:t>
      </w:r>
      <w:r w:rsidR="0063669C" w:rsidRPr="004D6B8B">
        <w:rPr>
          <w:rFonts w:cstheme="minorHAnsi"/>
          <w:sz w:val="24"/>
          <w:szCs w:val="24"/>
        </w:rPr>
        <w:t xml:space="preserve">rrangements are necessary </w:t>
      </w:r>
      <w:r w:rsidR="00263112" w:rsidRPr="004D6B8B">
        <w:rPr>
          <w:rFonts w:cstheme="minorHAnsi"/>
          <w:sz w:val="24"/>
          <w:szCs w:val="24"/>
        </w:rPr>
        <w:t>to avoid harm (</w:t>
      </w:r>
      <w:bookmarkStart w:id="0" w:name="_Hlk25754431"/>
      <w:r w:rsidR="00263112" w:rsidRPr="004D6B8B">
        <w:rPr>
          <w:rFonts w:cstheme="minorHAnsi"/>
          <w:sz w:val="24"/>
          <w:szCs w:val="24"/>
        </w:rPr>
        <w:t>Social Care Institute for Excellence, 2019</w:t>
      </w:r>
      <w:bookmarkEnd w:id="0"/>
      <w:r w:rsidR="00263112" w:rsidRPr="004D6B8B">
        <w:rPr>
          <w:rFonts w:cstheme="minorHAnsi"/>
          <w:sz w:val="24"/>
          <w:szCs w:val="24"/>
        </w:rPr>
        <w:t>)</w:t>
      </w:r>
      <w:r w:rsidR="0063669C" w:rsidRPr="004D6B8B">
        <w:rPr>
          <w:rFonts w:cstheme="minorHAnsi"/>
          <w:sz w:val="24"/>
          <w:szCs w:val="24"/>
        </w:rPr>
        <w:t>.</w:t>
      </w:r>
      <w:r w:rsidR="00263112" w:rsidRPr="004D6B8B">
        <w:rPr>
          <w:rFonts w:cstheme="minorHAnsi"/>
          <w:sz w:val="24"/>
          <w:szCs w:val="24"/>
        </w:rPr>
        <w:t xml:space="preserve"> </w:t>
      </w:r>
    </w:p>
    <w:p w14:paraId="029A4D96" w14:textId="55BB2DB7" w:rsidR="00F010CC" w:rsidRPr="004D6B8B" w:rsidRDefault="00F010CC" w:rsidP="00F010CC">
      <w:pPr>
        <w:rPr>
          <w:rFonts w:cstheme="minorHAnsi"/>
          <w:sz w:val="24"/>
          <w:szCs w:val="24"/>
        </w:rPr>
      </w:pPr>
      <w:r w:rsidRPr="004D6B8B">
        <w:rPr>
          <w:rFonts w:cstheme="minorHAnsi"/>
          <w:sz w:val="24"/>
          <w:szCs w:val="24"/>
        </w:rPr>
        <w:t>Consequences of limited understanding and implementation of the MCA are significant. For example, misinterpretation of the concept of ‘capacity’ (Wilson, Seymour</w:t>
      </w:r>
      <w:r w:rsidR="00DC562A" w:rsidRPr="004D6B8B">
        <w:rPr>
          <w:rFonts w:cstheme="minorHAnsi"/>
          <w:sz w:val="24"/>
          <w:szCs w:val="24"/>
        </w:rPr>
        <w:t>, &amp;</w:t>
      </w:r>
      <w:r w:rsidRPr="004D6B8B">
        <w:rPr>
          <w:rFonts w:cstheme="minorHAnsi"/>
          <w:sz w:val="24"/>
          <w:szCs w:val="24"/>
        </w:rPr>
        <w:t xml:space="preserve"> Perkins</w:t>
      </w:r>
      <w:r w:rsidR="00DC562A" w:rsidRPr="004D6B8B">
        <w:rPr>
          <w:rFonts w:cstheme="minorHAnsi"/>
          <w:sz w:val="24"/>
          <w:szCs w:val="24"/>
        </w:rPr>
        <w:t>,</w:t>
      </w:r>
      <w:r w:rsidRPr="004D6B8B">
        <w:rPr>
          <w:rFonts w:cstheme="minorHAnsi"/>
          <w:sz w:val="24"/>
          <w:szCs w:val="24"/>
        </w:rPr>
        <w:t xml:space="preserve"> 2010) and how it should be assessed (Marshall </w:t>
      </w:r>
      <w:r w:rsidR="00DC562A" w:rsidRPr="004D6B8B">
        <w:rPr>
          <w:rFonts w:cstheme="minorHAnsi"/>
          <w:sz w:val="24"/>
          <w:szCs w:val="24"/>
        </w:rPr>
        <w:t>&amp;</w:t>
      </w:r>
      <w:r w:rsidRPr="004D6B8B">
        <w:rPr>
          <w:rFonts w:cstheme="minorHAnsi"/>
          <w:sz w:val="24"/>
          <w:szCs w:val="24"/>
        </w:rPr>
        <w:t xml:space="preserve"> Sprung</w:t>
      </w:r>
      <w:r w:rsidR="00DC562A" w:rsidRPr="004D6B8B">
        <w:rPr>
          <w:rFonts w:cstheme="minorHAnsi"/>
          <w:sz w:val="24"/>
          <w:szCs w:val="24"/>
        </w:rPr>
        <w:t>,</w:t>
      </w:r>
      <w:r w:rsidRPr="004D6B8B">
        <w:rPr>
          <w:rFonts w:cstheme="minorHAnsi"/>
          <w:sz w:val="24"/>
          <w:szCs w:val="24"/>
        </w:rPr>
        <w:t xml:space="preserve"> 2016a) leads staff to assume that individuals </w:t>
      </w:r>
      <w:r w:rsidR="000F5045" w:rsidRPr="004D6B8B">
        <w:rPr>
          <w:rFonts w:cstheme="minorHAnsi"/>
          <w:sz w:val="24"/>
          <w:szCs w:val="24"/>
        </w:rPr>
        <w:t>cannot</w:t>
      </w:r>
      <w:r w:rsidRPr="004D6B8B">
        <w:rPr>
          <w:rFonts w:cstheme="minorHAnsi"/>
          <w:sz w:val="24"/>
          <w:szCs w:val="24"/>
        </w:rPr>
        <w:t xml:space="preserve"> make their own decisions (Care Quality Commission</w:t>
      </w:r>
      <w:r w:rsidR="00DC562A" w:rsidRPr="004D6B8B">
        <w:rPr>
          <w:rFonts w:cstheme="minorHAnsi"/>
          <w:sz w:val="24"/>
          <w:szCs w:val="24"/>
        </w:rPr>
        <w:t>,</w:t>
      </w:r>
      <w:r w:rsidRPr="004D6B8B">
        <w:rPr>
          <w:rFonts w:cstheme="minorHAnsi"/>
          <w:sz w:val="24"/>
          <w:szCs w:val="24"/>
        </w:rPr>
        <w:t xml:space="preserve"> 2013). People living with dementia are at particularly high risk of being systematically excluded from decision making (</w:t>
      </w:r>
      <w:bookmarkStart w:id="1" w:name="_Hlk12366700"/>
      <w:proofErr w:type="spellStart"/>
      <w:r w:rsidRPr="004D6B8B">
        <w:rPr>
          <w:rFonts w:cstheme="minorHAnsi"/>
          <w:sz w:val="24"/>
          <w:szCs w:val="24"/>
        </w:rPr>
        <w:t>Taghizadeh</w:t>
      </w:r>
      <w:proofErr w:type="spellEnd"/>
      <w:r w:rsidRPr="004D6B8B">
        <w:rPr>
          <w:rFonts w:cstheme="minorHAnsi"/>
          <w:sz w:val="24"/>
          <w:szCs w:val="24"/>
        </w:rPr>
        <w:t xml:space="preserve"> Larsson</w:t>
      </w:r>
      <w:r w:rsidR="00DC562A" w:rsidRPr="004D6B8B">
        <w:rPr>
          <w:rFonts w:cstheme="minorHAnsi"/>
          <w:sz w:val="24"/>
          <w:szCs w:val="24"/>
        </w:rPr>
        <w:t>, &amp;</w:t>
      </w:r>
      <w:r w:rsidRPr="004D6B8B">
        <w:rPr>
          <w:rFonts w:cstheme="minorHAnsi"/>
          <w:sz w:val="24"/>
          <w:szCs w:val="24"/>
        </w:rPr>
        <w:t xml:space="preserve"> </w:t>
      </w:r>
      <w:proofErr w:type="spellStart"/>
      <w:r w:rsidRPr="004D6B8B">
        <w:rPr>
          <w:rFonts w:cstheme="minorHAnsi"/>
          <w:sz w:val="24"/>
          <w:szCs w:val="24"/>
        </w:rPr>
        <w:t>Österholm</w:t>
      </w:r>
      <w:proofErr w:type="spellEnd"/>
      <w:r w:rsidRPr="004D6B8B">
        <w:rPr>
          <w:rFonts w:cstheme="minorHAnsi"/>
          <w:sz w:val="24"/>
          <w:szCs w:val="24"/>
        </w:rPr>
        <w:t>, 2014</w:t>
      </w:r>
      <w:bookmarkEnd w:id="1"/>
      <w:r w:rsidRPr="004D6B8B">
        <w:rPr>
          <w:rFonts w:cstheme="minorHAnsi"/>
          <w:sz w:val="24"/>
          <w:szCs w:val="24"/>
        </w:rPr>
        <w:t>)</w:t>
      </w:r>
      <w:r w:rsidR="00504524" w:rsidRPr="004D6B8B">
        <w:rPr>
          <w:rFonts w:cstheme="minorHAnsi"/>
          <w:sz w:val="24"/>
          <w:szCs w:val="24"/>
        </w:rPr>
        <w:t xml:space="preserve"> while people with </w:t>
      </w:r>
      <w:r w:rsidR="00B826EB" w:rsidRPr="004D6B8B">
        <w:rPr>
          <w:rFonts w:cstheme="minorHAnsi"/>
          <w:sz w:val="24"/>
          <w:szCs w:val="24"/>
        </w:rPr>
        <w:t>intellectual</w:t>
      </w:r>
      <w:r w:rsidR="00504524" w:rsidRPr="004D6B8B">
        <w:rPr>
          <w:rFonts w:cstheme="minorHAnsi"/>
          <w:sz w:val="24"/>
          <w:szCs w:val="24"/>
        </w:rPr>
        <w:t xml:space="preserve"> disabilities still face barriers due to poor adaptation to their needs (for example provision of accessible information which would support decision-making) leading to negative experiences of services and poor outcomes (Sheehan et al</w:t>
      </w:r>
      <w:r w:rsidR="00C3453B" w:rsidRPr="004D6B8B">
        <w:rPr>
          <w:rFonts w:cstheme="minorHAnsi"/>
          <w:sz w:val="24"/>
          <w:szCs w:val="24"/>
        </w:rPr>
        <w:t>.,</w:t>
      </w:r>
      <w:r w:rsidR="00504524" w:rsidRPr="004D6B8B">
        <w:rPr>
          <w:rFonts w:cstheme="minorHAnsi"/>
          <w:sz w:val="24"/>
          <w:szCs w:val="24"/>
        </w:rPr>
        <w:t xml:space="preserve"> 2016).</w:t>
      </w:r>
    </w:p>
    <w:p w14:paraId="6BB5A4DE" w14:textId="3894EEDD" w:rsidR="00F010CC" w:rsidRPr="004D6B8B" w:rsidRDefault="00F010CC" w:rsidP="00F010CC">
      <w:pPr>
        <w:rPr>
          <w:rFonts w:eastAsia="Times New Roman" w:cstheme="minorHAnsi"/>
          <w:sz w:val="24"/>
          <w:szCs w:val="24"/>
        </w:rPr>
      </w:pPr>
      <w:r w:rsidRPr="004D6B8B">
        <w:rPr>
          <w:rFonts w:cstheme="minorHAnsi"/>
          <w:sz w:val="24"/>
          <w:szCs w:val="24"/>
        </w:rPr>
        <w:lastRenderedPageBreak/>
        <w:t xml:space="preserve">MCA </w:t>
      </w:r>
      <w:r w:rsidRPr="004D6B8B">
        <w:rPr>
          <w:rFonts w:eastAsia="Times New Roman" w:cstheme="minorHAnsi"/>
          <w:sz w:val="24"/>
          <w:szCs w:val="24"/>
        </w:rPr>
        <w:t>training was not and still is not always mandatory. P</w:t>
      </w:r>
      <w:r w:rsidRPr="004D6B8B">
        <w:rPr>
          <w:rFonts w:cstheme="minorHAnsi"/>
          <w:sz w:val="24"/>
          <w:szCs w:val="24"/>
        </w:rPr>
        <w:t xml:space="preserve">oor implementation of the MCA cannot continue as the outcome for service users with dementia, </w:t>
      </w:r>
      <w:r w:rsidR="00B826EB" w:rsidRPr="004D6B8B">
        <w:rPr>
          <w:rFonts w:cstheme="minorHAnsi"/>
          <w:sz w:val="24"/>
          <w:szCs w:val="24"/>
        </w:rPr>
        <w:t>intellectual</w:t>
      </w:r>
      <w:r w:rsidRPr="004D6B8B">
        <w:rPr>
          <w:rFonts w:cstheme="minorHAnsi"/>
          <w:sz w:val="24"/>
          <w:szCs w:val="24"/>
        </w:rPr>
        <w:t xml:space="preserve"> disabilities, mental health problems and other disorders may be to undermine their autonomy and deny their human rights </w:t>
      </w:r>
      <w:r w:rsidRPr="004D6B8B">
        <w:rPr>
          <w:rFonts w:eastAsia="Times New Roman" w:cstheme="minorHAnsi"/>
          <w:sz w:val="24"/>
          <w:szCs w:val="24"/>
        </w:rPr>
        <w:t>(</w:t>
      </w:r>
      <w:proofErr w:type="gramStart"/>
      <w:r w:rsidRPr="004D6B8B">
        <w:rPr>
          <w:rFonts w:eastAsia="Times New Roman" w:cstheme="minorHAnsi"/>
          <w:sz w:val="24"/>
          <w:szCs w:val="24"/>
        </w:rPr>
        <w:t xml:space="preserve">Marshall </w:t>
      </w:r>
      <w:r w:rsidR="00DC562A" w:rsidRPr="004D6B8B">
        <w:rPr>
          <w:rFonts w:eastAsia="Times New Roman" w:cstheme="minorHAnsi"/>
          <w:sz w:val="24"/>
          <w:szCs w:val="24"/>
        </w:rPr>
        <w:t>&amp;</w:t>
      </w:r>
      <w:proofErr w:type="gramEnd"/>
      <w:r w:rsidRPr="004D6B8B">
        <w:rPr>
          <w:rFonts w:eastAsia="Times New Roman" w:cstheme="minorHAnsi"/>
          <w:sz w:val="24"/>
          <w:szCs w:val="24"/>
        </w:rPr>
        <w:t xml:space="preserve"> Sprung</w:t>
      </w:r>
      <w:r w:rsidR="00DC562A" w:rsidRPr="004D6B8B">
        <w:rPr>
          <w:rFonts w:eastAsia="Times New Roman" w:cstheme="minorHAnsi"/>
          <w:sz w:val="24"/>
          <w:szCs w:val="24"/>
        </w:rPr>
        <w:t>,</w:t>
      </w:r>
      <w:r w:rsidR="008055F7" w:rsidRPr="004D6B8B">
        <w:rPr>
          <w:rFonts w:eastAsia="Times New Roman" w:cstheme="minorHAnsi"/>
          <w:sz w:val="24"/>
          <w:szCs w:val="24"/>
        </w:rPr>
        <w:t xml:space="preserve"> </w:t>
      </w:r>
      <w:r w:rsidRPr="004D6B8B">
        <w:rPr>
          <w:rFonts w:eastAsia="Times New Roman" w:cstheme="minorHAnsi"/>
          <w:sz w:val="24"/>
          <w:szCs w:val="24"/>
        </w:rPr>
        <w:t>2016a).</w:t>
      </w:r>
      <w:r w:rsidR="001F4093" w:rsidRPr="004D6B8B">
        <w:rPr>
          <w:rFonts w:eastAsia="Times New Roman" w:cstheme="minorHAnsi"/>
          <w:sz w:val="24"/>
          <w:szCs w:val="24"/>
        </w:rPr>
        <w:t xml:space="preserve"> </w:t>
      </w:r>
    </w:p>
    <w:p w14:paraId="365B5E56" w14:textId="300487A0" w:rsidR="00C2060A" w:rsidRPr="004D6B8B" w:rsidRDefault="00F010CC" w:rsidP="00C2060A">
      <w:pPr>
        <w:rPr>
          <w:rFonts w:cstheme="minorHAnsi"/>
          <w:sz w:val="24"/>
          <w:szCs w:val="24"/>
        </w:rPr>
      </w:pPr>
      <w:r w:rsidRPr="004D6B8B">
        <w:rPr>
          <w:rFonts w:eastAsia="Times New Roman" w:cstheme="minorHAnsi"/>
          <w:sz w:val="24"/>
          <w:szCs w:val="24"/>
        </w:rPr>
        <w:t xml:space="preserve">In light of the </w:t>
      </w:r>
      <w:r w:rsidR="001F4093" w:rsidRPr="004D6B8B">
        <w:rPr>
          <w:rFonts w:eastAsia="Times New Roman" w:cstheme="minorHAnsi"/>
          <w:sz w:val="24"/>
          <w:szCs w:val="24"/>
        </w:rPr>
        <w:t xml:space="preserve">need for more effective implementation of the MCA, and allied legislation in other countries and the centrality of training in this quest, the </w:t>
      </w:r>
      <w:r w:rsidR="00C2060A" w:rsidRPr="004D6B8B">
        <w:rPr>
          <w:rFonts w:cstheme="minorHAnsi"/>
          <w:sz w:val="24"/>
          <w:szCs w:val="24"/>
        </w:rPr>
        <w:t xml:space="preserve">purpose of this review is to identify, evaluate and </w:t>
      </w:r>
      <w:proofErr w:type="spellStart"/>
      <w:r w:rsidR="00C2060A" w:rsidRPr="004D6B8B">
        <w:rPr>
          <w:rFonts w:cstheme="minorHAnsi"/>
          <w:sz w:val="24"/>
          <w:szCs w:val="24"/>
        </w:rPr>
        <w:t>synthesise</w:t>
      </w:r>
      <w:proofErr w:type="spellEnd"/>
      <w:r w:rsidR="00C2060A" w:rsidRPr="004D6B8B">
        <w:rPr>
          <w:rFonts w:cstheme="minorHAnsi"/>
          <w:sz w:val="24"/>
          <w:szCs w:val="24"/>
        </w:rPr>
        <w:t xml:space="preserve"> published papers that report on health and social care practitioners’ MCA training</w:t>
      </w:r>
      <w:r w:rsidR="003264A0" w:rsidRPr="004D6B8B">
        <w:rPr>
          <w:rFonts w:cstheme="minorHAnsi"/>
          <w:sz w:val="24"/>
          <w:szCs w:val="24"/>
        </w:rPr>
        <w:t>,</w:t>
      </w:r>
      <w:r w:rsidR="00C2060A" w:rsidRPr="004D6B8B">
        <w:rPr>
          <w:rFonts w:cstheme="minorHAnsi"/>
          <w:sz w:val="24"/>
          <w:szCs w:val="24"/>
        </w:rPr>
        <w:t xml:space="preserve"> to </w:t>
      </w:r>
      <w:r w:rsidR="003264A0" w:rsidRPr="004D6B8B">
        <w:rPr>
          <w:rFonts w:cstheme="minorHAnsi"/>
          <w:sz w:val="24"/>
          <w:szCs w:val="24"/>
        </w:rPr>
        <w:t xml:space="preserve">explore the nature of training interventions and </w:t>
      </w:r>
      <w:r w:rsidR="00C2060A" w:rsidRPr="004D6B8B">
        <w:rPr>
          <w:rFonts w:cstheme="minorHAnsi"/>
          <w:sz w:val="24"/>
          <w:szCs w:val="24"/>
        </w:rPr>
        <w:t xml:space="preserve">establish </w:t>
      </w:r>
      <w:r w:rsidR="008F2898" w:rsidRPr="004D6B8B">
        <w:rPr>
          <w:rFonts w:cstheme="minorHAnsi"/>
          <w:sz w:val="24"/>
          <w:szCs w:val="24"/>
        </w:rPr>
        <w:t>the ways</w:t>
      </w:r>
      <w:r w:rsidR="00E3483F" w:rsidRPr="004D6B8B">
        <w:rPr>
          <w:rFonts w:cstheme="minorHAnsi"/>
          <w:sz w:val="24"/>
          <w:szCs w:val="24"/>
        </w:rPr>
        <w:t xml:space="preserve"> and means through</w:t>
      </w:r>
      <w:r w:rsidR="008F2898" w:rsidRPr="004D6B8B">
        <w:rPr>
          <w:rFonts w:cstheme="minorHAnsi"/>
          <w:sz w:val="24"/>
          <w:szCs w:val="24"/>
        </w:rPr>
        <w:t xml:space="preserve"> which</w:t>
      </w:r>
      <w:r w:rsidR="00336B3B" w:rsidRPr="004D6B8B">
        <w:rPr>
          <w:rFonts w:cstheme="minorHAnsi"/>
          <w:sz w:val="24"/>
          <w:szCs w:val="24"/>
        </w:rPr>
        <w:t xml:space="preserve"> practitioners change their practice post-training and </w:t>
      </w:r>
      <w:r w:rsidR="001F4093" w:rsidRPr="004D6B8B">
        <w:rPr>
          <w:rFonts w:cstheme="minorHAnsi"/>
          <w:sz w:val="24"/>
          <w:szCs w:val="24"/>
        </w:rPr>
        <w:t>make recommendation</w:t>
      </w:r>
      <w:r w:rsidR="00336B3B" w:rsidRPr="004D6B8B">
        <w:rPr>
          <w:rFonts w:cstheme="minorHAnsi"/>
          <w:sz w:val="24"/>
          <w:szCs w:val="24"/>
        </w:rPr>
        <w:t>s</w:t>
      </w:r>
      <w:r w:rsidR="001F4093" w:rsidRPr="004D6B8B">
        <w:rPr>
          <w:rFonts w:cstheme="minorHAnsi"/>
          <w:sz w:val="24"/>
          <w:szCs w:val="24"/>
        </w:rPr>
        <w:t xml:space="preserve"> for future practice and research. </w:t>
      </w:r>
    </w:p>
    <w:p w14:paraId="08371CB5" w14:textId="02734536" w:rsidR="397EC2D7" w:rsidRPr="004D6B8B" w:rsidRDefault="397EC2D7" w:rsidP="397EC2D7">
      <w:pPr>
        <w:rPr>
          <w:rFonts w:eastAsia="Times New Roman" w:cstheme="minorHAnsi"/>
          <w:b/>
          <w:bCs/>
          <w:sz w:val="24"/>
          <w:szCs w:val="24"/>
        </w:rPr>
      </w:pPr>
      <w:r w:rsidRPr="004D6B8B">
        <w:rPr>
          <w:rFonts w:eastAsia="Times New Roman" w:cstheme="minorHAnsi"/>
          <w:b/>
          <w:bCs/>
          <w:sz w:val="24"/>
          <w:szCs w:val="24"/>
        </w:rPr>
        <w:t>Aim</w:t>
      </w:r>
      <w:r w:rsidR="005F3235" w:rsidRPr="004D6B8B">
        <w:rPr>
          <w:rFonts w:eastAsia="Times New Roman" w:cstheme="minorHAnsi"/>
          <w:b/>
          <w:bCs/>
          <w:sz w:val="24"/>
          <w:szCs w:val="24"/>
        </w:rPr>
        <w:t>s and Methods</w:t>
      </w:r>
    </w:p>
    <w:p w14:paraId="050E480B" w14:textId="7CE04DEA" w:rsidR="008B723C" w:rsidRPr="004D6B8B" w:rsidRDefault="008B723C" w:rsidP="397EC2D7">
      <w:pPr>
        <w:rPr>
          <w:rFonts w:eastAsia="Times New Roman" w:cstheme="minorHAnsi"/>
          <w:bCs/>
          <w:sz w:val="24"/>
          <w:szCs w:val="24"/>
        </w:rPr>
      </w:pPr>
      <w:r w:rsidRPr="004D6B8B">
        <w:rPr>
          <w:rFonts w:eastAsia="Times New Roman" w:cstheme="minorHAnsi"/>
          <w:bCs/>
          <w:sz w:val="24"/>
          <w:szCs w:val="24"/>
        </w:rPr>
        <w:t xml:space="preserve">To </w:t>
      </w:r>
      <w:r w:rsidR="003264A0" w:rsidRPr="004D6B8B">
        <w:rPr>
          <w:rFonts w:eastAsia="Times New Roman" w:cstheme="minorHAnsi"/>
          <w:bCs/>
          <w:sz w:val="24"/>
          <w:szCs w:val="24"/>
        </w:rPr>
        <w:t xml:space="preserve">identify training strategies and </w:t>
      </w:r>
      <w:r w:rsidRPr="004D6B8B">
        <w:rPr>
          <w:rFonts w:eastAsia="Times New Roman" w:cstheme="minorHAnsi"/>
          <w:bCs/>
          <w:sz w:val="24"/>
          <w:szCs w:val="24"/>
        </w:rPr>
        <w:t>determine h</w:t>
      </w:r>
      <w:r w:rsidRPr="004D6B8B">
        <w:rPr>
          <w:rFonts w:cstheme="minorHAnsi"/>
          <w:sz w:val="24"/>
          <w:szCs w:val="24"/>
          <w:lang w:val="en-GB"/>
        </w:rPr>
        <w:t xml:space="preserve">ow registered health and social care practitioners change their practice post Mental Capacity Act training. </w:t>
      </w:r>
      <w:r w:rsidRPr="004D6B8B">
        <w:rPr>
          <w:rFonts w:eastAsia="Times New Roman" w:cstheme="minorHAnsi"/>
          <w:bCs/>
          <w:sz w:val="24"/>
          <w:szCs w:val="24"/>
        </w:rPr>
        <w:t xml:space="preserve"> </w:t>
      </w:r>
    </w:p>
    <w:p w14:paraId="53C90B57" w14:textId="3026F3D1" w:rsidR="008B723C" w:rsidRPr="004D6B8B" w:rsidRDefault="008B723C" w:rsidP="008B723C">
      <w:pPr>
        <w:rPr>
          <w:rFonts w:cstheme="minorHAnsi"/>
          <w:i/>
          <w:sz w:val="24"/>
          <w:szCs w:val="24"/>
        </w:rPr>
      </w:pPr>
      <w:r w:rsidRPr="004D6B8B">
        <w:rPr>
          <w:rFonts w:cstheme="minorHAnsi"/>
          <w:i/>
          <w:sz w:val="24"/>
          <w:szCs w:val="24"/>
        </w:rPr>
        <w:t>Objectives</w:t>
      </w:r>
    </w:p>
    <w:p w14:paraId="616453AB" w14:textId="6C75DF46" w:rsidR="008B723C" w:rsidRPr="004D6B8B" w:rsidRDefault="008B723C" w:rsidP="008B723C">
      <w:pPr>
        <w:rPr>
          <w:rFonts w:cstheme="minorHAnsi"/>
          <w:sz w:val="24"/>
          <w:szCs w:val="24"/>
        </w:rPr>
      </w:pPr>
      <w:r w:rsidRPr="004D6B8B">
        <w:rPr>
          <w:rFonts w:cstheme="minorHAnsi"/>
          <w:sz w:val="24"/>
          <w:szCs w:val="24"/>
        </w:rPr>
        <w:t xml:space="preserve">In published empirical studies to identify </w:t>
      </w:r>
    </w:p>
    <w:p w14:paraId="35F3A3CD" w14:textId="31999C36" w:rsidR="008B723C" w:rsidRPr="004D6B8B" w:rsidRDefault="008B723C" w:rsidP="008B723C">
      <w:pPr>
        <w:pStyle w:val="ListParagraph"/>
        <w:numPr>
          <w:ilvl w:val="0"/>
          <w:numId w:val="5"/>
        </w:numPr>
        <w:autoSpaceDE w:val="0"/>
        <w:autoSpaceDN w:val="0"/>
        <w:adjustRightInd w:val="0"/>
        <w:spacing w:after="0" w:line="240" w:lineRule="auto"/>
        <w:rPr>
          <w:rFonts w:cstheme="minorHAnsi"/>
          <w:sz w:val="24"/>
          <w:szCs w:val="24"/>
          <w:lang w:val="en-GB"/>
        </w:rPr>
      </w:pPr>
      <w:r w:rsidRPr="004D6B8B">
        <w:rPr>
          <w:rFonts w:cstheme="minorHAnsi"/>
          <w:sz w:val="24"/>
          <w:szCs w:val="24"/>
          <w:lang w:val="en-GB"/>
        </w:rPr>
        <w:t xml:space="preserve">types and durations of MCA training </w:t>
      </w:r>
    </w:p>
    <w:p w14:paraId="5EDFD2AD" w14:textId="48738725" w:rsidR="008B723C" w:rsidRPr="004D6B8B" w:rsidRDefault="008B723C" w:rsidP="008B723C">
      <w:pPr>
        <w:pStyle w:val="ListParagraph"/>
        <w:numPr>
          <w:ilvl w:val="0"/>
          <w:numId w:val="5"/>
        </w:numPr>
        <w:autoSpaceDE w:val="0"/>
        <w:autoSpaceDN w:val="0"/>
        <w:adjustRightInd w:val="0"/>
        <w:spacing w:after="0" w:line="240" w:lineRule="auto"/>
        <w:rPr>
          <w:rFonts w:cstheme="minorHAnsi"/>
          <w:sz w:val="24"/>
          <w:szCs w:val="24"/>
          <w:lang w:val="en-GB"/>
        </w:rPr>
      </w:pPr>
      <w:r w:rsidRPr="004D6B8B">
        <w:rPr>
          <w:rFonts w:cstheme="minorHAnsi"/>
          <w:sz w:val="24"/>
          <w:szCs w:val="24"/>
          <w:lang w:val="en-GB"/>
        </w:rPr>
        <w:t xml:space="preserve">training evaluation methods </w:t>
      </w:r>
    </w:p>
    <w:p w14:paraId="13147AC6" w14:textId="24F9BDD0" w:rsidR="008B723C" w:rsidRPr="004D6B8B" w:rsidRDefault="008B723C" w:rsidP="008B723C">
      <w:pPr>
        <w:pStyle w:val="ListParagraph"/>
        <w:numPr>
          <w:ilvl w:val="0"/>
          <w:numId w:val="5"/>
        </w:numPr>
        <w:autoSpaceDE w:val="0"/>
        <w:autoSpaceDN w:val="0"/>
        <w:adjustRightInd w:val="0"/>
        <w:spacing w:after="0" w:line="240" w:lineRule="auto"/>
        <w:rPr>
          <w:rFonts w:cstheme="minorHAnsi"/>
          <w:sz w:val="24"/>
          <w:szCs w:val="24"/>
          <w:lang w:val="en-GB"/>
        </w:rPr>
      </w:pPr>
      <w:r w:rsidRPr="004D6B8B">
        <w:rPr>
          <w:rFonts w:cstheme="minorHAnsi"/>
          <w:sz w:val="24"/>
          <w:szCs w:val="24"/>
          <w:lang w:val="en-GB"/>
        </w:rPr>
        <w:t xml:space="preserve">participant evaluation </w:t>
      </w:r>
    </w:p>
    <w:p w14:paraId="4BA22391" w14:textId="04723F16" w:rsidR="008B723C" w:rsidRPr="004D6B8B" w:rsidRDefault="008B723C" w:rsidP="008B723C">
      <w:pPr>
        <w:pStyle w:val="ListParagraph"/>
        <w:numPr>
          <w:ilvl w:val="0"/>
          <w:numId w:val="5"/>
        </w:numPr>
        <w:autoSpaceDE w:val="0"/>
        <w:autoSpaceDN w:val="0"/>
        <w:adjustRightInd w:val="0"/>
        <w:spacing w:after="0" w:line="240" w:lineRule="auto"/>
        <w:rPr>
          <w:rFonts w:cstheme="minorHAnsi"/>
          <w:sz w:val="24"/>
          <w:szCs w:val="24"/>
          <w:lang w:val="en-GB"/>
        </w:rPr>
      </w:pPr>
      <w:r w:rsidRPr="004D6B8B">
        <w:rPr>
          <w:rFonts w:cstheme="minorHAnsi"/>
          <w:sz w:val="24"/>
          <w:szCs w:val="24"/>
          <w:lang w:val="en-GB"/>
        </w:rPr>
        <w:t xml:space="preserve">impact of MCA training in practice </w:t>
      </w:r>
    </w:p>
    <w:p w14:paraId="2DEADB93" w14:textId="0CA797C2" w:rsidR="003264A0" w:rsidRPr="004D6B8B" w:rsidRDefault="003264A0" w:rsidP="003264A0">
      <w:pPr>
        <w:autoSpaceDE w:val="0"/>
        <w:autoSpaceDN w:val="0"/>
        <w:adjustRightInd w:val="0"/>
        <w:spacing w:after="0" w:line="240" w:lineRule="auto"/>
        <w:rPr>
          <w:rFonts w:cstheme="minorHAnsi"/>
          <w:sz w:val="24"/>
          <w:szCs w:val="24"/>
          <w:lang w:val="en-GB"/>
        </w:rPr>
      </w:pPr>
    </w:p>
    <w:p w14:paraId="1475A454" w14:textId="139ED670" w:rsidR="003264A0" w:rsidRPr="004D6B8B" w:rsidRDefault="003264A0" w:rsidP="003264A0">
      <w:pPr>
        <w:autoSpaceDE w:val="0"/>
        <w:autoSpaceDN w:val="0"/>
        <w:adjustRightInd w:val="0"/>
        <w:spacing w:after="0" w:line="240" w:lineRule="auto"/>
        <w:rPr>
          <w:rFonts w:cstheme="minorHAnsi"/>
          <w:sz w:val="24"/>
          <w:szCs w:val="24"/>
          <w:lang w:val="en-GB"/>
        </w:rPr>
      </w:pPr>
      <w:r w:rsidRPr="004D6B8B">
        <w:rPr>
          <w:rFonts w:cstheme="minorHAnsi"/>
          <w:sz w:val="24"/>
          <w:szCs w:val="24"/>
          <w:lang w:val="en-GB"/>
        </w:rPr>
        <w:t>This review is registered with PROSPERO, the international prospective register of systematic reviews (</w:t>
      </w:r>
      <w:r w:rsidR="002E6613" w:rsidRPr="004D6B8B">
        <w:rPr>
          <w:rFonts w:cstheme="minorHAnsi"/>
          <w:sz w:val="24"/>
          <w:szCs w:val="24"/>
          <w:lang w:val="en-GB"/>
        </w:rPr>
        <w:t>CRD42018094478</w:t>
      </w:r>
      <w:r w:rsidRPr="004D6B8B">
        <w:rPr>
          <w:rFonts w:cstheme="minorHAnsi"/>
          <w:sz w:val="24"/>
          <w:szCs w:val="24"/>
          <w:lang w:val="en-GB"/>
        </w:rPr>
        <w:t>).</w:t>
      </w:r>
    </w:p>
    <w:p w14:paraId="263B6105" w14:textId="77777777" w:rsidR="008B723C" w:rsidRPr="004D6B8B" w:rsidRDefault="008B723C" w:rsidP="008B723C">
      <w:pPr>
        <w:pStyle w:val="ListParagraph"/>
        <w:spacing w:after="160" w:line="259" w:lineRule="auto"/>
        <w:rPr>
          <w:rFonts w:cstheme="minorHAnsi"/>
          <w:strike/>
          <w:sz w:val="24"/>
          <w:szCs w:val="24"/>
        </w:rPr>
      </w:pPr>
    </w:p>
    <w:p w14:paraId="4F611924" w14:textId="4E765345" w:rsidR="397EC2D7" w:rsidRPr="004D6B8B" w:rsidRDefault="397EC2D7" w:rsidP="397EC2D7">
      <w:pPr>
        <w:rPr>
          <w:rFonts w:eastAsia="Times New Roman" w:cstheme="minorHAnsi"/>
          <w:bCs/>
          <w:sz w:val="24"/>
          <w:szCs w:val="24"/>
          <w:u w:val="single"/>
        </w:rPr>
      </w:pPr>
      <w:r w:rsidRPr="004D6B8B">
        <w:rPr>
          <w:rFonts w:eastAsia="Times New Roman" w:cstheme="minorHAnsi"/>
          <w:bCs/>
          <w:sz w:val="24"/>
          <w:szCs w:val="24"/>
          <w:u w:val="single"/>
        </w:rPr>
        <w:t>Design</w:t>
      </w:r>
    </w:p>
    <w:p w14:paraId="20481F83" w14:textId="5E077FAD" w:rsidR="008B723C" w:rsidRPr="004D6B8B" w:rsidRDefault="008B723C" w:rsidP="008B723C">
      <w:pPr>
        <w:rPr>
          <w:rFonts w:cstheme="minorHAnsi"/>
          <w:strike/>
          <w:sz w:val="24"/>
          <w:szCs w:val="24"/>
        </w:rPr>
      </w:pPr>
      <w:r w:rsidRPr="004D6B8B">
        <w:rPr>
          <w:rFonts w:cstheme="minorHAnsi"/>
          <w:sz w:val="24"/>
          <w:szCs w:val="24"/>
        </w:rPr>
        <w:t xml:space="preserve">We conducted </w:t>
      </w:r>
      <w:r w:rsidR="00336B3B" w:rsidRPr="004D6B8B">
        <w:rPr>
          <w:rFonts w:cstheme="minorHAnsi"/>
          <w:sz w:val="24"/>
          <w:szCs w:val="24"/>
        </w:rPr>
        <w:t xml:space="preserve">a </w:t>
      </w:r>
      <w:r w:rsidRPr="004D6B8B">
        <w:rPr>
          <w:rFonts w:cstheme="minorHAnsi"/>
          <w:sz w:val="24"/>
          <w:szCs w:val="24"/>
        </w:rPr>
        <w:t xml:space="preserve">systematic search to identify literature. As included studies were methodologically </w:t>
      </w:r>
      <w:r w:rsidR="008F2898" w:rsidRPr="004D6B8B">
        <w:rPr>
          <w:rFonts w:cstheme="minorHAnsi"/>
          <w:sz w:val="24"/>
          <w:szCs w:val="24"/>
        </w:rPr>
        <w:t>disparate,</w:t>
      </w:r>
      <w:r w:rsidRPr="004D6B8B">
        <w:rPr>
          <w:rFonts w:cstheme="minorHAnsi"/>
          <w:sz w:val="24"/>
          <w:szCs w:val="24"/>
        </w:rPr>
        <w:t xml:space="preserve"> we broadly adopted the approach of </w:t>
      </w:r>
      <w:proofErr w:type="spellStart"/>
      <w:r w:rsidRPr="004D6B8B">
        <w:rPr>
          <w:rFonts w:cstheme="minorHAnsi"/>
          <w:sz w:val="24"/>
          <w:szCs w:val="24"/>
        </w:rPr>
        <w:t>Popay</w:t>
      </w:r>
      <w:proofErr w:type="spellEnd"/>
      <w:r w:rsidR="00705C79" w:rsidRPr="004D6B8B">
        <w:rPr>
          <w:rFonts w:cstheme="minorHAnsi"/>
          <w:sz w:val="24"/>
          <w:szCs w:val="24"/>
        </w:rPr>
        <w:t xml:space="preserve">, Roberts, Sowden, </w:t>
      </w:r>
      <w:proofErr w:type="spellStart"/>
      <w:r w:rsidR="00705C79" w:rsidRPr="004D6B8B">
        <w:rPr>
          <w:rFonts w:cstheme="minorHAnsi"/>
          <w:sz w:val="24"/>
          <w:szCs w:val="24"/>
        </w:rPr>
        <w:t>Petticrew</w:t>
      </w:r>
      <w:proofErr w:type="spellEnd"/>
      <w:r w:rsidR="00705C79" w:rsidRPr="004D6B8B">
        <w:rPr>
          <w:rFonts w:cstheme="minorHAnsi"/>
          <w:sz w:val="24"/>
          <w:szCs w:val="24"/>
        </w:rPr>
        <w:t>, Arai, &amp; Rodgers, et al.</w:t>
      </w:r>
      <w:r w:rsidR="00916F92" w:rsidRPr="004D6B8B">
        <w:rPr>
          <w:rFonts w:cstheme="minorHAnsi"/>
          <w:sz w:val="24"/>
          <w:szCs w:val="24"/>
        </w:rPr>
        <w:t>,</w:t>
      </w:r>
      <w:r w:rsidR="00705C79" w:rsidRPr="004D6B8B">
        <w:rPr>
          <w:rFonts w:cstheme="minorHAnsi"/>
          <w:sz w:val="24"/>
          <w:szCs w:val="24"/>
        </w:rPr>
        <w:t xml:space="preserve"> </w:t>
      </w:r>
      <w:r w:rsidRPr="004D6B8B">
        <w:rPr>
          <w:rFonts w:cstheme="minorHAnsi"/>
          <w:sz w:val="24"/>
          <w:szCs w:val="24"/>
        </w:rPr>
        <w:t xml:space="preserve">(2006) to guide and structure our narrative synthesis and thus ‘tell the story’ of MCA training impact. Evidence was </w:t>
      </w:r>
      <w:proofErr w:type="spellStart"/>
      <w:r w:rsidRPr="004D6B8B">
        <w:rPr>
          <w:rFonts w:cstheme="minorHAnsi"/>
          <w:sz w:val="24"/>
          <w:szCs w:val="24"/>
        </w:rPr>
        <w:t>synthesised</w:t>
      </w:r>
      <w:proofErr w:type="spellEnd"/>
      <w:r w:rsidRPr="004D6B8B">
        <w:rPr>
          <w:rFonts w:cstheme="minorHAnsi"/>
          <w:sz w:val="24"/>
          <w:szCs w:val="24"/>
        </w:rPr>
        <w:t xml:space="preserve"> in three main stages:  developing initial synthesis of findings from identified relevant studies, exploring relationships within the findings and evaluating the strength of the </w:t>
      </w:r>
      <w:proofErr w:type="spellStart"/>
      <w:r w:rsidRPr="004D6B8B">
        <w:rPr>
          <w:rFonts w:cstheme="minorHAnsi"/>
          <w:sz w:val="24"/>
          <w:szCs w:val="24"/>
        </w:rPr>
        <w:t>synthesised</w:t>
      </w:r>
      <w:proofErr w:type="spellEnd"/>
      <w:r w:rsidRPr="004D6B8B">
        <w:rPr>
          <w:rFonts w:cstheme="minorHAnsi"/>
          <w:sz w:val="24"/>
          <w:szCs w:val="24"/>
        </w:rPr>
        <w:t xml:space="preserve"> outcome (</w:t>
      </w:r>
      <w:proofErr w:type="spellStart"/>
      <w:r w:rsidRPr="004D6B8B">
        <w:rPr>
          <w:rFonts w:cstheme="minorHAnsi"/>
          <w:sz w:val="24"/>
          <w:szCs w:val="24"/>
        </w:rPr>
        <w:t>Kastner</w:t>
      </w:r>
      <w:proofErr w:type="spellEnd"/>
      <w:r w:rsidR="00705C79" w:rsidRPr="004D6B8B">
        <w:rPr>
          <w:rFonts w:cstheme="minorHAnsi"/>
          <w:sz w:val="24"/>
          <w:szCs w:val="24"/>
        </w:rPr>
        <w:t xml:space="preserve">, Antony, </w:t>
      </w:r>
      <w:proofErr w:type="spellStart"/>
      <w:r w:rsidR="00705C79" w:rsidRPr="004D6B8B">
        <w:rPr>
          <w:rFonts w:cstheme="minorHAnsi"/>
          <w:sz w:val="24"/>
          <w:szCs w:val="24"/>
        </w:rPr>
        <w:t>Soobiah</w:t>
      </w:r>
      <w:proofErr w:type="spellEnd"/>
      <w:r w:rsidR="00705C79" w:rsidRPr="004D6B8B">
        <w:rPr>
          <w:rFonts w:cstheme="minorHAnsi"/>
          <w:sz w:val="24"/>
          <w:szCs w:val="24"/>
        </w:rPr>
        <w:t xml:space="preserve">, Straus, &amp; </w:t>
      </w:r>
      <w:proofErr w:type="spellStart"/>
      <w:r w:rsidR="00705C79" w:rsidRPr="004D6B8B">
        <w:rPr>
          <w:rFonts w:cstheme="minorHAnsi"/>
          <w:sz w:val="24"/>
          <w:szCs w:val="24"/>
        </w:rPr>
        <w:t>Tricco</w:t>
      </w:r>
      <w:proofErr w:type="spellEnd"/>
      <w:r w:rsidR="00705C79" w:rsidRPr="004D6B8B">
        <w:rPr>
          <w:rFonts w:cstheme="minorHAnsi"/>
          <w:sz w:val="24"/>
          <w:szCs w:val="24"/>
        </w:rPr>
        <w:t>,</w:t>
      </w:r>
      <w:r w:rsidRPr="004D6B8B">
        <w:rPr>
          <w:rFonts w:cstheme="minorHAnsi"/>
          <w:sz w:val="24"/>
          <w:szCs w:val="24"/>
        </w:rPr>
        <w:t xml:space="preserve"> 2016). </w:t>
      </w:r>
      <w:r w:rsidR="005F3235" w:rsidRPr="004D6B8B">
        <w:rPr>
          <w:rFonts w:cstheme="minorHAnsi"/>
          <w:sz w:val="24"/>
          <w:szCs w:val="24"/>
        </w:rPr>
        <w:t>Reporting followed the Preferred Reporting Items for Systematic Reviews and Meta‐Analyses (PRISMA) format. Please see</w:t>
      </w:r>
      <w:r w:rsidR="0080144C" w:rsidRPr="004D6B8B">
        <w:rPr>
          <w:rFonts w:cstheme="minorHAnsi"/>
          <w:sz w:val="24"/>
          <w:szCs w:val="24"/>
        </w:rPr>
        <w:t xml:space="preserve"> Figure 1 and </w:t>
      </w:r>
      <w:r w:rsidR="007A4BB6" w:rsidRPr="004D6B8B">
        <w:rPr>
          <w:rFonts w:cstheme="minorHAnsi"/>
          <w:sz w:val="24"/>
          <w:szCs w:val="24"/>
        </w:rPr>
        <w:t xml:space="preserve">Supplementary File 1. </w:t>
      </w:r>
    </w:p>
    <w:p w14:paraId="6744E1C2" w14:textId="6D50E7CE" w:rsidR="008B723C" w:rsidRPr="004D6B8B" w:rsidRDefault="008B723C" w:rsidP="008B723C">
      <w:pPr>
        <w:rPr>
          <w:rFonts w:eastAsia="Times New Roman" w:cstheme="minorHAnsi"/>
          <w:sz w:val="24"/>
          <w:szCs w:val="24"/>
        </w:rPr>
      </w:pPr>
      <w:r w:rsidRPr="004D6B8B">
        <w:rPr>
          <w:rFonts w:cstheme="minorHAnsi"/>
          <w:sz w:val="24"/>
          <w:szCs w:val="24"/>
        </w:rPr>
        <w:lastRenderedPageBreak/>
        <w:t>The review team comprised three nurses, one with expertise in the Mental Capacity Act and nurse education, one with expertise in the care of older people and qualitative research methodologies and one with expertise in research into dementia care education and mixed methods research, and a research assistant.</w:t>
      </w:r>
    </w:p>
    <w:p w14:paraId="18A4F2A8" w14:textId="3376CA7F" w:rsidR="397EC2D7" w:rsidRPr="004D6B8B" w:rsidRDefault="397EC2D7" w:rsidP="397EC2D7">
      <w:pPr>
        <w:rPr>
          <w:rFonts w:eastAsia="Times New Roman" w:cstheme="minorHAnsi"/>
          <w:bCs/>
          <w:sz w:val="24"/>
          <w:szCs w:val="24"/>
          <w:u w:val="single"/>
        </w:rPr>
      </w:pPr>
      <w:r w:rsidRPr="004D6B8B">
        <w:rPr>
          <w:rFonts w:eastAsia="Times New Roman" w:cstheme="minorHAnsi"/>
          <w:bCs/>
          <w:sz w:val="24"/>
          <w:szCs w:val="24"/>
          <w:u w:val="single"/>
        </w:rPr>
        <w:t>Search methods</w:t>
      </w:r>
    </w:p>
    <w:p w14:paraId="2DAF7686" w14:textId="04407401" w:rsidR="008B723C" w:rsidRPr="004D6B8B" w:rsidRDefault="0085142E" w:rsidP="008B723C">
      <w:pPr>
        <w:rPr>
          <w:rFonts w:cstheme="minorHAnsi"/>
          <w:sz w:val="24"/>
          <w:szCs w:val="24"/>
        </w:rPr>
      </w:pPr>
      <w:r w:rsidRPr="004D6B8B">
        <w:rPr>
          <w:rFonts w:eastAsia="Times New Roman" w:cstheme="minorHAnsi"/>
          <w:bCs/>
          <w:sz w:val="24"/>
          <w:szCs w:val="24"/>
        </w:rPr>
        <w:t xml:space="preserve">We searched the databases </w:t>
      </w:r>
      <w:bookmarkStart w:id="2" w:name="_Hlk526197876"/>
      <w:r w:rsidRPr="004D6B8B">
        <w:rPr>
          <w:rFonts w:cstheme="minorHAnsi"/>
          <w:sz w:val="24"/>
          <w:szCs w:val="24"/>
        </w:rPr>
        <w:t xml:space="preserve">CINAHL, Social Care Online, PubMed, Social Policy and Practice, Discover, Medline, Science Direct, Ovid, Social care online, </w:t>
      </w:r>
      <w:proofErr w:type="spellStart"/>
      <w:r w:rsidRPr="004D6B8B">
        <w:rPr>
          <w:rFonts w:cstheme="minorHAnsi"/>
          <w:sz w:val="24"/>
          <w:szCs w:val="24"/>
        </w:rPr>
        <w:t>PsycINFO</w:t>
      </w:r>
      <w:proofErr w:type="spellEnd"/>
      <w:r w:rsidRPr="004D6B8B">
        <w:rPr>
          <w:rFonts w:cstheme="minorHAnsi"/>
          <w:sz w:val="24"/>
          <w:szCs w:val="24"/>
        </w:rPr>
        <w:t>, ASSIA, Social Services Abstracts, Science Direct, Academic Search Premier, PubMed. Web of Science (all databases), British Nursing Index, DH-Data and King’s Fund Library Catalogue</w:t>
      </w:r>
      <w:bookmarkEnd w:id="2"/>
      <w:r w:rsidRPr="004D6B8B">
        <w:rPr>
          <w:rFonts w:cstheme="minorHAnsi"/>
          <w:sz w:val="24"/>
          <w:szCs w:val="24"/>
        </w:rPr>
        <w:t xml:space="preserve"> using the search terms Mental Capacity Act AND training OR education OR learning up to </w:t>
      </w:r>
      <w:r w:rsidR="00CB0B72" w:rsidRPr="004D6B8B">
        <w:rPr>
          <w:rFonts w:cstheme="minorHAnsi"/>
          <w:sz w:val="24"/>
          <w:szCs w:val="24"/>
        </w:rPr>
        <w:t>6</w:t>
      </w:r>
      <w:r w:rsidR="00CB0B72" w:rsidRPr="004D6B8B">
        <w:rPr>
          <w:rFonts w:cstheme="minorHAnsi"/>
          <w:sz w:val="24"/>
          <w:szCs w:val="24"/>
          <w:vertAlign w:val="superscript"/>
        </w:rPr>
        <w:t>th</w:t>
      </w:r>
      <w:r w:rsidR="00CB0B72" w:rsidRPr="004D6B8B">
        <w:rPr>
          <w:rFonts w:cstheme="minorHAnsi"/>
          <w:sz w:val="24"/>
          <w:szCs w:val="24"/>
        </w:rPr>
        <w:t xml:space="preserve"> December 2019</w:t>
      </w:r>
      <w:r w:rsidRPr="004D6B8B">
        <w:rPr>
          <w:rFonts w:cstheme="minorHAnsi"/>
          <w:sz w:val="24"/>
          <w:szCs w:val="24"/>
        </w:rPr>
        <w:t>. Limiters were articles published in English language and post 2007 as the MCA applies only to England and Wales and was enacted in this year, so training would not pre-date this.</w:t>
      </w:r>
      <w:r w:rsidR="008B723C" w:rsidRPr="004D6B8B">
        <w:rPr>
          <w:rFonts w:cstheme="minorHAnsi"/>
          <w:sz w:val="24"/>
          <w:szCs w:val="24"/>
        </w:rPr>
        <w:t xml:space="preserve"> For completeness we used forward and backward citation searching and hand-searching selected journals.</w:t>
      </w:r>
    </w:p>
    <w:p w14:paraId="55BA749C" w14:textId="41D94134" w:rsidR="0085142E" w:rsidRPr="004D6B8B" w:rsidRDefault="0085142E" w:rsidP="0085142E">
      <w:pPr>
        <w:rPr>
          <w:rFonts w:cstheme="minorHAnsi"/>
          <w:i/>
          <w:sz w:val="24"/>
          <w:szCs w:val="24"/>
        </w:rPr>
      </w:pPr>
      <w:r w:rsidRPr="004D6B8B">
        <w:rPr>
          <w:rFonts w:cstheme="minorHAnsi"/>
          <w:i/>
          <w:sz w:val="24"/>
          <w:szCs w:val="24"/>
        </w:rPr>
        <w:t xml:space="preserve">Inclusion criteria </w:t>
      </w:r>
    </w:p>
    <w:p w14:paraId="71549DE6" w14:textId="77777777" w:rsidR="0085142E" w:rsidRPr="004D6B8B" w:rsidRDefault="0085142E" w:rsidP="0085142E">
      <w:pPr>
        <w:pStyle w:val="ListParagraph"/>
        <w:numPr>
          <w:ilvl w:val="0"/>
          <w:numId w:val="4"/>
        </w:numPr>
        <w:rPr>
          <w:rFonts w:cstheme="minorHAnsi"/>
          <w:sz w:val="24"/>
          <w:szCs w:val="24"/>
        </w:rPr>
      </w:pPr>
      <w:r w:rsidRPr="004D6B8B">
        <w:rPr>
          <w:rFonts w:cstheme="minorHAnsi"/>
          <w:sz w:val="24"/>
          <w:szCs w:val="24"/>
        </w:rPr>
        <w:t xml:space="preserve">Empirical studies </w:t>
      </w:r>
    </w:p>
    <w:p w14:paraId="46A742DA" w14:textId="170A64A6" w:rsidR="0085142E" w:rsidRPr="004D6B8B" w:rsidRDefault="0085142E" w:rsidP="0085142E">
      <w:pPr>
        <w:pStyle w:val="ListParagraph"/>
        <w:numPr>
          <w:ilvl w:val="0"/>
          <w:numId w:val="4"/>
        </w:numPr>
        <w:rPr>
          <w:rFonts w:cstheme="minorHAnsi"/>
          <w:sz w:val="24"/>
          <w:szCs w:val="24"/>
        </w:rPr>
      </w:pPr>
      <w:r w:rsidRPr="004D6B8B">
        <w:rPr>
          <w:rFonts w:cstheme="minorHAnsi"/>
          <w:sz w:val="24"/>
          <w:szCs w:val="24"/>
        </w:rPr>
        <w:t>Evaluating MCA training for health and social care staff</w:t>
      </w:r>
    </w:p>
    <w:p w14:paraId="218466AB" w14:textId="2DE92040" w:rsidR="397EC2D7" w:rsidRPr="004D6B8B" w:rsidRDefault="397EC2D7" w:rsidP="397EC2D7">
      <w:pPr>
        <w:rPr>
          <w:rFonts w:eastAsia="Times New Roman" w:cstheme="minorHAnsi"/>
          <w:bCs/>
          <w:sz w:val="24"/>
          <w:szCs w:val="24"/>
          <w:u w:val="single"/>
        </w:rPr>
      </w:pPr>
      <w:r w:rsidRPr="004D6B8B">
        <w:rPr>
          <w:rFonts w:eastAsia="Times New Roman" w:cstheme="minorHAnsi"/>
          <w:bCs/>
          <w:sz w:val="24"/>
          <w:szCs w:val="24"/>
          <w:u w:val="single"/>
        </w:rPr>
        <w:t>Search outcomes</w:t>
      </w:r>
    </w:p>
    <w:p w14:paraId="3820133D" w14:textId="3D75F47D" w:rsidR="0085142E" w:rsidRPr="004D6B8B" w:rsidRDefault="008F2898" w:rsidP="0085142E">
      <w:pPr>
        <w:rPr>
          <w:rFonts w:cstheme="minorHAnsi"/>
          <w:sz w:val="24"/>
          <w:szCs w:val="24"/>
        </w:rPr>
      </w:pPr>
      <w:r w:rsidRPr="004D6B8B">
        <w:rPr>
          <w:rFonts w:cstheme="minorHAnsi"/>
          <w:sz w:val="24"/>
          <w:szCs w:val="24"/>
        </w:rPr>
        <w:t>The i</w:t>
      </w:r>
      <w:r w:rsidR="0085142E" w:rsidRPr="004D6B8B">
        <w:rPr>
          <w:rFonts w:cstheme="minorHAnsi"/>
          <w:sz w:val="24"/>
          <w:szCs w:val="24"/>
        </w:rPr>
        <w:t>nitial search yielded 16</w:t>
      </w:r>
      <w:r w:rsidR="00F47ADD" w:rsidRPr="004D6B8B">
        <w:rPr>
          <w:rFonts w:cstheme="minorHAnsi"/>
          <w:sz w:val="24"/>
          <w:szCs w:val="24"/>
        </w:rPr>
        <w:t>2</w:t>
      </w:r>
      <w:r w:rsidR="0085142E" w:rsidRPr="004D6B8B">
        <w:rPr>
          <w:rFonts w:cstheme="minorHAnsi"/>
          <w:sz w:val="24"/>
          <w:szCs w:val="24"/>
        </w:rPr>
        <w:t xml:space="preserve"> </w:t>
      </w:r>
      <w:r w:rsidRPr="004D6B8B">
        <w:rPr>
          <w:rFonts w:cstheme="minorHAnsi"/>
          <w:sz w:val="24"/>
          <w:szCs w:val="24"/>
        </w:rPr>
        <w:t>papers;</w:t>
      </w:r>
      <w:r w:rsidR="008B723C" w:rsidRPr="004D6B8B">
        <w:rPr>
          <w:rFonts w:cstheme="minorHAnsi"/>
          <w:sz w:val="24"/>
          <w:szCs w:val="24"/>
        </w:rPr>
        <w:t xml:space="preserve"> </w:t>
      </w:r>
      <w:r w:rsidR="0085142E" w:rsidRPr="004D6B8B">
        <w:rPr>
          <w:rFonts w:cstheme="minorHAnsi"/>
          <w:sz w:val="24"/>
          <w:szCs w:val="24"/>
        </w:rPr>
        <w:t>with de-duplication this w</w:t>
      </w:r>
      <w:r w:rsidR="002203EB" w:rsidRPr="004D6B8B">
        <w:rPr>
          <w:rFonts w:cstheme="minorHAnsi"/>
          <w:sz w:val="24"/>
          <w:szCs w:val="24"/>
        </w:rPr>
        <w:t>as reduced to 5</w:t>
      </w:r>
      <w:r w:rsidR="00F47ADD" w:rsidRPr="004D6B8B">
        <w:rPr>
          <w:rFonts w:cstheme="minorHAnsi"/>
          <w:sz w:val="24"/>
          <w:szCs w:val="24"/>
        </w:rPr>
        <w:t>4</w:t>
      </w:r>
      <w:r w:rsidR="002203EB" w:rsidRPr="004D6B8B">
        <w:rPr>
          <w:rFonts w:cstheme="minorHAnsi"/>
          <w:sz w:val="24"/>
          <w:szCs w:val="24"/>
        </w:rPr>
        <w:t>. One author (xx</w:t>
      </w:r>
      <w:r w:rsidR="0085142E" w:rsidRPr="004D6B8B">
        <w:rPr>
          <w:rFonts w:cstheme="minorHAnsi"/>
          <w:sz w:val="24"/>
          <w:szCs w:val="24"/>
        </w:rPr>
        <w:t>) screened title and abstract and excluded clearly irrelevant papers</w:t>
      </w:r>
      <w:r w:rsidR="008B723C" w:rsidRPr="004D6B8B">
        <w:rPr>
          <w:rFonts w:cstheme="minorHAnsi"/>
          <w:sz w:val="24"/>
          <w:szCs w:val="24"/>
        </w:rPr>
        <w:t xml:space="preserve"> (n=31)</w:t>
      </w:r>
      <w:r w:rsidR="0085142E" w:rsidRPr="004D6B8B">
        <w:rPr>
          <w:rFonts w:cstheme="minorHAnsi"/>
          <w:sz w:val="24"/>
          <w:szCs w:val="24"/>
        </w:rPr>
        <w:t>.</w:t>
      </w:r>
      <w:r w:rsidR="008B723C" w:rsidRPr="004D6B8B">
        <w:rPr>
          <w:rFonts w:cstheme="minorHAnsi"/>
          <w:sz w:val="24"/>
          <w:szCs w:val="24"/>
        </w:rPr>
        <w:t xml:space="preserve"> The remaining full-texts (n=2</w:t>
      </w:r>
      <w:r w:rsidR="00F47ADD" w:rsidRPr="004D6B8B">
        <w:rPr>
          <w:rFonts w:cstheme="minorHAnsi"/>
          <w:sz w:val="24"/>
          <w:szCs w:val="24"/>
        </w:rPr>
        <w:t>3</w:t>
      </w:r>
      <w:r w:rsidR="008B723C" w:rsidRPr="004D6B8B">
        <w:rPr>
          <w:rFonts w:cstheme="minorHAnsi"/>
          <w:sz w:val="24"/>
          <w:szCs w:val="24"/>
        </w:rPr>
        <w:t xml:space="preserve">) </w:t>
      </w:r>
      <w:r w:rsidR="002203EB" w:rsidRPr="004D6B8B">
        <w:rPr>
          <w:rFonts w:cstheme="minorHAnsi"/>
          <w:sz w:val="24"/>
          <w:szCs w:val="24"/>
        </w:rPr>
        <w:t>were screened by two authors (xx, xx</w:t>
      </w:r>
      <w:r w:rsidR="008B723C" w:rsidRPr="004D6B8B">
        <w:rPr>
          <w:rFonts w:cstheme="minorHAnsi"/>
          <w:sz w:val="24"/>
          <w:szCs w:val="24"/>
        </w:rPr>
        <w:t xml:space="preserve">). In the event of </w:t>
      </w:r>
      <w:r w:rsidR="00275BFC" w:rsidRPr="004D6B8B">
        <w:rPr>
          <w:rFonts w:cstheme="minorHAnsi"/>
          <w:sz w:val="24"/>
          <w:szCs w:val="24"/>
        </w:rPr>
        <w:t>disagreement,</w:t>
      </w:r>
      <w:r w:rsidR="008B723C" w:rsidRPr="004D6B8B">
        <w:rPr>
          <w:rFonts w:cstheme="minorHAnsi"/>
          <w:sz w:val="24"/>
          <w:szCs w:val="24"/>
        </w:rPr>
        <w:t xml:space="preserve"> we had planned to consult with other co-authors. One further paper was identified from reference checking of included papers. </w:t>
      </w:r>
      <w:r w:rsidR="0085142E" w:rsidRPr="004D6B8B">
        <w:rPr>
          <w:rFonts w:cstheme="minorHAnsi"/>
          <w:sz w:val="24"/>
          <w:szCs w:val="24"/>
        </w:rPr>
        <w:t xml:space="preserve"> </w:t>
      </w:r>
      <w:r w:rsidR="008B723C" w:rsidRPr="004D6B8B">
        <w:rPr>
          <w:rFonts w:cstheme="minorHAnsi"/>
          <w:sz w:val="24"/>
          <w:szCs w:val="24"/>
        </w:rPr>
        <w:t xml:space="preserve">A total of </w:t>
      </w:r>
      <w:r w:rsidR="006A6361" w:rsidRPr="004D6B8B">
        <w:rPr>
          <w:rFonts w:cstheme="minorHAnsi"/>
          <w:sz w:val="24"/>
          <w:szCs w:val="24"/>
        </w:rPr>
        <w:t>1</w:t>
      </w:r>
      <w:r w:rsidR="00F47ADD" w:rsidRPr="004D6B8B">
        <w:rPr>
          <w:rFonts w:cstheme="minorHAnsi"/>
          <w:sz w:val="24"/>
          <w:szCs w:val="24"/>
        </w:rPr>
        <w:t>6</w:t>
      </w:r>
      <w:r w:rsidR="008B723C" w:rsidRPr="004D6B8B">
        <w:rPr>
          <w:rFonts w:cstheme="minorHAnsi"/>
          <w:sz w:val="24"/>
          <w:szCs w:val="24"/>
        </w:rPr>
        <w:t xml:space="preserve"> papers are included.</w:t>
      </w:r>
      <w:r w:rsidR="00CC67CD" w:rsidRPr="004D6B8B">
        <w:rPr>
          <w:rFonts w:cstheme="minorHAnsi"/>
          <w:sz w:val="24"/>
          <w:szCs w:val="24"/>
        </w:rPr>
        <w:t xml:space="preserve"> Stages of the search are documented in </w:t>
      </w:r>
      <w:r w:rsidR="00781D30" w:rsidRPr="004D6B8B">
        <w:rPr>
          <w:rFonts w:cstheme="minorHAnsi"/>
          <w:sz w:val="24"/>
          <w:szCs w:val="24"/>
        </w:rPr>
        <w:t>a PRISMA flowchart (Moher</w:t>
      </w:r>
      <w:r w:rsidR="00705C79" w:rsidRPr="004D6B8B">
        <w:rPr>
          <w:rFonts w:cstheme="minorHAnsi"/>
          <w:sz w:val="24"/>
          <w:szCs w:val="24"/>
        </w:rPr>
        <w:t xml:space="preserve">, </w:t>
      </w:r>
      <w:proofErr w:type="spellStart"/>
      <w:r w:rsidR="00705C79" w:rsidRPr="004D6B8B">
        <w:rPr>
          <w:rFonts w:cstheme="minorHAnsi"/>
          <w:sz w:val="24"/>
          <w:szCs w:val="24"/>
        </w:rPr>
        <w:t>Liberati</w:t>
      </w:r>
      <w:proofErr w:type="spellEnd"/>
      <w:r w:rsidR="00705C79" w:rsidRPr="004D6B8B">
        <w:rPr>
          <w:rFonts w:cstheme="minorHAnsi"/>
          <w:sz w:val="24"/>
          <w:szCs w:val="24"/>
        </w:rPr>
        <w:t xml:space="preserve">, </w:t>
      </w:r>
      <w:proofErr w:type="spellStart"/>
      <w:r w:rsidR="00705C79" w:rsidRPr="004D6B8B">
        <w:rPr>
          <w:rFonts w:cstheme="minorHAnsi"/>
          <w:sz w:val="24"/>
          <w:szCs w:val="24"/>
        </w:rPr>
        <w:t>Tetzlaff</w:t>
      </w:r>
      <w:proofErr w:type="spellEnd"/>
      <w:r w:rsidR="00705C79" w:rsidRPr="004D6B8B">
        <w:rPr>
          <w:rFonts w:cstheme="minorHAnsi"/>
          <w:sz w:val="24"/>
          <w:szCs w:val="24"/>
        </w:rPr>
        <w:t>, Altman,</w:t>
      </w:r>
      <w:r w:rsidR="003671A3" w:rsidRPr="004D6B8B">
        <w:rPr>
          <w:rFonts w:cstheme="minorHAnsi"/>
          <w:sz w:val="24"/>
          <w:szCs w:val="24"/>
        </w:rPr>
        <w:t xml:space="preserve"> &amp;</w:t>
      </w:r>
      <w:r w:rsidR="00705C79" w:rsidRPr="004D6B8B">
        <w:rPr>
          <w:rFonts w:cstheme="minorHAnsi"/>
          <w:sz w:val="24"/>
          <w:szCs w:val="24"/>
        </w:rPr>
        <w:t xml:space="preserve"> PRISMA Group,</w:t>
      </w:r>
      <w:r w:rsidR="00781D30" w:rsidRPr="004D6B8B">
        <w:rPr>
          <w:rFonts w:cstheme="minorHAnsi"/>
          <w:sz w:val="24"/>
          <w:szCs w:val="24"/>
        </w:rPr>
        <w:t xml:space="preserve"> 2009) (</w:t>
      </w:r>
      <w:r w:rsidR="00CC67CD" w:rsidRPr="004D6B8B">
        <w:rPr>
          <w:rFonts w:cstheme="minorHAnsi"/>
          <w:sz w:val="24"/>
          <w:szCs w:val="24"/>
        </w:rPr>
        <w:t>Figure 1</w:t>
      </w:r>
      <w:r w:rsidR="00781D30" w:rsidRPr="004D6B8B">
        <w:rPr>
          <w:rFonts w:cstheme="minorHAnsi"/>
          <w:sz w:val="24"/>
          <w:szCs w:val="24"/>
        </w:rPr>
        <w:t>)</w:t>
      </w:r>
      <w:r w:rsidR="00CC67CD" w:rsidRPr="004D6B8B">
        <w:rPr>
          <w:rFonts w:cstheme="minorHAnsi"/>
          <w:sz w:val="24"/>
          <w:szCs w:val="24"/>
        </w:rPr>
        <w:t>.</w:t>
      </w:r>
    </w:p>
    <w:p w14:paraId="64E86FAC" w14:textId="49B66CF3" w:rsidR="397EC2D7" w:rsidRPr="004D6B8B" w:rsidRDefault="397EC2D7" w:rsidP="397EC2D7">
      <w:pPr>
        <w:rPr>
          <w:rFonts w:eastAsia="Times New Roman" w:cstheme="minorHAnsi"/>
          <w:bCs/>
          <w:sz w:val="24"/>
          <w:szCs w:val="24"/>
          <w:u w:val="single"/>
        </w:rPr>
      </w:pPr>
      <w:r w:rsidRPr="004D6B8B">
        <w:rPr>
          <w:rFonts w:eastAsia="Times New Roman" w:cstheme="minorHAnsi"/>
          <w:bCs/>
          <w:sz w:val="24"/>
          <w:szCs w:val="24"/>
          <w:u w:val="single"/>
        </w:rPr>
        <w:t>Quality appraisal</w:t>
      </w:r>
    </w:p>
    <w:p w14:paraId="2F82FD31" w14:textId="5CA298CB" w:rsidR="00CC67CD" w:rsidRPr="004D6B8B" w:rsidRDefault="00CC67CD" w:rsidP="008B723C">
      <w:pPr>
        <w:rPr>
          <w:rFonts w:eastAsia="Times New Roman" w:cstheme="minorHAnsi"/>
          <w:bCs/>
          <w:sz w:val="24"/>
          <w:szCs w:val="24"/>
        </w:rPr>
      </w:pPr>
      <w:r w:rsidRPr="004D6B8B">
        <w:rPr>
          <w:rFonts w:eastAsia="Times New Roman" w:cstheme="minorHAnsi"/>
          <w:sz w:val="24"/>
          <w:szCs w:val="24"/>
        </w:rPr>
        <w:t xml:space="preserve">Quality of included papers was assessed using the Hawker checklist which is </w:t>
      </w:r>
      <w:r w:rsidR="00ED17AC" w:rsidRPr="004D6B8B">
        <w:rPr>
          <w:rFonts w:eastAsia="Times New Roman" w:cstheme="minorHAnsi"/>
          <w:sz w:val="24"/>
          <w:szCs w:val="24"/>
        </w:rPr>
        <w:t xml:space="preserve">adaptable and </w:t>
      </w:r>
      <w:r w:rsidRPr="004D6B8B">
        <w:rPr>
          <w:rFonts w:eastAsia="Times New Roman" w:cstheme="minorHAnsi"/>
          <w:sz w:val="24"/>
          <w:szCs w:val="24"/>
        </w:rPr>
        <w:t xml:space="preserve">designed </w:t>
      </w:r>
      <w:r w:rsidR="0017061A" w:rsidRPr="004D6B8B">
        <w:rPr>
          <w:rFonts w:eastAsia="Times New Roman" w:cstheme="minorHAnsi"/>
          <w:sz w:val="24"/>
          <w:szCs w:val="24"/>
        </w:rPr>
        <w:t xml:space="preserve">specifically </w:t>
      </w:r>
      <w:r w:rsidRPr="004D6B8B">
        <w:rPr>
          <w:rFonts w:eastAsia="Times New Roman" w:cstheme="minorHAnsi"/>
          <w:sz w:val="24"/>
          <w:szCs w:val="24"/>
        </w:rPr>
        <w:t>for reviewing disparate data systematically (Hawker</w:t>
      </w:r>
      <w:r w:rsidR="00EC37DD" w:rsidRPr="004D6B8B">
        <w:rPr>
          <w:rFonts w:eastAsia="Times New Roman" w:cstheme="minorHAnsi"/>
          <w:sz w:val="24"/>
          <w:szCs w:val="24"/>
        </w:rPr>
        <w:t xml:space="preserve">, </w:t>
      </w:r>
      <w:r w:rsidR="00EC37DD" w:rsidRPr="004D6B8B">
        <w:rPr>
          <w:rFonts w:cstheme="minorHAnsi"/>
          <w:sz w:val="24"/>
          <w:szCs w:val="24"/>
        </w:rPr>
        <w:t xml:space="preserve">Payne, Kerr, </w:t>
      </w:r>
      <w:proofErr w:type="spellStart"/>
      <w:r w:rsidR="00EC37DD" w:rsidRPr="004D6B8B">
        <w:rPr>
          <w:rFonts w:cstheme="minorHAnsi"/>
          <w:sz w:val="24"/>
          <w:szCs w:val="24"/>
        </w:rPr>
        <w:t>Hardey</w:t>
      </w:r>
      <w:proofErr w:type="spellEnd"/>
      <w:r w:rsidR="00EC37DD" w:rsidRPr="004D6B8B">
        <w:rPr>
          <w:rFonts w:cstheme="minorHAnsi"/>
          <w:sz w:val="24"/>
          <w:szCs w:val="24"/>
        </w:rPr>
        <w:t>, &amp; Powell,</w:t>
      </w:r>
      <w:r w:rsidRPr="004D6B8B">
        <w:rPr>
          <w:rFonts w:eastAsia="Times New Roman" w:cstheme="minorHAnsi"/>
          <w:sz w:val="24"/>
          <w:szCs w:val="24"/>
        </w:rPr>
        <w:t xml:space="preserve"> 2002). It comprises nine questions each with a score range of 1-4 with 4 being the highest. Scores ranged from 13-3</w:t>
      </w:r>
      <w:r w:rsidR="00E11B7B" w:rsidRPr="004D6B8B">
        <w:rPr>
          <w:rFonts w:eastAsia="Times New Roman" w:cstheme="minorHAnsi"/>
          <w:sz w:val="24"/>
          <w:szCs w:val="24"/>
        </w:rPr>
        <w:t>6</w:t>
      </w:r>
      <w:r w:rsidRPr="004D6B8B">
        <w:rPr>
          <w:rFonts w:eastAsia="Times New Roman" w:cstheme="minorHAnsi"/>
          <w:sz w:val="24"/>
          <w:szCs w:val="24"/>
        </w:rPr>
        <w:t xml:space="preserve">. </w:t>
      </w:r>
      <w:r w:rsidR="00F47ADD" w:rsidRPr="004D6B8B">
        <w:rPr>
          <w:rFonts w:eastAsia="Times New Roman" w:cstheme="minorHAnsi"/>
          <w:bCs/>
          <w:sz w:val="24"/>
          <w:szCs w:val="24"/>
        </w:rPr>
        <w:t>Four</w:t>
      </w:r>
      <w:r w:rsidRPr="004D6B8B">
        <w:rPr>
          <w:rFonts w:eastAsia="Times New Roman" w:cstheme="minorHAnsi"/>
          <w:bCs/>
          <w:i/>
          <w:sz w:val="24"/>
          <w:szCs w:val="24"/>
        </w:rPr>
        <w:t xml:space="preserve"> </w:t>
      </w:r>
      <w:r w:rsidRPr="004D6B8B">
        <w:rPr>
          <w:rFonts w:eastAsia="Times New Roman" w:cstheme="minorHAnsi"/>
          <w:bCs/>
          <w:sz w:val="24"/>
          <w:szCs w:val="24"/>
        </w:rPr>
        <w:t xml:space="preserve">papers (Schofield, Di </w:t>
      </w:r>
      <w:proofErr w:type="spellStart"/>
      <w:r w:rsidRPr="004D6B8B">
        <w:rPr>
          <w:rFonts w:eastAsia="Times New Roman" w:cstheme="minorHAnsi"/>
          <w:bCs/>
          <w:sz w:val="24"/>
          <w:szCs w:val="24"/>
        </w:rPr>
        <w:t>Mambro</w:t>
      </w:r>
      <w:proofErr w:type="spellEnd"/>
      <w:r w:rsidRPr="004D6B8B">
        <w:rPr>
          <w:rFonts w:eastAsia="Times New Roman" w:cstheme="minorHAnsi"/>
          <w:bCs/>
          <w:sz w:val="24"/>
          <w:szCs w:val="24"/>
        </w:rPr>
        <w:t xml:space="preserve"> </w:t>
      </w:r>
      <w:r w:rsidR="00EC37DD" w:rsidRPr="004D6B8B">
        <w:rPr>
          <w:rFonts w:eastAsia="Times New Roman" w:cstheme="minorHAnsi"/>
          <w:bCs/>
          <w:sz w:val="24"/>
          <w:szCs w:val="24"/>
        </w:rPr>
        <w:t>&amp;</w:t>
      </w:r>
      <w:r w:rsidRPr="004D6B8B">
        <w:rPr>
          <w:rFonts w:eastAsia="Times New Roman" w:cstheme="minorHAnsi"/>
          <w:bCs/>
          <w:sz w:val="24"/>
          <w:szCs w:val="24"/>
        </w:rPr>
        <w:t xml:space="preserve"> Schofield</w:t>
      </w:r>
      <w:r w:rsidR="00EC37DD" w:rsidRPr="004D6B8B">
        <w:rPr>
          <w:rFonts w:eastAsia="Times New Roman" w:cstheme="minorHAnsi"/>
          <w:bCs/>
          <w:sz w:val="24"/>
          <w:szCs w:val="24"/>
        </w:rPr>
        <w:t>,</w:t>
      </w:r>
      <w:r w:rsidRPr="004D6B8B">
        <w:rPr>
          <w:rFonts w:eastAsia="Times New Roman" w:cstheme="minorHAnsi"/>
          <w:bCs/>
          <w:sz w:val="24"/>
          <w:szCs w:val="24"/>
        </w:rPr>
        <w:t xml:space="preserve"> </w:t>
      </w:r>
      <w:r w:rsidR="00981EBF" w:rsidRPr="004D6B8B">
        <w:rPr>
          <w:rFonts w:eastAsia="Times New Roman" w:cstheme="minorHAnsi"/>
          <w:bCs/>
          <w:sz w:val="24"/>
          <w:szCs w:val="24"/>
        </w:rPr>
        <w:t xml:space="preserve">2012; </w:t>
      </w:r>
      <w:proofErr w:type="spellStart"/>
      <w:r w:rsidR="00981EBF" w:rsidRPr="004D6B8B">
        <w:rPr>
          <w:rFonts w:eastAsia="Times New Roman" w:cstheme="minorHAnsi"/>
          <w:bCs/>
          <w:sz w:val="24"/>
          <w:szCs w:val="24"/>
        </w:rPr>
        <w:t>Willner</w:t>
      </w:r>
      <w:proofErr w:type="spellEnd"/>
      <w:r w:rsidR="00EC37DD" w:rsidRPr="004D6B8B">
        <w:rPr>
          <w:rFonts w:cstheme="minorHAnsi"/>
        </w:rPr>
        <w:t xml:space="preserve">, </w:t>
      </w:r>
      <w:r w:rsidR="00EC37DD" w:rsidRPr="004D6B8B">
        <w:rPr>
          <w:rFonts w:cstheme="minorHAnsi"/>
          <w:sz w:val="24"/>
          <w:szCs w:val="24"/>
        </w:rPr>
        <w:t>Bridle, Dymond, &amp; Lewis</w:t>
      </w:r>
      <w:proofErr w:type="gramStart"/>
      <w:r w:rsidR="00EC37DD" w:rsidRPr="004D6B8B">
        <w:rPr>
          <w:rFonts w:eastAsia="Times New Roman" w:cstheme="minorHAnsi"/>
          <w:bCs/>
          <w:sz w:val="24"/>
          <w:szCs w:val="24"/>
        </w:rPr>
        <w:t xml:space="preserve">, </w:t>
      </w:r>
      <w:r w:rsidRPr="004D6B8B">
        <w:rPr>
          <w:rFonts w:eastAsia="Times New Roman" w:cstheme="minorHAnsi"/>
          <w:bCs/>
          <w:sz w:val="24"/>
          <w:szCs w:val="24"/>
        </w:rPr>
        <w:t xml:space="preserve"> 2011</w:t>
      </w:r>
      <w:proofErr w:type="gramEnd"/>
      <w:r w:rsidR="00EC37DD" w:rsidRPr="004D6B8B">
        <w:rPr>
          <w:rFonts w:eastAsia="Times New Roman" w:cstheme="minorHAnsi"/>
          <w:bCs/>
          <w:sz w:val="24"/>
          <w:szCs w:val="24"/>
        </w:rPr>
        <w:t>;</w:t>
      </w:r>
      <w:r w:rsidRPr="004D6B8B">
        <w:rPr>
          <w:rFonts w:eastAsia="Times New Roman" w:cstheme="minorHAnsi"/>
          <w:bCs/>
          <w:sz w:val="24"/>
          <w:szCs w:val="24"/>
        </w:rPr>
        <w:t xml:space="preserve"> </w:t>
      </w:r>
      <w:proofErr w:type="spellStart"/>
      <w:r w:rsidRPr="004D6B8B">
        <w:rPr>
          <w:rFonts w:eastAsia="Times New Roman" w:cstheme="minorHAnsi"/>
          <w:bCs/>
          <w:sz w:val="24"/>
          <w:szCs w:val="24"/>
        </w:rPr>
        <w:t>Willner</w:t>
      </w:r>
      <w:proofErr w:type="spellEnd"/>
      <w:r w:rsidR="00EC37DD" w:rsidRPr="004D6B8B">
        <w:rPr>
          <w:rFonts w:eastAsia="Times New Roman" w:cstheme="minorHAnsi"/>
          <w:bCs/>
          <w:sz w:val="24"/>
          <w:szCs w:val="24"/>
        </w:rPr>
        <w:t xml:space="preserve">, </w:t>
      </w:r>
      <w:r w:rsidR="00EC37DD" w:rsidRPr="004D6B8B">
        <w:rPr>
          <w:rFonts w:cstheme="minorHAnsi"/>
          <w:sz w:val="24"/>
          <w:szCs w:val="24"/>
        </w:rPr>
        <w:t xml:space="preserve">Bridle, Price, Dymond, &amp; Lewis, </w:t>
      </w:r>
      <w:r w:rsidRPr="004D6B8B">
        <w:rPr>
          <w:rFonts w:eastAsia="Times New Roman" w:cstheme="minorHAnsi"/>
          <w:bCs/>
          <w:sz w:val="24"/>
          <w:szCs w:val="24"/>
        </w:rPr>
        <w:t xml:space="preserve"> 2013</w:t>
      </w:r>
      <w:r w:rsidR="00F47ADD" w:rsidRPr="004D6B8B">
        <w:rPr>
          <w:rFonts w:eastAsia="Times New Roman" w:cstheme="minorHAnsi"/>
          <w:bCs/>
          <w:sz w:val="24"/>
          <w:szCs w:val="24"/>
        </w:rPr>
        <w:t xml:space="preserve">; Bose &amp; </w:t>
      </w:r>
      <w:proofErr w:type="spellStart"/>
      <w:r w:rsidR="00F47ADD" w:rsidRPr="004D6B8B">
        <w:rPr>
          <w:rFonts w:eastAsia="Times New Roman" w:cstheme="minorHAnsi"/>
          <w:bCs/>
          <w:sz w:val="24"/>
          <w:szCs w:val="24"/>
        </w:rPr>
        <w:t>McLiggans</w:t>
      </w:r>
      <w:proofErr w:type="spellEnd"/>
      <w:r w:rsidR="00F47ADD" w:rsidRPr="004D6B8B">
        <w:rPr>
          <w:rFonts w:eastAsia="Times New Roman" w:cstheme="minorHAnsi"/>
          <w:bCs/>
          <w:sz w:val="24"/>
          <w:szCs w:val="24"/>
        </w:rPr>
        <w:t xml:space="preserve"> 2019</w:t>
      </w:r>
      <w:r w:rsidRPr="004D6B8B">
        <w:rPr>
          <w:rFonts w:eastAsia="Times New Roman" w:cstheme="minorHAnsi"/>
          <w:bCs/>
          <w:sz w:val="24"/>
          <w:szCs w:val="24"/>
        </w:rPr>
        <w:t xml:space="preserve">) evaluated specific training </w:t>
      </w:r>
      <w:proofErr w:type="spellStart"/>
      <w:r w:rsidRPr="004D6B8B">
        <w:rPr>
          <w:rFonts w:eastAsia="Times New Roman" w:cstheme="minorHAnsi"/>
          <w:bCs/>
          <w:sz w:val="24"/>
          <w:szCs w:val="24"/>
        </w:rPr>
        <w:t>programmes</w:t>
      </w:r>
      <w:proofErr w:type="spellEnd"/>
      <w:r w:rsidRPr="004D6B8B">
        <w:rPr>
          <w:rFonts w:eastAsia="Times New Roman" w:cstheme="minorHAnsi"/>
          <w:bCs/>
          <w:sz w:val="24"/>
          <w:szCs w:val="24"/>
        </w:rPr>
        <w:t xml:space="preserve"> and these scored most highly. However</w:t>
      </w:r>
      <w:r w:rsidR="00275BFC" w:rsidRPr="004D6B8B">
        <w:rPr>
          <w:rFonts w:eastAsia="Times New Roman" w:cstheme="minorHAnsi"/>
          <w:bCs/>
          <w:sz w:val="24"/>
          <w:szCs w:val="24"/>
        </w:rPr>
        <w:t>,</w:t>
      </w:r>
      <w:r w:rsidRPr="004D6B8B">
        <w:rPr>
          <w:rFonts w:eastAsia="Times New Roman" w:cstheme="minorHAnsi"/>
          <w:bCs/>
          <w:sz w:val="24"/>
          <w:szCs w:val="24"/>
        </w:rPr>
        <w:t xml:space="preserve"> we included lower scoring papers as these contributed to answering our review question. </w:t>
      </w:r>
    </w:p>
    <w:p w14:paraId="395C9617" w14:textId="28226904" w:rsidR="397EC2D7" w:rsidRPr="004D6B8B" w:rsidRDefault="397EC2D7" w:rsidP="397EC2D7">
      <w:pPr>
        <w:rPr>
          <w:rFonts w:eastAsia="Times New Roman" w:cstheme="minorHAnsi"/>
          <w:bCs/>
          <w:sz w:val="24"/>
          <w:szCs w:val="24"/>
          <w:u w:val="single"/>
        </w:rPr>
      </w:pPr>
      <w:r w:rsidRPr="004D6B8B">
        <w:rPr>
          <w:rFonts w:eastAsia="Times New Roman" w:cstheme="minorHAnsi"/>
          <w:bCs/>
          <w:sz w:val="24"/>
          <w:szCs w:val="24"/>
          <w:u w:val="single"/>
        </w:rPr>
        <w:lastRenderedPageBreak/>
        <w:t>Data abstraction</w:t>
      </w:r>
    </w:p>
    <w:p w14:paraId="2429ED6F" w14:textId="2C6C94E1" w:rsidR="00CC67CD" w:rsidRPr="004D6B8B" w:rsidRDefault="00CC67CD" w:rsidP="00CC67CD">
      <w:pPr>
        <w:rPr>
          <w:rFonts w:eastAsia="Times New Roman" w:cstheme="minorHAnsi"/>
          <w:bCs/>
          <w:sz w:val="24"/>
          <w:szCs w:val="24"/>
        </w:rPr>
      </w:pPr>
      <w:r w:rsidRPr="004D6B8B">
        <w:rPr>
          <w:rFonts w:eastAsia="Times New Roman" w:cstheme="minorHAnsi"/>
          <w:bCs/>
          <w:sz w:val="24"/>
          <w:szCs w:val="24"/>
        </w:rPr>
        <w:t>Data w</w:t>
      </w:r>
      <w:r w:rsidR="00ED17AC" w:rsidRPr="004D6B8B">
        <w:rPr>
          <w:rFonts w:eastAsia="Times New Roman" w:cstheme="minorHAnsi"/>
          <w:bCs/>
          <w:sz w:val="24"/>
          <w:szCs w:val="24"/>
        </w:rPr>
        <w:t>ere</w:t>
      </w:r>
      <w:r w:rsidRPr="004D6B8B">
        <w:rPr>
          <w:rFonts w:eastAsia="Times New Roman" w:cstheme="minorHAnsi"/>
          <w:bCs/>
          <w:sz w:val="24"/>
          <w:szCs w:val="24"/>
        </w:rPr>
        <w:t xml:space="preserve"> abstracted to a bespoke spreadsheet in which we recorded standard information (author, publication date and study design / paper type</w:t>
      </w:r>
      <w:r w:rsidR="00ED17AC" w:rsidRPr="004D6B8B">
        <w:rPr>
          <w:rFonts w:eastAsia="Times New Roman" w:cstheme="minorHAnsi"/>
          <w:bCs/>
          <w:sz w:val="24"/>
          <w:szCs w:val="24"/>
        </w:rPr>
        <w:t>)</w:t>
      </w:r>
      <w:r w:rsidRPr="004D6B8B">
        <w:rPr>
          <w:rFonts w:eastAsia="Times New Roman" w:cstheme="minorHAnsi"/>
          <w:bCs/>
          <w:sz w:val="24"/>
          <w:szCs w:val="24"/>
        </w:rPr>
        <w:t>. In relation to our review aim and objectives we extracted (when available) details of training intervention, trainers and trainee, evaluation approach, participant evaluation and r</w:t>
      </w:r>
      <w:r w:rsidRPr="004D6B8B">
        <w:rPr>
          <w:rFonts w:cstheme="minorHAnsi"/>
          <w:bCs/>
          <w:sz w:val="24"/>
          <w:szCs w:val="24"/>
        </w:rPr>
        <w:t>eported impact of training</w:t>
      </w:r>
      <w:r w:rsidR="006A6361" w:rsidRPr="004D6B8B">
        <w:rPr>
          <w:rFonts w:cstheme="minorHAnsi"/>
          <w:bCs/>
          <w:sz w:val="24"/>
          <w:szCs w:val="24"/>
        </w:rPr>
        <w:t xml:space="preserve"> (Table 1)</w:t>
      </w:r>
      <w:r w:rsidRPr="004D6B8B">
        <w:rPr>
          <w:rFonts w:cstheme="minorHAnsi"/>
          <w:bCs/>
          <w:sz w:val="24"/>
          <w:szCs w:val="24"/>
        </w:rPr>
        <w:t xml:space="preserve">. </w:t>
      </w:r>
      <w:r w:rsidRPr="004D6B8B">
        <w:rPr>
          <w:rFonts w:eastAsia="Times New Roman" w:cstheme="minorHAnsi"/>
          <w:bCs/>
          <w:sz w:val="24"/>
          <w:szCs w:val="24"/>
        </w:rPr>
        <w:t xml:space="preserve">   </w:t>
      </w:r>
    </w:p>
    <w:p w14:paraId="7B8811D9" w14:textId="0839BB58" w:rsidR="397EC2D7" w:rsidRPr="004D6B8B" w:rsidRDefault="397EC2D7" w:rsidP="397EC2D7">
      <w:pPr>
        <w:rPr>
          <w:rFonts w:eastAsia="Times New Roman" w:cstheme="minorHAnsi"/>
          <w:bCs/>
          <w:sz w:val="24"/>
          <w:szCs w:val="24"/>
          <w:u w:val="single"/>
        </w:rPr>
      </w:pPr>
      <w:r w:rsidRPr="004D6B8B">
        <w:rPr>
          <w:rFonts w:eastAsia="Times New Roman" w:cstheme="minorHAnsi"/>
          <w:bCs/>
          <w:sz w:val="24"/>
          <w:szCs w:val="24"/>
          <w:u w:val="single"/>
        </w:rPr>
        <w:t>Synthesis</w:t>
      </w:r>
    </w:p>
    <w:p w14:paraId="3993F7DC" w14:textId="2FD5063C" w:rsidR="00E3483F" w:rsidRPr="004D6B8B" w:rsidRDefault="005A13A0" w:rsidP="00E3483F">
      <w:pPr>
        <w:rPr>
          <w:rFonts w:eastAsia="Times New Roman" w:cstheme="minorHAnsi"/>
          <w:bCs/>
          <w:i/>
          <w:iCs/>
          <w:sz w:val="24"/>
          <w:szCs w:val="24"/>
        </w:rPr>
      </w:pPr>
      <w:r w:rsidRPr="004D6B8B">
        <w:rPr>
          <w:rFonts w:eastAsia="Times New Roman" w:cstheme="minorHAnsi"/>
          <w:bCs/>
          <w:sz w:val="24"/>
          <w:szCs w:val="24"/>
        </w:rPr>
        <w:t>Synthesis was achieved by developing</w:t>
      </w:r>
      <w:r w:rsidR="00CC67CD" w:rsidRPr="004D6B8B">
        <w:rPr>
          <w:rFonts w:cstheme="minorHAnsi"/>
          <w:sz w:val="24"/>
          <w:szCs w:val="24"/>
        </w:rPr>
        <w:t xml:space="preserve"> grouping tables to explore relationships within and between studies</w:t>
      </w:r>
      <w:r w:rsidRPr="004D6B8B">
        <w:rPr>
          <w:rFonts w:cstheme="minorHAnsi"/>
          <w:sz w:val="24"/>
          <w:szCs w:val="24"/>
        </w:rPr>
        <w:t xml:space="preserve"> and c</w:t>
      </w:r>
      <w:r w:rsidR="00CC67CD" w:rsidRPr="004D6B8B">
        <w:rPr>
          <w:rFonts w:cstheme="minorHAnsi"/>
          <w:sz w:val="24"/>
          <w:szCs w:val="24"/>
        </w:rPr>
        <w:t>reating brief textual descriptions of each study</w:t>
      </w:r>
      <w:r w:rsidRPr="004D6B8B">
        <w:rPr>
          <w:rFonts w:cstheme="minorHAnsi"/>
          <w:sz w:val="24"/>
          <w:szCs w:val="24"/>
        </w:rPr>
        <w:t xml:space="preserve">. </w:t>
      </w:r>
      <w:r w:rsidR="00CC67CD" w:rsidRPr="004D6B8B">
        <w:rPr>
          <w:rFonts w:cstheme="minorHAnsi"/>
          <w:sz w:val="24"/>
          <w:szCs w:val="24"/>
        </w:rPr>
        <w:t xml:space="preserve"> </w:t>
      </w:r>
      <w:r w:rsidRPr="004D6B8B">
        <w:rPr>
          <w:rFonts w:cstheme="minorHAnsi"/>
          <w:sz w:val="24"/>
          <w:szCs w:val="24"/>
        </w:rPr>
        <w:t xml:space="preserve">From this we derived two key themes each underpinned by sub-themes. Firstly, </w:t>
      </w:r>
      <w:r w:rsidR="008F2898" w:rsidRPr="004D6B8B">
        <w:rPr>
          <w:rFonts w:cstheme="minorHAnsi"/>
          <w:sz w:val="24"/>
          <w:szCs w:val="24"/>
        </w:rPr>
        <w:t>‘</w:t>
      </w:r>
      <w:r w:rsidRPr="004D6B8B">
        <w:rPr>
          <w:rFonts w:cstheme="minorHAnsi"/>
          <w:sz w:val="24"/>
          <w:szCs w:val="24"/>
        </w:rPr>
        <w:t>t</w:t>
      </w:r>
      <w:r w:rsidRPr="004D6B8B">
        <w:rPr>
          <w:rFonts w:eastAsia="Times New Roman" w:cstheme="minorHAnsi"/>
          <w:sz w:val="24"/>
          <w:szCs w:val="24"/>
        </w:rPr>
        <w:t>he nature of MCA training</w:t>
      </w:r>
      <w:r w:rsidR="008F2898" w:rsidRPr="004D6B8B">
        <w:rPr>
          <w:rFonts w:eastAsia="Times New Roman" w:cstheme="minorHAnsi"/>
          <w:sz w:val="24"/>
          <w:szCs w:val="24"/>
        </w:rPr>
        <w:t>’</w:t>
      </w:r>
      <w:r w:rsidRPr="004D6B8B">
        <w:rPr>
          <w:rFonts w:eastAsia="Times New Roman" w:cstheme="minorHAnsi"/>
          <w:sz w:val="24"/>
          <w:szCs w:val="24"/>
        </w:rPr>
        <w:t xml:space="preserve"> with sub-themes of </w:t>
      </w:r>
      <w:r w:rsidR="008F2898" w:rsidRPr="004D6B8B">
        <w:rPr>
          <w:rFonts w:eastAsia="Times New Roman" w:cstheme="minorHAnsi"/>
          <w:sz w:val="24"/>
          <w:szCs w:val="24"/>
        </w:rPr>
        <w:t>‘</w:t>
      </w:r>
      <w:r w:rsidRPr="004D6B8B">
        <w:rPr>
          <w:rFonts w:eastAsia="Times New Roman" w:cstheme="minorHAnsi"/>
          <w:sz w:val="24"/>
          <w:szCs w:val="24"/>
        </w:rPr>
        <w:t>positive reactions but lingering anxieties</w:t>
      </w:r>
      <w:r w:rsidR="008F2898" w:rsidRPr="004D6B8B">
        <w:rPr>
          <w:rFonts w:eastAsia="Times New Roman" w:cstheme="minorHAnsi"/>
          <w:sz w:val="24"/>
          <w:szCs w:val="24"/>
        </w:rPr>
        <w:t>’</w:t>
      </w:r>
      <w:r w:rsidRPr="004D6B8B">
        <w:rPr>
          <w:rFonts w:eastAsia="Times New Roman" w:cstheme="minorHAnsi"/>
          <w:sz w:val="24"/>
          <w:szCs w:val="24"/>
        </w:rPr>
        <w:t xml:space="preserve"> and </w:t>
      </w:r>
      <w:r w:rsidR="008F2898" w:rsidRPr="004D6B8B">
        <w:rPr>
          <w:rFonts w:eastAsia="Times New Roman" w:cstheme="minorHAnsi"/>
          <w:sz w:val="24"/>
          <w:szCs w:val="24"/>
        </w:rPr>
        <w:t>‘</w:t>
      </w:r>
      <w:r w:rsidR="00E3483F" w:rsidRPr="004D6B8B">
        <w:rPr>
          <w:rFonts w:eastAsia="Times New Roman" w:cstheme="minorHAnsi"/>
          <w:sz w:val="24"/>
          <w:szCs w:val="24"/>
        </w:rPr>
        <w:t xml:space="preserve">misunderstandings and </w:t>
      </w:r>
      <w:r w:rsidR="00275BFC" w:rsidRPr="004D6B8B">
        <w:rPr>
          <w:rFonts w:eastAsia="Times New Roman" w:cstheme="minorHAnsi"/>
          <w:sz w:val="24"/>
          <w:szCs w:val="24"/>
        </w:rPr>
        <w:t>misapplications’</w:t>
      </w:r>
      <w:r w:rsidRPr="004D6B8B">
        <w:rPr>
          <w:rFonts w:eastAsia="Times New Roman" w:cstheme="minorHAnsi"/>
          <w:sz w:val="24"/>
          <w:szCs w:val="24"/>
        </w:rPr>
        <w:t xml:space="preserve">. Secondly </w:t>
      </w:r>
      <w:r w:rsidR="008F2898" w:rsidRPr="004D6B8B">
        <w:rPr>
          <w:rFonts w:eastAsia="Times New Roman" w:cstheme="minorHAnsi"/>
          <w:sz w:val="24"/>
          <w:szCs w:val="24"/>
        </w:rPr>
        <w:t>‘</w:t>
      </w:r>
      <w:r w:rsidRPr="004D6B8B">
        <w:rPr>
          <w:rFonts w:eastAsia="Times New Roman" w:cstheme="minorHAnsi"/>
          <w:sz w:val="24"/>
          <w:szCs w:val="24"/>
        </w:rPr>
        <w:t>problems in changing practice post-training</w:t>
      </w:r>
      <w:r w:rsidR="008F2898" w:rsidRPr="004D6B8B">
        <w:rPr>
          <w:rFonts w:eastAsia="Times New Roman" w:cstheme="minorHAnsi"/>
          <w:sz w:val="24"/>
          <w:szCs w:val="24"/>
        </w:rPr>
        <w:t>’</w:t>
      </w:r>
      <w:r w:rsidRPr="004D6B8B">
        <w:rPr>
          <w:rFonts w:eastAsia="Times New Roman" w:cstheme="minorHAnsi"/>
          <w:sz w:val="24"/>
          <w:szCs w:val="24"/>
        </w:rPr>
        <w:t xml:space="preserve">, with sub-themes of </w:t>
      </w:r>
      <w:r w:rsidR="008F2898" w:rsidRPr="004D6B8B">
        <w:rPr>
          <w:rFonts w:eastAsia="Times New Roman" w:cstheme="minorHAnsi"/>
          <w:sz w:val="24"/>
          <w:szCs w:val="24"/>
        </w:rPr>
        <w:t>‘</w:t>
      </w:r>
      <w:proofErr w:type="spellStart"/>
      <w:r w:rsidR="00822BCC" w:rsidRPr="004D6B8B">
        <w:rPr>
          <w:rFonts w:eastAsia="Times New Roman" w:cstheme="minorHAnsi"/>
          <w:sz w:val="24"/>
          <w:szCs w:val="24"/>
        </w:rPr>
        <w:t>institutionalised</w:t>
      </w:r>
      <w:proofErr w:type="spellEnd"/>
      <w:r w:rsidR="00822BCC" w:rsidRPr="004D6B8B">
        <w:rPr>
          <w:rFonts w:eastAsia="Times New Roman" w:cstheme="minorHAnsi"/>
          <w:sz w:val="24"/>
          <w:szCs w:val="24"/>
        </w:rPr>
        <w:t xml:space="preserve"> under-resourcing’ </w:t>
      </w:r>
      <w:r w:rsidRPr="004D6B8B">
        <w:rPr>
          <w:rFonts w:eastAsia="Times New Roman" w:cstheme="minorHAnsi"/>
          <w:sz w:val="24"/>
          <w:szCs w:val="24"/>
        </w:rPr>
        <w:t xml:space="preserve">and </w:t>
      </w:r>
      <w:r w:rsidR="008F2898" w:rsidRPr="004D6B8B">
        <w:rPr>
          <w:rFonts w:eastAsia="Times New Roman" w:cstheme="minorHAnsi"/>
          <w:sz w:val="24"/>
          <w:szCs w:val="24"/>
        </w:rPr>
        <w:t>‘</w:t>
      </w:r>
      <w:r w:rsidR="00275BFC" w:rsidRPr="004D6B8B">
        <w:rPr>
          <w:rFonts w:eastAsia="Times New Roman" w:cstheme="minorHAnsi"/>
          <w:bCs/>
          <w:sz w:val="24"/>
          <w:szCs w:val="24"/>
        </w:rPr>
        <w:t>h</w:t>
      </w:r>
      <w:r w:rsidR="00E3483F" w:rsidRPr="004D6B8B">
        <w:rPr>
          <w:rFonts w:eastAsia="Times New Roman" w:cstheme="minorHAnsi"/>
          <w:bCs/>
          <w:sz w:val="24"/>
          <w:szCs w:val="24"/>
        </w:rPr>
        <w:t>ierarchy confidence and responsibility’</w:t>
      </w:r>
    </w:p>
    <w:p w14:paraId="051D46F5" w14:textId="788ABBED" w:rsidR="397EC2D7" w:rsidRPr="004D6B8B" w:rsidRDefault="005F3235" w:rsidP="397EC2D7">
      <w:pPr>
        <w:rPr>
          <w:rFonts w:eastAsia="Times New Roman" w:cstheme="minorHAnsi"/>
          <w:sz w:val="24"/>
          <w:szCs w:val="24"/>
        </w:rPr>
      </w:pPr>
      <w:r w:rsidRPr="004D6B8B">
        <w:rPr>
          <w:rFonts w:eastAsia="Times New Roman" w:cstheme="minorHAnsi"/>
          <w:b/>
          <w:bCs/>
          <w:sz w:val="24"/>
          <w:szCs w:val="24"/>
        </w:rPr>
        <w:t>Results</w:t>
      </w:r>
    </w:p>
    <w:p w14:paraId="46914832" w14:textId="21F51A2E" w:rsidR="397EC2D7" w:rsidRPr="004D6B8B" w:rsidRDefault="005A13A0" w:rsidP="397EC2D7">
      <w:pPr>
        <w:rPr>
          <w:rFonts w:eastAsia="Times New Roman" w:cstheme="minorHAnsi"/>
          <w:i/>
          <w:sz w:val="24"/>
          <w:szCs w:val="24"/>
        </w:rPr>
      </w:pPr>
      <w:r w:rsidRPr="004D6B8B">
        <w:rPr>
          <w:rFonts w:eastAsia="Times New Roman" w:cstheme="minorHAnsi"/>
          <w:i/>
          <w:sz w:val="24"/>
          <w:szCs w:val="24"/>
        </w:rPr>
        <w:t xml:space="preserve">Study characteristics </w:t>
      </w:r>
    </w:p>
    <w:p w14:paraId="471530F6" w14:textId="518D14A0" w:rsidR="00D23499" w:rsidRPr="004D6B8B" w:rsidRDefault="004F57A9" w:rsidP="005A13A0">
      <w:pPr>
        <w:rPr>
          <w:rFonts w:cstheme="minorHAnsi"/>
          <w:sz w:val="24"/>
          <w:szCs w:val="24"/>
        </w:rPr>
      </w:pPr>
      <w:r w:rsidRPr="004D6B8B">
        <w:rPr>
          <w:rFonts w:cstheme="minorHAnsi"/>
          <w:sz w:val="24"/>
          <w:szCs w:val="24"/>
        </w:rPr>
        <w:t>O</w:t>
      </w:r>
      <w:r w:rsidR="0017061A" w:rsidRPr="004D6B8B">
        <w:rPr>
          <w:rFonts w:cstheme="minorHAnsi"/>
          <w:sz w:val="24"/>
          <w:szCs w:val="24"/>
        </w:rPr>
        <w:t>f the included</w:t>
      </w:r>
      <w:r w:rsidR="00981EBF" w:rsidRPr="004D6B8B">
        <w:rPr>
          <w:rFonts w:cstheme="minorHAnsi"/>
          <w:sz w:val="24"/>
          <w:szCs w:val="24"/>
        </w:rPr>
        <w:t xml:space="preserve"> studies</w:t>
      </w:r>
      <w:r w:rsidRPr="004D6B8B">
        <w:rPr>
          <w:rFonts w:cstheme="minorHAnsi"/>
          <w:sz w:val="24"/>
          <w:szCs w:val="24"/>
        </w:rPr>
        <w:t>, seven</w:t>
      </w:r>
      <w:r w:rsidR="0017061A" w:rsidRPr="004D6B8B">
        <w:rPr>
          <w:rFonts w:cstheme="minorHAnsi"/>
          <w:sz w:val="24"/>
          <w:szCs w:val="24"/>
        </w:rPr>
        <w:t xml:space="preserve"> were quant</w:t>
      </w:r>
      <w:r w:rsidRPr="004D6B8B">
        <w:rPr>
          <w:rFonts w:cstheme="minorHAnsi"/>
          <w:sz w:val="24"/>
          <w:szCs w:val="24"/>
        </w:rPr>
        <w:t>itative</w:t>
      </w:r>
      <w:r w:rsidR="0017061A" w:rsidRPr="004D6B8B">
        <w:rPr>
          <w:rFonts w:cstheme="minorHAnsi"/>
          <w:sz w:val="24"/>
          <w:szCs w:val="24"/>
        </w:rPr>
        <w:t xml:space="preserve">, </w:t>
      </w:r>
      <w:r w:rsidRPr="004D6B8B">
        <w:rPr>
          <w:rFonts w:cstheme="minorHAnsi"/>
          <w:sz w:val="24"/>
          <w:szCs w:val="24"/>
        </w:rPr>
        <w:t>seven</w:t>
      </w:r>
      <w:r w:rsidR="0017061A" w:rsidRPr="004D6B8B">
        <w:rPr>
          <w:rFonts w:cstheme="minorHAnsi"/>
          <w:sz w:val="24"/>
          <w:szCs w:val="24"/>
        </w:rPr>
        <w:t xml:space="preserve"> qual</w:t>
      </w:r>
      <w:r w:rsidRPr="004D6B8B">
        <w:rPr>
          <w:rFonts w:cstheme="minorHAnsi"/>
          <w:sz w:val="24"/>
          <w:szCs w:val="24"/>
        </w:rPr>
        <w:t>itative</w:t>
      </w:r>
      <w:r w:rsidR="0017061A" w:rsidRPr="004D6B8B">
        <w:rPr>
          <w:rFonts w:cstheme="minorHAnsi"/>
          <w:sz w:val="24"/>
          <w:szCs w:val="24"/>
        </w:rPr>
        <w:t xml:space="preserve"> </w:t>
      </w:r>
      <w:r w:rsidRPr="004D6B8B">
        <w:rPr>
          <w:rFonts w:cstheme="minorHAnsi"/>
          <w:sz w:val="24"/>
          <w:szCs w:val="24"/>
        </w:rPr>
        <w:t xml:space="preserve">and </w:t>
      </w:r>
      <w:r w:rsidR="00960D3D" w:rsidRPr="004D6B8B">
        <w:rPr>
          <w:rFonts w:cstheme="minorHAnsi"/>
          <w:sz w:val="24"/>
          <w:szCs w:val="24"/>
        </w:rPr>
        <w:t>two</w:t>
      </w:r>
      <w:r w:rsidR="0017061A" w:rsidRPr="004D6B8B">
        <w:rPr>
          <w:rFonts w:cstheme="minorHAnsi"/>
          <w:sz w:val="24"/>
          <w:szCs w:val="24"/>
        </w:rPr>
        <w:t xml:space="preserve"> mixed methods. </w:t>
      </w:r>
      <w:r w:rsidR="003527DE" w:rsidRPr="004D6B8B">
        <w:rPr>
          <w:rFonts w:cstheme="minorHAnsi"/>
          <w:sz w:val="24"/>
          <w:szCs w:val="24"/>
        </w:rPr>
        <w:t xml:space="preserve">  Quantitative studies (</w:t>
      </w:r>
      <w:proofErr w:type="spellStart"/>
      <w:r w:rsidR="003527DE" w:rsidRPr="004D6B8B">
        <w:rPr>
          <w:rFonts w:cstheme="minorHAnsi"/>
          <w:sz w:val="24"/>
          <w:szCs w:val="24"/>
        </w:rPr>
        <w:t>Sawhney</w:t>
      </w:r>
      <w:proofErr w:type="spellEnd"/>
      <w:r w:rsidR="00EC37DD" w:rsidRPr="004D6B8B">
        <w:rPr>
          <w:rFonts w:cstheme="minorHAnsi"/>
          <w:sz w:val="24"/>
          <w:szCs w:val="24"/>
        </w:rPr>
        <w:t xml:space="preserve">, </w:t>
      </w:r>
      <w:proofErr w:type="spellStart"/>
      <w:r w:rsidR="00EC37DD" w:rsidRPr="004D6B8B">
        <w:rPr>
          <w:rFonts w:cstheme="minorHAnsi"/>
          <w:sz w:val="24"/>
          <w:szCs w:val="24"/>
        </w:rPr>
        <w:t>Mukhopadhyay</w:t>
      </w:r>
      <w:proofErr w:type="spellEnd"/>
      <w:r w:rsidR="00EC37DD" w:rsidRPr="004D6B8B">
        <w:rPr>
          <w:rFonts w:cstheme="minorHAnsi"/>
          <w:sz w:val="24"/>
          <w:szCs w:val="24"/>
        </w:rPr>
        <w:t xml:space="preserve">, &amp; </w:t>
      </w:r>
      <w:proofErr w:type="spellStart"/>
      <w:r w:rsidR="00EC37DD" w:rsidRPr="004D6B8B">
        <w:rPr>
          <w:rFonts w:cstheme="minorHAnsi"/>
          <w:sz w:val="24"/>
          <w:szCs w:val="24"/>
        </w:rPr>
        <w:t>Karki</w:t>
      </w:r>
      <w:proofErr w:type="spellEnd"/>
      <w:r w:rsidR="00EC37DD" w:rsidRPr="004D6B8B">
        <w:rPr>
          <w:rFonts w:cstheme="minorHAnsi"/>
          <w:sz w:val="24"/>
          <w:szCs w:val="24"/>
        </w:rPr>
        <w:t>,</w:t>
      </w:r>
      <w:r w:rsidR="003527DE" w:rsidRPr="004D6B8B">
        <w:rPr>
          <w:rFonts w:cstheme="minorHAnsi"/>
          <w:sz w:val="24"/>
          <w:szCs w:val="24"/>
        </w:rPr>
        <w:t xml:space="preserve"> 2009; Shah</w:t>
      </w:r>
      <w:r w:rsidR="00EC37DD" w:rsidRPr="004D6B8B">
        <w:rPr>
          <w:rFonts w:cstheme="minorHAnsi"/>
          <w:sz w:val="24"/>
          <w:szCs w:val="24"/>
        </w:rPr>
        <w:t xml:space="preserve">, Banner, </w:t>
      </w:r>
      <w:proofErr w:type="spellStart"/>
      <w:r w:rsidR="00EC37DD" w:rsidRPr="004D6B8B">
        <w:rPr>
          <w:rFonts w:cstheme="minorHAnsi"/>
          <w:sz w:val="24"/>
          <w:szCs w:val="24"/>
        </w:rPr>
        <w:t>Heginbotham</w:t>
      </w:r>
      <w:proofErr w:type="spellEnd"/>
      <w:r w:rsidR="00EC37DD" w:rsidRPr="004D6B8B">
        <w:rPr>
          <w:rFonts w:cstheme="minorHAnsi"/>
          <w:sz w:val="24"/>
          <w:szCs w:val="24"/>
        </w:rPr>
        <w:t xml:space="preserve">, &amp; </w:t>
      </w:r>
      <w:proofErr w:type="spellStart"/>
      <w:r w:rsidR="00EC37DD" w:rsidRPr="004D6B8B">
        <w:rPr>
          <w:rFonts w:cstheme="minorHAnsi"/>
          <w:sz w:val="24"/>
          <w:szCs w:val="24"/>
        </w:rPr>
        <w:t>Fulford</w:t>
      </w:r>
      <w:proofErr w:type="spellEnd"/>
      <w:r w:rsidR="00EC37DD" w:rsidRPr="004D6B8B">
        <w:rPr>
          <w:rFonts w:cstheme="minorHAnsi"/>
          <w:sz w:val="24"/>
          <w:szCs w:val="24"/>
        </w:rPr>
        <w:t>,</w:t>
      </w:r>
      <w:r w:rsidR="003527DE" w:rsidRPr="004D6B8B">
        <w:rPr>
          <w:rFonts w:cstheme="minorHAnsi"/>
          <w:sz w:val="24"/>
          <w:szCs w:val="24"/>
        </w:rPr>
        <w:t xml:space="preserve"> 2010; </w:t>
      </w:r>
      <w:proofErr w:type="spellStart"/>
      <w:r w:rsidR="003527DE" w:rsidRPr="004D6B8B">
        <w:rPr>
          <w:rFonts w:cstheme="minorHAnsi"/>
          <w:sz w:val="24"/>
          <w:szCs w:val="24"/>
        </w:rPr>
        <w:t>Willner</w:t>
      </w:r>
      <w:proofErr w:type="spellEnd"/>
      <w:r w:rsidR="003527DE" w:rsidRPr="004D6B8B">
        <w:rPr>
          <w:rFonts w:cstheme="minorHAnsi"/>
          <w:sz w:val="24"/>
          <w:szCs w:val="24"/>
        </w:rPr>
        <w:t xml:space="preserve"> et al., 2011; </w:t>
      </w:r>
      <w:proofErr w:type="spellStart"/>
      <w:r w:rsidR="00D23499" w:rsidRPr="004D6B8B">
        <w:rPr>
          <w:rFonts w:cstheme="minorHAnsi"/>
          <w:sz w:val="24"/>
          <w:szCs w:val="24"/>
        </w:rPr>
        <w:t>Willner</w:t>
      </w:r>
      <w:proofErr w:type="spellEnd"/>
      <w:r w:rsidR="00D23499" w:rsidRPr="004D6B8B">
        <w:rPr>
          <w:rFonts w:cstheme="minorHAnsi"/>
          <w:sz w:val="24"/>
          <w:szCs w:val="24"/>
        </w:rPr>
        <w:t xml:space="preserve"> et al., 2013</w:t>
      </w:r>
      <w:r w:rsidR="003671A3" w:rsidRPr="004D6B8B">
        <w:rPr>
          <w:rFonts w:cstheme="minorHAnsi"/>
          <w:sz w:val="24"/>
          <w:szCs w:val="24"/>
        </w:rPr>
        <w:t>;</w:t>
      </w:r>
      <w:r w:rsidR="00D23499" w:rsidRPr="004D6B8B">
        <w:rPr>
          <w:rFonts w:cstheme="minorHAnsi"/>
          <w:sz w:val="24"/>
          <w:szCs w:val="24"/>
        </w:rPr>
        <w:t xml:space="preserve"> </w:t>
      </w:r>
      <w:r w:rsidR="003527DE" w:rsidRPr="004D6B8B">
        <w:rPr>
          <w:rFonts w:cstheme="minorHAnsi"/>
          <w:sz w:val="24"/>
          <w:szCs w:val="24"/>
        </w:rPr>
        <w:t>Schofield</w:t>
      </w:r>
      <w:r w:rsidR="007122D1" w:rsidRPr="004D6B8B">
        <w:rPr>
          <w:rFonts w:cstheme="minorHAnsi"/>
          <w:sz w:val="24"/>
          <w:szCs w:val="24"/>
        </w:rPr>
        <w:t xml:space="preserve">, </w:t>
      </w:r>
      <w:r w:rsidR="003671A3" w:rsidRPr="004D6B8B">
        <w:rPr>
          <w:rFonts w:cstheme="minorHAnsi"/>
          <w:sz w:val="24"/>
          <w:szCs w:val="24"/>
        </w:rPr>
        <w:t xml:space="preserve">di </w:t>
      </w:r>
      <w:proofErr w:type="spellStart"/>
      <w:r w:rsidR="003671A3" w:rsidRPr="004D6B8B">
        <w:rPr>
          <w:rFonts w:cstheme="minorHAnsi"/>
          <w:sz w:val="24"/>
          <w:szCs w:val="24"/>
        </w:rPr>
        <w:t>Mambro</w:t>
      </w:r>
      <w:proofErr w:type="spellEnd"/>
      <w:r w:rsidR="003671A3" w:rsidRPr="004D6B8B">
        <w:rPr>
          <w:rFonts w:cstheme="minorHAnsi"/>
          <w:sz w:val="24"/>
          <w:szCs w:val="24"/>
        </w:rPr>
        <w:t xml:space="preserve">, &amp; Schoﬁeld, </w:t>
      </w:r>
      <w:r w:rsidR="003527DE" w:rsidRPr="004D6B8B">
        <w:rPr>
          <w:rFonts w:cstheme="minorHAnsi"/>
          <w:sz w:val="24"/>
          <w:szCs w:val="24"/>
        </w:rPr>
        <w:t xml:space="preserve"> 2012; </w:t>
      </w:r>
      <w:proofErr w:type="spellStart"/>
      <w:r w:rsidR="003527DE" w:rsidRPr="004D6B8B">
        <w:rPr>
          <w:rFonts w:cstheme="minorHAnsi"/>
          <w:sz w:val="24"/>
          <w:szCs w:val="24"/>
        </w:rPr>
        <w:t>Morriss</w:t>
      </w:r>
      <w:proofErr w:type="spellEnd"/>
      <w:r w:rsidR="003671A3" w:rsidRPr="004D6B8B">
        <w:rPr>
          <w:rFonts w:cstheme="minorHAnsi"/>
        </w:rPr>
        <w:t xml:space="preserve">, </w:t>
      </w:r>
      <w:proofErr w:type="spellStart"/>
      <w:r w:rsidR="003671A3" w:rsidRPr="004D6B8B">
        <w:rPr>
          <w:rFonts w:cstheme="minorHAnsi"/>
          <w:sz w:val="24"/>
          <w:szCs w:val="24"/>
        </w:rPr>
        <w:t>Mudigonda</w:t>
      </w:r>
      <w:proofErr w:type="spellEnd"/>
      <w:r w:rsidR="003671A3" w:rsidRPr="004D6B8B">
        <w:rPr>
          <w:rFonts w:cstheme="minorHAnsi"/>
          <w:sz w:val="24"/>
          <w:szCs w:val="24"/>
        </w:rPr>
        <w:t xml:space="preserve">, Bartlett, Chopra, &amp; Jones, </w:t>
      </w:r>
      <w:r w:rsidR="003527DE" w:rsidRPr="004D6B8B">
        <w:rPr>
          <w:rFonts w:cstheme="minorHAnsi"/>
          <w:sz w:val="24"/>
          <w:szCs w:val="24"/>
        </w:rPr>
        <w:t>, 2017; McCormick</w:t>
      </w:r>
      <w:r w:rsidR="003671A3" w:rsidRPr="004D6B8B">
        <w:rPr>
          <w:rFonts w:cstheme="minorHAnsi"/>
          <w:sz w:val="24"/>
          <w:szCs w:val="24"/>
        </w:rPr>
        <w:t xml:space="preserve">, Bose, &amp; </w:t>
      </w:r>
      <w:proofErr w:type="spellStart"/>
      <w:r w:rsidR="003671A3" w:rsidRPr="004D6B8B">
        <w:rPr>
          <w:rFonts w:cstheme="minorHAnsi"/>
          <w:sz w:val="24"/>
          <w:szCs w:val="24"/>
        </w:rPr>
        <w:t>Marinis</w:t>
      </w:r>
      <w:proofErr w:type="spellEnd"/>
      <w:r w:rsidR="003671A3" w:rsidRPr="004D6B8B">
        <w:rPr>
          <w:rFonts w:cstheme="minorHAnsi"/>
          <w:sz w:val="24"/>
          <w:szCs w:val="24"/>
        </w:rPr>
        <w:t xml:space="preserve">, </w:t>
      </w:r>
      <w:r w:rsidR="003527DE" w:rsidRPr="004D6B8B">
        <w:rPr>
          <w:rFonts w:cstheme="minorHAnsi"/>
          <w:sz w:val="24"/>
          <w:szCs w:val="24"/>
        </w:rPr>
        <w:t xml:space="preserve"> 2017) investigated </w:t>
      </w:r>
      <w:r w:rsidR="00A34CEE" w:rsidRPr="004D6B8B">
        <w:rPr>
          <w:rFonts w:cstheme="minorHAnsi"/>
          <w:sz w:val="24"/>
          <w:szCs w:val="24"/>
        </w:rPr>
        <w:t>training experiences (</w:t>
      </w:r>
      <w:proofErr w:type="spellStart"/>
      <w:r w:rsidR="00A34CEE" w:rsidRPr="004D6B8B">
        <w:rPr>
          <w:rFonts w:cstheme="minorHAnsi"/>
          <w:sz w:val="24"/>
          <w:szCs w:val="24"/>
        </w:rPr>
        <w:t>Sawhney</w:t>
      </w:r>
      <w:proofErr w:type="spellEnd"/>
      <w:r w:rsidR="00A34CEE" w:rsidRPr="004D6B8B">
        <w:rPr>
          <w:rFonts w:cstheme="minorHAnsi"/>
          <w:sz w:val="24"/>
          <w:szCs w:val="24"/>
        </w:rPr>
        <w:t xml:space="preserve"> et al</w:t>
      </w:r>
      <w:r w:rsidR="00EC37DD" w:rsidRPr="004D6B8B">
        <w:rPr>
          <w:rFonts w:cstheme="minorHAnsi"/>
          <w:sz w:val="24"/>
          <w:szCs w:val="24"/>
        </w:rPr>
        <w:t>.,</w:t>
      </w:r>
      <w:r w:rsidR="00A34CEE" w:rsidRPr="004D6B8B">
        <w:rPr>
          <w:rFonts w:cstheme="minorHAnsi"/>
          <w:sz w:val="24"/>
          <w:szCs w:val="24"/>
        </w:rPr>
        <w:t xml:space="preserve"> 2009</w:t>
      </w:r>
      <w:r w:rsidR="003671A3" w:rsidRPr="004D6B8B">
        <w:rPr>
          <w:rFonts w:cstheme="minorHAnsi"/>
          <w:sz w:val="24"/>
          <w:szCs w:val="24"/>
        </w:rPr>
        <w:t xml:space="preserve">; </w:t>
      </w:r>
      <w:r w:rsidR="00A34CEE" w:rsidRPr="004D6B8B">
        <w:rPr>
          <w:rFonts w:cstheme="minorHAnsi"/>
          <w:sz w:val="24"/>
          <w:szCs w:val="24"/>
        </w:rPr>
        <w:t xml:space="preserve"> and Shah et al</w:t>
      </w:r>
      <w:r w:rsidR="00EC37DD" w:rsidRPr="004D6B8B">
        <w:rPr>
          <w:rFonts w:cstheme="minorHAnsi"/>
          <w:sz w:val="24"/>
          <w:szCs w:val="24"/>
        </w:rPr>
        <w:t>.,</w:t>
      </w:r>
      <w:r w:rsidR="00A34CEE" w:rsidRPr="004D6B8B">
        <w:rPr>
          <w:rFonts w:cstheme="minorHAnsi"/>
          <w:sz w:val="24"/>
          <w:szCs w:val="24"/>
        </w:rPr>
        <w:t xml:space="preserve"> 2010) or </w:t>
      </w:r>
      <w:r w:rsidR="003527DE" w:rsidRPr="004D6B8B">
        <w:rPr>
          <w:rFonts w:cstheme="minorHAnsi"/>
          <w:sz w:val="24"/>
          <w:szCs w:val="24"/>
        </w:rPr>
        <w:t xml:space="preserve">post-training knowledge of psychiatrists and medical trainees (other than </w:t>
      </w:r>
      <w:proofErr w:type="spellStart"/>
      <w:r w:rsidR="003527DE" w:rsidRPr="004D6B8B">
        <w:rPr>
          <w:rFonts w:cstheme="minorHAnsi"/>
          <w:sz w:val="24"/>
          <w:szCs w:val="24"/>
        </w:rPr>
        <w:t>Willner</w:t>
      </w:r>
      <w:proofErr w:type="spellEnd"/>
      <w:r w:rsidR="003527DE" w:rsidRPr="004D6B8B">
        <w:rPr>
          <w:rFonts w:cstheme="minorHAnsi"/>
          <w:sz w:val="24"/>
          <w:szCs w:val="24"/>
        </w:rPr>
        <w:t xml:space="preserve"> et al</w:t>
      </w:r>
      <w:r w:rsidR="00EC37DD" w:rsidRPr="004D6B8B">
        <w:rPr>
          <w:rFonts w:cstheme="minorHAnsi"/>
          <w:sz w:val="24"/>
          <w:szCs w:val="24"/>
        </w:rPr>
        <w:t>.,</w:t>
      </w:r>
      <w:r w:rsidR="003527DE" w:rsidRPr="004D6B8B">
        <w:rPr>
          <w:rFonts w:cstheme="minorHAnsi"/>
          <w:sz w:val="24"/>
          <w:szCs w:val="24"/>
        </w:rPr>
        <w:t xml:space="preserve"> 2011</w:t>
      </w:r>
      <w:r w:rsidR="00D23499" w:rsidRPr="004D6B8B">
        <w:rPr>
          <w:rFonts w:cstheme="minorHAnsi"/>
          <w:sz w:val="24"/>
          <w:szCs w:val="24"/>
        </w:rPr>
        <w:t xml:space="preserve"> and </w:t>
      </w:r>
      <w:proofErr w:type="spellStart"/>
      <w:r w:rsidR="00D23499" w:rsidRPr="004D6B8B">
        <w:rPr>
          <w:rFonts w:cstheme="minorHAnsi"/>
          <w:sz w:val="24"/>
          <w:szCs w:val="24"/>
        </w:rPr>
        <w:t>Willner</w:t>
      </w:r>
      <w:proofErr w:type="spellEnd"/>
      <w:r w:rsidR="00D23499" w:rsidRPr="004D6B8B">
        <w:rPr>
          <w:rFonts w:cstheme="minorHAnsi"/>
          <w:sz w:val="24"/>
          <w:szCs w:val="24"/>
        </w:rPr>
        <w:t xml:space="preserve"> et al</w:t>
      </w:r>
      <w:r w:rsidR="00EC37DD" w:rsidRPr="004D6B8B">
        <w:rPr>
          <w:rFonts w:cstheme="minorHAnsi"/>
          <w:sz w:val="24"/>
          <w:szCs w:val="24"/>
        </w:rPr>
        <w:t xml:space="preserve">., </w:t>
      </w:r>
      <w:r w:rsidR="00D23499" w:rsidRPr="004D6B8B">
        <w:rPr>
          <w:rFonts w:cstheme="minorHAnsi"/>
          <w:sz w:val="24"/>
          <w:szCs w:val="24"/>
        </w:rPr>
        <w:t xml:space="preserve"> 2013, </w:t>
      </w:r>
      <w:r w:rsidR="003527DE" w:rsidRPr="004D6B8B">
        <w:rPr>
          <w:rFonts w:cstheme="minorHAnsi"/>
          <w:sz w:val="24"/>
          <w:szCs w:val="24"/>
        </w:rPr>
        <w:t xml:space="preserve">who surveyed newly appointed </w:t>
      </w:r>
      <w:r w:rsidR="007B4192" w:rsidRPr="004D6B8B">
        <w:rPr>
          <w:rFonts w:cstheme="minorHAnsi"/>
          <w:sz w:val="24"/>
          <w:szCs w:val="24"/>
        </w:rPr>
        <w:t xml:space="preserve">clinical and non-clinical staff </w:t>
      </w:r>
      <w:r w:rsidR="003527DE" w:rsidRPr="004D6B8B">
        <w:rPr>
          <w:rFonts w:cstheme="minorHAnsi"/>
          <w:sz w:val="24"/>
          <w:szCs w:val="24"/>
        </w:rPr>
        <w:t>members</w:t>
      </w:r>
      <w:r w:rsidR="007B4192" w:rsidRPr="004D6B8B">
        <w:rPr>
          <w:rFonts w:cstheme="minorHAnsi"/>
          <w:sz w:val="24"/>
          <w:szCs w:val="24"/>
        </w:rPr>
        <w:t>)</w:t>
      </w:r>
      <w:r w:rsidR="003527DE" w:rsidRPr="004D6B8B">
        <w:rPr>
          <w:rFonts w:cstheme="minorHAnsi"/>
          <w:sz w:val="24"/>
          <w:szCs w:val="24"/>
        </w:rPr>
        <w:t xml:space="preserve">. </w:t>
      </w:r>
      <w:r w:rsidR="007B4192" w:rsidRPr="004D6B8B">
        <w:rPr>
          <w:rFonts w:cstheme="minorHAnsi"/>
          <w:sz w:val="24"/>
          <w:szCs w:val="24"/>
        </w:rPr>
        <w:t>Response rates tended to be low (27-55%). Bias may also have been introduced due to self-selection (</w:t>
      </w:r>
      <w:proofErr w:type="spellStart"/>
      <w:r w:rsidR="007B4192" w:rsidRPr="004D6B8B">
        <w:rPr>
          <w:rFonts w:cstheme="minorHAnsi"/>
          <w:sz w:val="24"/>
          <w:szCs w:val="24"/>
        </w:rPr>
        <w:t>Morriss</w:t>
      </w:r>
      <w:proofErr w:type="spellEnd"/>
      <w:r w:rsidR="007B4192" w:rsidRPr="004D6B8B">
        <w:rPr>
          <w:rFonts w:cstheme="minorHAnsi"/>
          <w:sz w:val="24"/>
          <w:szCs w:val="24"/>
        </w:rPr>
        <w:t xml:space="preserve"> et al</w:t>
      </w:r>
      <w:r w:rsidR="003671A3" w:rsidRPr="004D6B8B">
        <w:rPr>
          <w:rFonts w:cstheme="minorHAnsi"/>
          <w:sz w:val="24"/>
          <w:szCs w:val="24"/>
        </w:rPr>
        <w:t>.,</w:t>
      </w:r>
      <w:r w:rsidR="007B4192" w:rsidRPr="004D6B8B">
        <w:rPr>
          <w:rFonts w:cstheme="minorHAnsi"/>
          <w:sz w:val="24"/>
          <w:szCs w:val="24"/>
        </w:rPr>
        <w:t xml:space="preserve"> 2017, McCormick et al</w:t>
      </w:r>
      <w:r w:rsidR="003671A3" w:rsidRPr="004D6B8B">
        <w:rPr>
          <w:rFonts w:cstheme="minorHAnsi"/>
          <w:sz w:val="24"/>
          <w:szCs w:val="24"/>
        </w:rPr>
        <w:t>.,</w:t>
      </w:r>
      <w:r w:rsidR="007B4192" w:rsidRPr="004D6B8B">
        <w:rPr>
          <w:rFonts w:cstheme="minorHAnsi"/>
          <w:sz w:val="24"/>
          <w:szCs w:val="24"/>
        </w:rPr>
        <w:t xml:space="preserve"> 2017).</w:t>
      </w:r>
      <w:r w:rsidR="00BC7B5B" w:rsidRPr="004D6B8B">
        <w:rPr>
          <w:rFonts w:cstheme="minorHAnsi"/>
          <w:sz w:val="24"/>
          <w:szCs w:val="24"/>
        </w:rPr>
        <w:t xml:space="preserve"> </w:t>
      </w:r>
    </w:p>
    <w:p w14:paraId="7940A0C6" w14:textId="0217204A" w:rsidR="009255C3" w:rsidRPr="004D6B8B" w:rsidRDefault="00BC7B5B" w:rsidP="005A13A0">
      <w:pPr>
        <w:rPr>
          <w:rFonts w:cstheme="minorHAnsi"/>
          <w:sz w:val="24"/>
          <w:szCs w:val="24"/>
        </w:rPr>
      </w:pPr>
      <w:proofErr w:type="spellStart"/>
      <w:r w:rsidRPr="004D6B8B">
        <w:rPr>
          <w:rFonts w:cstheme="minorHAnsi"/>
          <w:sz w:val="24"/>
          <w:szCs w:val="24"/>
        </w:rPr>
        <w:t>Willner</w:t>
      </w:r>
      <w:proofErr w:type="spellEnd"/>
      <w:r w:rsidRPr="004D6B8B">
        <w:rPr>
          <w:rFonts w:cstheme="minorHAnsi"/>
          <w:sz w:val="24"/>
          <w:szCs w:val="24"/>
        </w:rPr>
        <w:t xml:space="preserve"> et al</w:t>
      </w:r>
      <w:r w:rsidR="003671A3" w:rsidRPr="004D6B8B">
        <w:rPr>
          <w:rFonts w:cstheme="minorHAnsi"/>
          <w:sz w:val="24"/>
          <w:szCs w:val="24"/>
        </w:rPr>
        <w:t>.</w:t>
      </w:r>
      <w:r w:rsidRPr="004D6B8B">
        <w:rPr>
          <w:rFonts w:cstheme="minorHAnsi"/>
          <w:sz w:val="24"/>
          <w:szCs w:val="24"/>
        </w:rPr>
        <w:t xml:space="preserve"> (2011)</w:t>
      </w:r>
      <w:r w:rsidR="00D23499" w:rsidRPr="004D6B8B">
        <w:rPr>
          <w:rFonts w:cstheme="minorHAnsi"/>
          <w:sz w:val="24"/>
          <w:szCs w:val="24"/>
        </w:rPr>
        <w:t>,</w:t>
      </w:r>
      <w:r w:rsidRPr="004D6B8B">
        <w:rPr>
          <w:rFonts w:cstheme="minorHAnsi"/>
          <w:sz w:val="24"/>
          <w:szCs w:val="24"/>
        </w:rPr>
        <w:t xml:space="preserve"> Schofield et al</w:t>
      </w:r>
      <w:r w:rsidR="003671A3" w:rsidRPr="004D6B8B">
        <w:rPr>
          <w:rFonts w:cstheme="minorHAnsi"/>
          <w:sz w:val="24"/>
          <w:szCs w:val="24"/>
        </w:rPr>
        <w:t>.</w:t>
      </w:r>
      <w:r w:rsidRPr="004D6B8B">
        <w:rPr>
          <w:rFonts w:cstheme="minorHAnsi"/>
          <w:sz w:val="24"/>
          <w:szCs w:val="24"/>
        </w:rPr>
        <w:t xml:space="preserve"> (2012) </w:t>
      </w:r>
      <w:r w:rsidR="00D23499" w:rsidRPr="004D6B8B">
        <w:rPr>
          <w:rFonts w:cstheme="minorHAnsi"/>
          <w:sz w:val="24"/>
          <w:szCs w:val="24"/>
        </w:rPr>
        <w:t xml:space="preserve">and </w:t>
      </w:r>
      <w:proofErr w:type="spellStart"/>
      <w:r w:rsidR="00D23499" w:rsidRPr="004D6B8B">
        <w:rPr>
          <w:rFonts w:cstheme="minorHAnsi"/>
          <w:sz w:val="24"/>
          <w:szCs w:val="24"/>
        </w:rPr>
        <w:t>Willner</w:t>
      </w:r>
      <w:proofErr w:type="spellEnd"/>
      <w:r w:rsidR="00D23499" w:rsidRPr="004D6B8B">
        <w:rPr>
          <w:rFonts w:cstheme="minorHAnsi"/>
          <w:sz w:val="24"/>
          <w:szCs w:val="24"/>
        </w:rPr>
        <w:t xml:space="preserve"> et al</w:t>
      </w:r>
      <w:r w:rsidR="003671A3" w:rsidRPr="004D6B8B">
        <w:rPr>
          <w:rFonts w:cstheme="minorHAnsi"/>
          <w:sz w:val="24"/>
          <w:szCs w:val="24"/>
        </w:rPr>
        <w:t>.</w:t>
      </w:r>
      <w:r w:rsidR="00D23499" w:rsidRPr="004D6B8B">
        <w:rPr>
          <w:rFonts w:cstheme="minorHAnsi"/>
          <w:sz w:val="24"/>
          <w:szCs w:val="24"/>
        </w:rPr>
        <w:t xml:space="preserve"> (2013) </w:t>
      </w:r>
      <w:r w:rsidRPr="004D6B8B">
        <w:rPr>
          <w:rFonts w:cstheme="minorHAnsi"/>
          <w:sz w:val="24"/>
          <w:szCs w:val="24"/>
        </w:rPr>
        <w:t>tested knowledge post-training, which resulted in higher response rates. Using true/false statements</w:t>
      </w:r>
      <w:r w:rsidR="00D23499" w:rsidRPr="004D6B8B">
        <w:rPr>
          <w:rFonts w:cstheme="minorHAnsi"/>
          <w:sz w:val="24"/>
          <w:szCs w:val="24"/>
        </w:rPr>
        <w:t xml:space="preserve"> and scored responses, all three</w:t>
      </w:r>
      <w:r w:rsidRPr="004D6B8B">
        <w:rPr>
          <w:rFonts w:cstheme="minorHAnsi"/>
          <w:sz w:val="24"/>
          <w:szCs w:val="24"/>
        </w:rPr>
        <w:t xml:space="preserve"> studies found improved knowledge.  However, </w:t>
      </w:r>
      <w:proofErr w:type="spellStart"/>
      <w:r w:rsidRPr="004D6B8B">
        <w:rPr>
          <w:rFonts w:cstheme="minorHAnsi"/>
          <w:sz w:val="24"/>
          <w:szCs w:val="24"/>
        </w:rPr>
        <w:t>Willner</w:t>
      </w:r>
      <w:proofErr w:type="spellEnd"/>
      <w:r w:rsidRPr="004D6B8B">
        <w:rPr>
          <w:rFonts w:cstheme="minorHAnsi"/>
          <w:sz w:val="24"/>
          <w:szCs w:val="24"/>
        </w:rPr>
        <w:t xml:space="preserve"> et al</w:t>
      </w:r>
      <w:r w:rsidR="003671A3" w:rsidRPr="004D6B8B">
        <w:rPr>
          <w:rFonts w:cstheme="minorHAnsi"/>
          <w:sz w:val="24"/>
          <w:szCs w:val="24"/>
        </w:rPr>
        <w:t>.</w:t>
      </w:r>
      <w:r w:rsidR="00916F92" w:rsidRPr="004D6B8B">
        <w:rPr>
          <w:rFonts w:cstheme="minorHAnsi"/>
          <w:sz w:val="24"/>
          <w:szCs w:val="24"/>
        </w:rPr>
        <w:t>,</w:t>
      </w:r>
      <w:r w:rsidRPr="004D6B8B">
        <w:rPr>
          <w:rFonts w:cstheme="minorHAnsi"/>
          <w:sz w:val="24"/>
          <w:szCs w:val="24"/>
        </w:rPr>
        <w:t xml:space="preserve"> (2011) noted positive bias towards ‘true’ statements, which may have skewed their results. This bias may have affected</w:t>
      </w:r>
      <w:r w:rsidR="0017061A" w:rsidRPr="004D6B8B">
        <w:rPr>
          <w:rFonts w:cstheme="minorHAnsi"/>
          <w:sz w:val="24"/>
          <w:szCs w:val="24"/>
        </w:rPr>
        <w:t xml:space="preserve"> the results of </w:t>
      </w:r>
      <w:r w:rsidRPr="004D6B8B">
        <w:rPr>
          <w:rFonts w:cstheme="minorHAnsi"/>
          <w:sz w:val="24"/>
          <w:szCs w:val="24"/>
        </w:rPr>
        <w:t>Schofield et al</w:t>
      </w:r>
      <w:r w:rsidR="003671A3" w:rsidRPr="004D6B8B">
        <w:rPr>
          <w:rFonts w:cstheme="minorHAnsi"/>
          <w:sz w:val="24"/>
          <w:szCs w:val="24"/>
        </w:rPr>
        <w:t>.</w:t>
      </w:r>
      <w:r w:rsidRPr="004D6B8B">
        <w:rPr>
          <w:rFonts w:cstheme="minorHAnsi"/>
          <w:sz w:val="24"/>
          <w:szCs w:val="24"/>
        </w:rPr>
        <w:t xml:space="preserve"> (2012) in a similar way, but this study did not provide a detailed breakdown of the questions and responses. </w:t>
      </w:r>
      <w:r w:rsidR="009255C3" w:rsidRPr="004D6B8B">
        <w:rPr>
          <w:rFonts w:cstheme="minorHAnsi"/>
          <w:sz w:val="24"/>
          <w:szCs w:val="24"/>
        </w:rPr>
        <w:t>The quantitative</w:t>
      </w:r>
      <w:r w:rsidRPr="004D6B8B">
        <w:rPr>
          <w:rFonts w:cstheme="minorHAnsi"/>
          <w:sz w:val="24"/>
          <w:szCs w:val="24"/>
        </w:rPr>
        <w:t xml:space="preserve"> studies </w:t>
      </w:r>
      <w:r w:rsidR="0095131D" w:rsidRPr="004D6B8B">
        <w:rPr>
          <w:rFonts w:cstheme="minorHAnsi"/>
          <w:sz w:val="24"/>
          <w:szCs w:val="24"/>
        </w:rPr>
        <w:t>measured</w:t>
      </w:r>
      <w:r w:rsidRPr="004D6B8B">
        <w:rPr>
          <w:rFonts w:cstheme="minorHAnsi"/>
          <w:sz w:val="24"/>
          <w:szCs w:val="24"/>
        </w:rPr>
        <w:t xml:space="preserve"> knowledge</w:t>
      </w:r>
      <w:r w:rsidR="009255C3" w:rsidRPr="004D6B8B">
        <w:rPr>
          <w:rFonts w:cstheme="minorHAnsi"/>
          <w:sz w:val="24"/>
          <w:szCs w:val="24"/>
        </w:rPr>
        <w:t xml:space="preserve"> and sometimes confidence, but did not report on retention of learning</w:t>
      </w:r>
      <w:r w:rsidR="00CE63FB" w:rsidRPr="004D6B8B">
        <w:rPr>
          <w:rFonts w:cstheme="minorHAnsi"/>
          <w:sz w:val="24"/>
          <w:szCs w:val="24"/>
        </w:rPr>
        <w:t>, knowledge</w:t>
      </w:r>
      <w:r w:rsidR="0017061A" w:rsidRPr="004D6B8B">
        <w:rPr>
          <w:rFonts w:cstheme="minorHAnsi"/>
          <w:sz w:val="24"/>
          <w:szCs w:val="24"/>
        </w:rPr>
        <w:t xml:space="preserve"> transfer</w:t>
      </w:r>
      <w:r w:rsidR="009255C3" w:rsidRPr="004D6B8B">
        <w:rPr>
          <w:rFonts w:cstheme="minorHAnsi"/>
          <w:sz w:val="24"/>
          <w:szCs w:val="24"/>
        </w:rPr>
        <w:t xml:space="preserve"> or practice change.</w:t>
      </w:r>
      <w:r w:rsidR="002944EB" w:rsidRPr="004D6B8B">
        <w:rPr>
          <w:rFonts w:cstheme="minorHAnsi"/>
          <w:sz w:val="24"/>
          <w:szCs w:val="24"/>
        </w:rPr>
        <w:t xml:space="preserve"> However, the quality of the quantitative studies was fair to good</w:t>
      </w:r>
      <w:r w:rsidR="0017061A" w:rsidRPr="004D6B8B">
        <w:rPr>
          <w:rFonts w:cstheme="minorHAnsi"/>
          <w:sz w:val="24"/>
          <w:szCs w:val="24"/>
        </w:rPr>
        <w:t xml:space="preserve"> scoring </w:t>
      </w:r>
      <w:r w:rsidR="00A56F8F" w:rsidRPr="004D6B8B">
        <w:rPr>
          <w:rFonts w:cstheme="minorHAnsi"/>
          <w:sz w:val="24"/>
          <w:szCs w:val="24"/>
        </w:rPr>
        <w:t>23</w:t>
      </w:r>
      <w:r w:rsidR="0017061A" w:rsidRPr="004D6B8B">
        <w:rPr>
          <w:rFonts w:cstheme="minorHAnsi"/>
          <w:sz w:val="24"/>
          <w:szCs w:val="24"/>
        </w:rPr>
        <w:t>-</w:t>
      </w:r>
      <w:r w:rsidR="00A56F8F" w:rsidRPr="004D6B8B">
        <w:rPr>
          <w:rFonts w:cstheme="minorHAnsi"/>
          <w:sz w:val="24"/>
          <w:szCs w:val="24"/>
        </w:rPr>
        <w:t>34</w:t>
      </w:r>
      <w:r w:rsidR="0017061A" w:rsidRPr="004D6B8B">
        <w:rPr>
          <w:rFonts w:cstheme="minorHAnsi"/>
          <w:sz w:val="24"/>
          <w:szCs w:val="24"/>
        </w:rPr>
        <w:t xml:space="preserve"> on the Hawker</w:t>
      </w:r>
      <w:r w:rsidR="003671A3" w:rsidRPr="004D6B8B">
        <w:rPr>
          <w:rFonts w:cstheme="minorHAnsi"/>
          <w:sz w:val="24"/>
          <w:szCs w:val="24"/>
        </w:rPr>
        <w:t xml:space="preserve"> et al.</w:t>
      </w:r>
      <w:r w:rsidR="0017061A" w:rsidRPr="004D6B8B">
        <w:rPr>
          <w:rFonts w:cstheme="minorHAnsi"/>
          <w:sz w:val="24"/>
          <w:szCs w:val="24"/>
        </w:rPr>
        <w:t xml:space="preserve"> (2002) scale.</w:t>
      </w:r>
    </w:p>
    <w:p w14:paraId="2B6B75FF" w14:textId="60819ACB" w:rsidR="004F57A9" w:rsidRPr="004D6B8B" w:rsidRDefault="004F57A9" w:rsidP="005A13A0">
      <w:pPr>
        <w:rPr>
          <w:rFonts w:cstheme="minorHAnsi"/>
          <w:sz w:val="24"/>
          <w:szCs w:val="24"/>
        </w:rPr>
      </w:pPr>
      <w:r w:rsidRPr="004D6B8B">
        <w:rPr>
          <w:rFonts w:cstheme="minorHAnsi"/>
          <w:sz w:val="24"/>
          <w:szCs w:val="24"/>
        </w:rPr>
        <w:lastRenderedPageBreak/>
        <w:t>Q</w:t>
      </w:r>
      <w:r w:rsidR="00A34CEE" w:rsidRPr="004D6B8B">
        <w:rPr>
          <w:rFonts w:cstheme="minorHAnsi"/>
          <w:sz w:val="24"/>
          <w:szCs w:val="24"/>
        </w:rPr>
        <w:t xml:space="preserve">ualitative studies </w:t>
      </w:r>
      <w:r w:rsidR="001F3F29" w:rsidRPr="004D6B8B">
        <w:rPr>
          <w:rFonts w:cstheme="minorHAnsi"/>
          <w:sz w:val="24"/>
          <w:szCs w:val="24"/>
        </w:rPr>
        <w:t>(</w:t>
      </w:r>
      <w:proofErr w:type="spellStart"/>
      <w:r w:rsidR="001F3F29" w:rsidRPr="004D6B8B">
        <w:rPr>
          <w:rFonts w:cstheme="minorHAnsi"/>
          <w:sz w:val="24"/>
          <w:szCs w:val="24"/>
        </w:rPr>
        <w:t>Manthorpe</w:t>
      </w:r>
      <w:proofErr w:type="spellEnd"/>
      <w:r w:rsidR="0056672F" w:rsidRPr="004D6B8B">
        <w:rPr>
          <w:rFonts w:cstheme="minorHAnsi"/>
          <w:sz w:val="24"/>
          <w:szCs w:val="24"/>
        </w:rPr>
        <w:t xml:space="preserve">, Rapaport, Harris, &amp; </w:t>
      </w:r>
      <w:proofErr w:type="spellStart"/>
      <w:r w:rsidR="0056672F" w:rsidRPr="004D6B8B">
        <w:rPr>
          <w:rFonts w:cstheme="minorHAnsi"/>
          <w:sz w:val="24"/>
          <w:szCs w:val="24"/>
        </w:rPr>
        <w:t>Samsi</w:t>
      </w:r>
      <w:proofErr w:type="spellEnd"/>
      <w:r w:rsidR="0056672F" w:rsidRPr="004D6B8B">
        <w:rPr>
          <w:rFonts w:cstheme="minorHAnsi"/>
          <w:sz w:val="24"/>
          <w:szCs w:val="24"/>
        </w:rPr>
        <w:t>,</w:t>
      </w:r>
      <w:r w:rsidR="001F3F29" w:rsidRPr="004D6B8B">
        <w:rPr>
          <w:rFonts w:cstheme="minorHAnsi"/>
          <w:sz w:val="24"/>
          <w:szCs w:val="24"/>
        </w:rPr>
        <w:t xml:space="preserve"> 2009; </w:t>
      </w:r>
      <w:proofErr w:type="spellStart"/>
      <w:r w:rsidR="001F3F29" w:rsidRPr="004D6B8B">
        <w:rPr>
          <w:rFonts w:cstheme="minorHAnsi"/>
          <w:sz w:val="24"/>
          <w:szCs w:val="24"/>
        </w:rPr>
        <w:t>Samsi</w:t>
      </w:r>
      <w:proofErr w:type="spellEnd"/>
      <w:r w:rsidR="0056672F" w:rsidRPr="004D6B8B">
        <w:rPr>
          <w:rFonts w:cstheme="minorHAnsi"/>
          <w:sz w:val="24"/>
          <w:szCs w:val="24"/>
        </w:rPr>
        <w:t xml:space="preserve">, </w:t>
      </w:r>
      <w:proofErr w:type="spellStart"/>
      <w:r w:rsidR="0056672F" w:rsidRPr="004D6B8B">
        <w:rPr>
          <w:rFonts w:cstheme="minorHAnsi"/>
          <w:sz w:val="24"/>
          <w:szCs w:val="24"/>
        </w:rPr>
        <w:t>Manthorpe</w:t>
      </w:r>
      <w:proofErr w:type="spellEnd"/>
      <w:r w:rsidR="0056672F" w:rsidRPr="004D6B8B">
        <w:rPr>
          <w:rFonts w:cstheme="minorHAnsi"/>
          <w:sz w:val="24"/>
          <w:szCs w:val="24"/>
        </w:rPr>
        <w:t xml:space="preserve">, </w:t>
      </w:r>
      <w:proofErr w:type="spellStart"/>
      <w:r w:rsidR="0056672F" w:rsidRPr="004D6B8B">
        <w:rPr>
          <w:rFonts w:cstheme="minorHAnsi"/>
          <w:sz w:val="24"/>
          <w:szCs w:val="24"/>
        </w:rPr>
        <w:t>Nagendran</w:t>
      </w:r>
      <w:proofErr w:type="spellEnd"/>
      <w:r w:rsidR="0056672F" w:rsidRPr="004D6B8B">
        <w:rPr>
          <w:rFonts w:cstheme="minorHAnsi"/>
          <w:sz w:val="24"/>
          <w:szCs w:val="24"/>
        </w:rPr>
        <w:t>, &amp; Heath</w:t>
      </w:r>
      <w:r w:rsidR="001F3F29" w:rsidRPr="004D6B8B">
        <w:rPr>
          <w:rFonts w:cstheme="minorHAnsi"/>
          <w:sz w:val="24"/>
          <w:szCs w:val="24"/>
        </w:rPr>
        <w:t xml:space="preserve">, 2011; Gough </w:t>
      </w:r>
      <w:r w:rsidR="0056672F" w:rsidRPr="004D6B8B">
        <w:rPr>
          <w:rFonts w:cstheme="minorHAnsi"/>
          <w:sz w:val="24"/>
          <w:szCs w:val="24"/>
        </w:rPr>
        <w:t>&amp;</w:t>
      </w:r>
      <w:r w:rsidR="00181AAB" w:rsidRPr="004D6B8B">
        <w:rPr>
          <w:rFonts w:cstheme="minorHAnsi"/>
          <w:sz w:val="24"/>
          <w:szCs w:val="24"/>
        </w:rPr>
        <w:t xml:space="preserve"> </w:t>
      </w:r>
      <w:proofErr w:type="spellStart"/>
      <w:r w:rsidR="001F3F29" w:rsidRPr="004D6B8B">
        <w:rPr>
          <w:rFonts w:cstheme="minorHAnsi"/>
          <w:sz w:val="24"/>
          <w:szCs w:val="24"/>
        </w:rPr>
        <w:t>Kerlin</w:t>
      </w:r>
      <w:proofErr w:type="spellEnd"/>
      <w:r w:rsidR="001F3F29" w:rsidRPr="004D6B8B">
        <w:rPr>
          <w:rFonts w:cstheme="minorHAnsi"/>
          <w:sz w:val="24"/>
          <w:szCs w:val="24"/>
        </w:rPr>
        <w:t xml:space="preserve">, 2012; </w:t>
      </w:r>
      <w:proofErr w:type="spellStart"/>
      <w:r w:rsidR="001F3F29" w:rsidRPr="004D6B8B">
        <w:rPr>
          <w:rFonts w:cstheme="minorHAnsi"/>
          <w:sz w:val="24"/>
          <w:szCs w:val="24"/>
        </w:rPr>
        <w:t>Manthorpe</w:t>
      </w:r>
      <w:proofErr w:type="spellEnd"/>
      <w:r w:rsidR="001F3F29" w:rsidRPr="004D6B8B">
        <w:rPr>
          <w:rFonts w:cstheme="minorHAnsi"/>
          <w:sz w:val="24"/>
          <w:szCs w:val="24"/>
        </w:rPr>
        <w:t xml:space="preserve"> </w:t>
      </w:r>
      <w:r w:rsidR="0056672F" w:rsidRPr="004D6B8B">
        <w:rPr>
          <w:rFonts w:cstheme="minorHAnsi"/>
          <w:sz w:val="24"/>
          <w:szCs w:val="24"/>
        </w:rPr>
        <w:t>&amp;</w:t>
      </w:r>
      <w:r w:rsidR="001F3F29" w:rsidRPr="004D6B8B">
        <w:rPr>
          <w:rFonts w:cstheme="minorHAnsi"/>
          <w:sz w:val="24"/>
          <w:szCs w:val="24"/>
        </w:rPr>
        <w:t xml:space="preserve"> </w:t>
      </w:r>
      <w:proofErr w:type="spellStart"/>
      <w:r w:rsidR="001F3F29" w:rsidRPr="004D6B8B">
        <w:rPr>
          <w:rFonts w:cstheme="minorHAnsi"/>
          <w:sz w:val="24"/>
          <w:szCs w:val="24"/>
        </w:rPr>
        <w:t>Samsi</w:t>
      </w:r>
      <w:proofErr w:type="spellEnd"/>
      <w:r w:rsidR="001F3F29" w:rsidRPr="004D6B8B">
        <w:rPr>
          <w:rFonts w:cstheme="minorHAnsi"/>
          <w:sz w:val="24"/>
          <w:szCs w:val="24"/>
        </w:rPr>
        <w:t xml:space="preserve">, 2016) </w:t>
      </w:r>
      <w:r w:rsidR="00A34CEE" w:rsidRPr="004D6B8B">
        <w:rPr>
          <w:rFonts w:cstheme="minorHAnsi"/>
          <w:sz w:val="24"/>
          <w:szCs w:val="24"/>
        </w:rPr>
        <w:t>were conducted using structured or semi-structured interviews</w:t>
      </w:r>
      <w:r w:rsidR="00DB6945" w:rsidRPr="004D6B8B">
        <w:rPr>
          <w:rFonts w:cstheme="minorHAnsi"/>
          <w:sz w:val="24"/>
          <w:szCs w:val="24"/>
        </w:rPr>
        <w:t xml:space="preserve">, with one study (Gough </w:t>
      </w:r>
      <w:r w:rsidR="0056672F" w:rsidRPr="004D6B8B">
        <w:rPr>
          <w:rFonts w:cstheme="minorHAnsi"/>
          <w:sz w:val="24"/>
          <w:szCs w:val="24"/>
        </w:rPr>
        <w:t>&amp;</w:t>
      </w:r>
      <w:r w:rsidR="00DB6945" w:rsidRPr="004D6B8B">
        <w:rPr>
          <w:rFonts w:cstheme="minorHAnsi"/>
          <w:sz w:val="24"/>
          <w:szCs w:val="24"/>
        </w:rPr>
        <w:t xml:space="preserve"> </w:t>
      </w:r>
      <w:proofErr w:type="spellStart"/>
      <w:r w:rsidR="00DB6945" w:rsidRPr="004D6B8B">
        <w:rPr>
          <w:rFonts w:cstheme="minorHAnsi"/>
          <w:sz w:val="24"/>
          <w:szCs w:val="24"/>
        </w:rPr>
        <w:t>Ke</w:t>
      </w:r>
      <w:r w:rsidR="004F79DD" w:rsidRPr="004D6B8B">
        <w:rPr>
          <w:rFonts w:cstheme="minorHAnsi"/>
          <w:sz w:val="24"/>
          <w:szCs w:val="24"/>
        </w:rPr>
        <w:t>r</w:t>
      </w:r>
      <w:r w:rsidR="00DB6945" w:rsidRPr="004D6B8B">
        <w:rPr>
          <w:rFonts w:cstheme="minorHAnsi"/>
          <w:sz w:val="24"/>
          <w:szCs w:val="24"/>
        </w:rPr>
        <w:t>lin</w:t>
      </w:r>
      <w:proofErr w:type="spellEnd"/>
      <w:r w:rsidR="0056672F" w:rsidRPr="004D6B8B">
        <w:rPr>
          <w:rFonts w:cstheme="minorHAnsi"/>
          <w:sz w:val="24"/>
          <w:szCs w:val="24"/>
        </w:rPr>
        <w:t>,</w:t>
      </w:r>
      <w:r w:rsidR="00DB6945" w:rsidRPr="004D6B8B">
        <w:rPr>
          <w:rFonts w:cstheme="minorHAnsi"/>
          <w:sz w:val="24"/>
          <w:szCs w:val="24"/>
        </w:rPr>
        <w:t xml:space="preserve"> 2012) also using a focus group.</w:t>
      </w:r>
      <w:r w:rsidR="0020790F" w:rsidRPr="004D6B8B">
        <w:rPr>
          <w:rFonts w:cstheme="minorHAnsi"/>
          <w:sz w:val="24"/>
          <w:szCs w:val="24"/>
        </w:rPr>
        <w:t xml:space="preserve"> Participants were drawn from a wide range of health and social care backgrounds. Participant numbers ranged from </w:t>
      </w:r>
      <w:r w:rsidR="00DB6945" w:rsidRPr="004D6B8B">
        <w:rPr>
          <w:rFonts w:cstheme="minorHAnsi"/>
          <w:sz w:val="24"/>
          <w:szCs w:val="24"/>
        </w:rPr>
        <w:t xml:space="preserve">eight to 26. </w:t>
      </w:r>
      <w:r w:rsidR="0020790F" w:rsidRPr="004D6B8B">
        <w:rPr>
          <w:rFonts w:cstheme="minorHAnsi"/>
          <w:sz w:val="24"/>
          <w:szCs w:val="24"/>
        </w:rPr>
        <w:t xml:space="preserve">Participants expressed views which related to the nature of their own professional responsibilities, training experiences and localities, so findings may not be transferable. </w:t>
      </w:r>
      <w:r w:rsidR="002944EB" w:rsidRPr="004D6B8B">
        <w:rPr>
          <w:rFonts w:cstheme="minorHAnsi"/>
          <w:sz w:val="24"/>
          <w:szCs w:val="24"/>
        </w:rPr>
        <w:t>The</w:t>
      </w:r>
      <w:r w:rsidR="0017061A" w:rsidRPr="004D6B8B">
        <w:rPr>
          <w:rFonts w:cstheme="minorHAnsi"/>
          <w:sz w:val="24"/>
          <w:szCs w:val="24"/>
        </w:rPr>
        <w:t xml:space="preserve">se studies scored </w:t>
      </w:r>
      <w:proofErr w:type="gramStart"/>
      <w:r w:rsidR="0017061A" w:rsidRPr="004D6B8B">
        <w:rPr>
          <w:rFonts w:cstheme="minorHAnsi"/>
          <w:sz w:val="24"/>
          <w:szCs w:val="24"/>
        </w:rPr>
        <w:t xml:space="preserve">between </w:t>
      </w:r>
      <w:r w:rsidR="007C43CE" w:rsidRPr="004D6B8B">
        <w:rPr>
          <w:rFonts w:cstheme="minorHAnsi"/>
          <w:sz w:val="24"/>
          <w:szCs w:val="24"/>
        </w:rPr>
        <w:t>19</w:t>
      </w:r>
      <w:r w:rsidR="0017061A" w:rsidRPr="004D6B8B">
        <w:rPr>
          <w:rFonts w:cstheme="minorHAnsi"/>
          <w:sz w:val="24"/>
          <w:szCs w:val="24"/>
        </w:rPr>
        <w:t>-</w:t>
      </w:r>
      <w:r w:rsidR="007C43CE" w:rsidRPr="004D6B8B">
        <w:rPr>
          <w:rFonts w:cstheme="minorHAnsi"/>
          <w:sz w:val="24"/>
          <w:szCs w:val="24"/>
        </w:rPr>
        <w:t>36</w:t>
      </w:r>
      <w:r w:rsidR="0017061A" w:rsidRPr="004D6B8B">
        <w:rPr>
          <w:rFonts w:cstheme="minorHAnsi"/>
          <w:sz w:val="24"/>
          <w:szCs w:val="24"/>
        </w:rPr>
        <w:t xml:space="preserve"> on the Hawker </w:t>
      </w:r>
      <w:r w:rsidR="0056672F" w:rsidRPr="004D6B8B">
        <w:rPr>
          <w:rFonts w:cstheme="minorHAnsi"/>
          <w:sz w:val="24"/>
          <w:szCs w:val="24"/>
        </w:rPr>
        <w:t>et al.</w:t>
      </w:r>
      <w:proofErr w:type="gramEnd"/>
      <w:r w:rsidR="0056672F" w:rsidRPr="004D6B8B">
        <w:rPr>
          <w:rFonts w:cstheme="minorHAnsi"/>
          <w:sz w:val="24"/>
          <w:szCs w:val="24"/>
        </w:rPr>
        <w:t xml:space="preserve"> </w:t>
      </w:r>
      <w:r w:rsidR="0017061A" w:rsidRPr="004D6B8B">
        <w:rPr>
          <w:rFonts w:cstheme="minorHAnsi"/>
          <w:sz w:val="24"/>
          <w:szCs w:val="24"/>
        </w:rPr>
        <w:t xml:space="preserve">(2002) indicating </w:t>
      </w:r>
      <w:r w:rsidR="007C43CE" w:rsidRPr="004D6B8B">
        <w:rPr>
          <w:rFonts w:cstheme="minorHAnsi"/>
          <w:sz w:val="24"/>
          <w:szCs w:val="24"/>
        </w:rPr>
        <w:t xml:space="preserve">generally </w:t>
      </w:r>
      <w:r w:rsidR="0017061A" w:rsidRPr="004D6B8B">
        <w:rPr>
          <w:rFonts w:cstheme="minorHAnsi"/>
          <w:sz w:val="24"/>
          <w:szCs w:val="24"/>
        </w:rPr>
        <w:t xml:space="preserve">good quality. </w:t>
      </w:r>
      <w:r w:rsidR="002944EB" w:rsidRPr="004D6B8B">
        <w:rPr>
          <w:rFonts w:cstheme="minorHAnsi"/>
          <w:sz w:val="24"/>
          <w:szCs w:val="24"/>
        </w:rPr>
        <w:t xml:space="preserve"> </w:t>
      </w:r>
      <w:r w:rsidR="00181AAB" w:rsidRPr="004D6B8B">
        <w:rPr>
          <w:rFonts w:cstheme="minorHAnsi"/>
          <w:sz w:val="24"/>
          <w:szCs w:val="24"/>
        </w:rPr>
        <w:t xml:space="preserve">We included three case studies: </w:t>
      </w:r>
      <w:proofErr w:type="spellStart"/>
      <w:r w:rsidR="00181AAB" w:rsidRPr="004D6B8B">
        <w:rPr>
          <w:rFonts w:cstheme="minorHAnsi"/>
          <w:sz w:val="24"/>
          <w:szCs w:val="24"/>
        </w:rPr>
        <w:t>Phair</w:t>
      </w:r>
      <w:proofErr w:type="spellEnd"/>
      <w:r w:rsidR="00181AAB" w:rsidRPr="004D6B8B">
        <w:rPr>
          <w:rFonts w:cstheme="minorHAnsi"/>
          <w:sz w:val="24"/>
          <w:szCs w:val="24"/>
        </w:rPr>
        <w:t xml:space="preserve"> &amp; </w:t>
      </w:r>
      <w:proofErr w:type="spellStart"/>
      <w:r w:rsidR="00181AAB" w:rsidRPr="004D6B8B">
        <w:rPr>
          <w:rFonts w:cstheme="minorHAnsi"/>
          <w:sz w:val="24"/>
          <w:szCs w:val="24"/>
        </w:rPr>
        <w:t>Manthorpe</w:t>
      </w:r>
      <w:proofErr w:type="spellEnd"/>
      <w:r w:rsidR="00181AAB" w:rsidRPr="004D6B8B">
        <w:rPr>
          <w:rFonts w:cstheme="minorHAnsi"/>
          <w:sz w:val="24"/>
          <w:szCs w:val="24"/>
        </w:rPr>
        <w:t xml:space="preserve"> 2012; Lee-Foster 2010; Pike, </w:t>
      </w:r>
      <w:proofErr w:type="spellStart"/>
      <w:r w:rsidR="00181AAB" w:rsidRPr="004D6B8B">
        <w:rPr>
          <w:rFonts w:cstheme="minorHAnsi"/>
        </w:rPr>
        <w:t>Indge</w:t>
      </w:r>
      <w:proofErr w:type="spellEnd"/>
      <w:r w:rsidR="00181AAB" w:rsidRPr="004D6B8B">
        <w:rPr>
          <w:rFonts w:cstheme="minorHAnsi"/>
        </w:rPr>
        <w:t xml:space="preserve">, </w:t>
      </w:r>
      <w:proofErr w:type="spellStart"/>
      <w:r w:rsidR="00181AAB" w:rsidRPr="004D6B8B">
        <w:rPr>
          <w:rFonts w:cstheme="minorHAnsi"/>
        </w:rPr>
        <w:t>Leverton</w:t>
      </w:r>
      <w:proofErr w:type="spellEnd"/>
      <w:r w:rsidR="00181AAB" w:rsidRPr="004D6B8B">
        <w:rPr>
          <w:rFonts w:cstheme="minorHAnsi"/>
        </w:rPr>
        <w:t>, Ford, &amp; Gilbert</w:t>
      </w:r>
      <w:r w:rsidR="00181AAB" w:rsidRPr="004D6B8B">
        <w:rPr>
          <w:rFonts w:cstheme="minorHAnsi"/>
          <w:sz w:val="24"/>
          <w:szCs w:val="24"/>
        </w:rPr>
        <w:t xml:space="preserve"> 2010). Case studies may be less rigorous in their methods because researchers are evaluating their own work, or because the focus of the study is necessarily local and small. The Hawker checklist scores for these studies were poor to fair</w:t>
      </w:r>
      <w:r w:rsidR="007C43CE" w:rsidRPr="004D6B8B">
        <w:rPr>
          <w:rFonts w:cstheme="minorHAnsi"/>
          <w:sz w:val="24"/>
          <w:szCs w:val="24"/>
        </w:rPr>
        <w:t xml:space="preserve"> (13-</w:t>
      </w:r>
      <w:r w:rsidR="005D0DCD" w:rsidRPr="004D6B8B">
        <w:rPr>
          <w:rFonts w:cstheme="minorHAnsi"/>
          <w:sz w:val="24"/>
          <w:szCs w:val="24"/>
        </w:rPr>
        <w:t>27)</w:t>
      </w:r>
      <w:r w:rsidR="00181AAB" w:rsidRPr="004D6B8B">
        <w:rPr>
          <w:rFonts w:cstheme="minorHAnsi"/>
          <w:sz w:val="24"/>
          <w:szCs w:val="24"/>
        </w:rPr>
        <w:t xml:space="preserve">. Nevertheless, the in-depth detail and reflection on outcomes can mean conclusions are valuable, bearing limitations in mind. </w:t>
      </w:r>
    </w:p>
    <w:p w14:paraId="750E5F09" w14:textId="2E15E073" w:rsidR="003527DE" w:rsidRPr="004D6B8B" w:rsidRDefault="00B74EDF" w:rsidP="005A13A0">
      <w:pPr>
        <w:rPr>
          <w:rFonts w:cstheme="minorHAnsi"/>
          <w:sz w:val="24"/>
          <w:szCs w:val="24"/>
        </w:rPr>
      </w:pPr>
      <w:r w:rsidRPr="004D6B8B">
        <w:rPr>
          <w:rFonts w:cstheme="minorHAnsi"/>
          <w:sz w:val="24"/>
          <w:szCs w:val="24"/>
        </w:rPr>
        <w:t xml:space="preserve">There </w:t>
      </w:r>
      <w:r w:rsidR="00960D3D" w:rsidRPr="004D6B8B">
        <w:rPr>
          <w:rFonts w:cstheme="minorHAnsi"/>
          <w:sz w:val="24"/>
          <w:szCs w:val="24"/>
        </w:rPr>
        <w:t>were two</w:t>
      </w:r>
      <w:r w:rsidRPr="004D6B8B">
        <w:rPr>
          <w:rFonts w:cstheme="minorHAnsi"/>
          <w:sz w:val="24"/>
          <w:szCs w:val="24"/>
        </w:rPr>
        <w:t xml:space="preserve"> mixed-methods stud</w:t>
      </w:r>
      <w:r w:rsidR="00960D3D" w:rsidRPr="004D6B8B">
        <w:rPr>
          <w:rFonts w:cstheme="minorHAnsi"/>
          <w:sz w:val="24"/>
          <w:szCs w:val="24"/>
        </w:rPr>
        <w:t>ies</w:t>
      </w:r>
      <w:r w:rsidRPr="004D6B8B">
        <w:rPr>
          <w:rFonts w:cstheme="minorHAnsi"/>
          <w:sz w:val="24"/>
          <w:szCs w:val="24"/>
        </w:rPr>
        <w:t xml:space="preserve">. </w:t>
      </w:r>
      <w:proofErr w:type="gramStart"/>
      <w:r w:rsidR="00DB6945" w:rsidRPr="004D6B8B">
        <w:rPr>
          <w:rFonts w:cstheme="minorHAnsi"/>
          <w:sz w:val="24"/>
          <w:szCs w:val="24"/>
        </w:rPr>
        <w:t xml:space="preserve">Marshall </w:t>
      </w:r>
      <w:r w:rsidR="00E724A0" w:rsidRPr="004D6B8B">
        <w:rPr>
          <w:rFonts w:cstheme="minorHAnsi"/>
          <w:sz w:val="24"/>
          <w:szCs w:val="24"/>
        </w:rPr>
        <w:t>&amp;</w:t>
      </w:r>
      <w:proofErr w:type="gramEnd"/>
      <w:r w:rsidR="00DB6945" w:rsidRPr="004D6B8B">
        <w:rPr>
          <w:rFonts w:cstheme="minorHAnsi"/>
          <w:sz w:val="24"/>
          <w:szCs w:val="24"/>
        </w:rPr>
        <w:t xml:space="preserve"> Sprung (2016</w:t>
      </w:r>
      <w:r w:rsidRPr="004D6B8B">
        <w:rPr>
          <w:rFonts w:cstheme="minorHAnsi"/>
          <w:sz w:val="24"/>
          <w:szCs w:val="24"/>
        </w:rPr>
        <w:t>b</w:t>
      </w:r>
      <w:r w:rsidR="00DB6945" w:rsidRPr="004D6B8B">
        <w:rPr>
          <w:rFonts w:cstheme="minorHAnsi"/>
          <w:sz w:val="24"/>
          <w:szCs w:val="24"/>
        </w:rPr>
        <w:t>) used</w:t>
      </w:r>
      <w:r w:rsidRPr="004D6B8B">
        <w:rPr>
          <w:rFonts w:cstheme="minorHAnsi"/>
          <w:sz w:val="24"/>
          <w:szCs w:val="24"/>
        </w:rPr>
        <w:t xml:space="preserve"> a questionnaire (response rate 17%</w:t>
      </w:r>
      <w:r w:rsidR="00ED17AC" w:rsidRPr="004D6B8B">
        <w:rPr>
          <w:rFonts w:cstheme="minorHAnsi"/>
          <w:sz w:val="24"/>
          <w:szCs w:val="24"/>
        </w:rPr>
        <w:t>, despite measures to encourage participation</w:t>
      </w:r>
      <w:r w:rsidRPr="004D6B8B">
        <w:rPr>
          <w:rFonts w:cstheme="minorHAnsi"/>
          <w:sz w:val="24"/>
          <w:szCs w:val="24"/>
        </w:rPr>
        <w:t xml:space="preserve">) investigating training outcomes and confidence, followed by interviews. </w:t>
      </w:r>
      <w:r w:rsidR="002944EB" w:rsidRPr="004D6B8B">
        <w:rPr>
          <w:rFonts w:cstheme="minorHAnsi"/>
          <w:sz w:val="24"/>
          <w:szCs w:val="24"/>
        </w:rPr>
        <w:t>The evaluation of this study using the Hawker checklist was also good</w:t>
      </w:r>
      <w:r w:rsidR="005D0DCD" w:rsidRPr="004D6B8B">
        <w:rPr>
          <w:rFonts w:cstheme="minorHAnsi"/>
          <w:sz w:val="24"/>
          <w:szCs w:val="24"/>
        </w:rPr>
        <w:t xml:space="preserve"> (31)</w:t>
      </w:r>
      <w:r w:rsidR="002944EB" w:rsidRPr="004D6B8B">
        <w:rPr>
          <w:rFonts w:cstheme="minorHAnsi"/>
          <w:sz w:val="24"/>
          <w:szCs w:val="24"/>
        </w:rPr>
        <w:t>.</w:t>
      </w:r>
      <w:r w:rsidR="00960D3D" w:rsidRPr="004D6B8B">
        <w:rPr>
          <w:rFonts w:cstheme="minorHAnsi"/>
          <w:sz w:val="24"/>
          <w:szCs w:val="24"/>
        </w:rPr>
        <w:t xml:space="preserve"> Bose and </w:t>
      </w:r>
      <w:proofErr w:type="spellStart"/>
      <w:r w:rsidR="00960D3D" w:rsidRPr="004D6B8B">
        <w:rPr>
          <w:rFonts w:cstheme="minorHAnsi"/>
          <w:sz w:val="24"/>
          <w:szCs w:val="24"/>
        </w:rPr>
        <w:t>McFiggans</w:t>
      </w:r>
      <w:proofErr w:type="spellEnd"/>
      <w:r w:rsidR="00960D3D" w:rsidRPr="004D6B8B">
        <w:rPr>
          <w:rFonts w:cstheme="minorHAnsi"/>
          <w:sz w:val="24"/>
          <w:szCs w:val="24"/>
        </w:rPr>
        <w:t xml:space="preserve"> (2019) used a questionnaire</w:t>
      </w:r>
      <w:r w:rsidR="00986F04" w:rsidRPr="004D6B8B">
        <w:rPr>
          <w:rFonts w:cstheme="minorHAnsi"/>
          <w:sz w:val="24"/>
          <w:szCs w:val="24"/>
        </w:rPr>
        <w:t xml:space="preserve"> pre and post training</w:t>
      </w:r>
      <w:r w:rsidR="00960D3D" w:rsidRPr="004D6B8B">
        <w:rPr>
          <w:rFonts w:cstheme="minorHAnsi"/>
          <w:sz w:val="24"/>
          <w:szCs w:val="24"/>
        </w:rPr>
        <w:t>, measur</w:t>
      </w:r>
      <w:r w:rsidR="00986F04" w:rsidRPr="004D6B8B">
        <w:rPr>
          <w:rFonts w:cstheme="minorHAnsi"/>
          <w:sz w:val="24"/>
          <w:szCs w:val="24"/>
        </w:rPr>
        <w:t>ing</w:t>
      </w:r>
      <w:r w:rsidR="00960D3D" w:rsidRPr="004D6B8B">
        <w:rPr>
          <w:rFonts w:cstheme="minorHAnsi"/>
          <w:sz w:val="24"/>
          <w:szCs w:val="24"/>
        </w:rPr>
        <w:t xml:space="preserve"> knowledge, confidence and awareness</w:t>
      </w:r>
      <w:r w:rsidR="00986F04" w:rsidRPr="004D6B8B">
        <w:rPr>
          <w:rFonts w:cstheme="minorHAnsi"/>
          <w:sz w:val="24"/>
          <w:szCs w:val="24"/>
        </w:rPr>
        <w:t>,</w:t>
      </w:r>
      <w:r w:rsidR="00960D3D" w:rsidRPr="004D6B8B">
        <w:rPr>
          <w:rFonts w:cstheme="minorHAnsi"/>
          <w:sz w:val="24"/>
          <w:szCs w:val="24"/>
        </w:rPr>
        <w:t xml:space="preserve"> followed by </w:t>
      </w:r>
      <w:r w:rsidR="00986F04" w:rsidRPr="004D6B8B">
        <w:rPr>
          <w:rFonts w:cstheme="minorHAnsi"/>
          <w:sz w:val="24"/>
          <w:szCs w:val="24"/>
        </w:rPr>
        <w:t xml:space="preserve">open-ended questions post training to gain feedback. </w:t>
      </w:r>
      <w:r w:rsidR="00C3390E" w:rsidRPr="004D6B8B">
        <w:rPr>
          <w:rFonts w:cstheme="minorHAnsi"/>
          <w:sz w:val="24"/>
          <w:szCs w:val="24"/>
        </w:rPr>
        <w:t xml:space="preserve">All 39 training participants completed the evaluation questionnaires. </w:t>
      </w:r>
      <w:r w:rsidR="00986F04" w:rsidRPr="004D6B8B">
        <w:rPr>
          <w:rFonts w:cstheme="minorHAnsi"/>
          <w:sz w:val="24"/>
          <w:szCs w:val="24"/>
        </w:rPr>
        <w:t>This study scored 27 on the Hawker checklist.</w:t>
      </w:r>
    </w:p>
    <w:p w14:paraId="3F326870" w14:textId="48358FC0" w:rsidR="004F57A9" w:rsidRPr="004D6B8B" w:rsidRDefault="004F57A9" w:rsidP="005A13A0">
      <w:pPr>
        <w:rPr>
          <w:rFonts w:cstheme="minorHAnsi"/>
          <w:sz w:val="24"/>
          <w:szCs w:val="24"/>
        </w:rPr>
      </w:pPr>
      <w:r w:rsidRPr="004D6B8B">
        <w:rPr>
          <w:rFonts w:cstheme="minorHAnsi"/>
          <w:i/>
          <w:iCs/>
          <w:sz w:val="24"/>
          <w:szCs w:val="24"/>
        </w:rPr>
        <w:t>Training</w:t>
      </w:r>
    </w:p>
    <w:p w14:paraId="3C78D1E5" w14:textId="30B4B90C" w:rsidR="005A13A0" w:rsidRPr="004D6B8B" w:rsidRDefault="00FF4075" w:rsidP="005A13A0">
      <w:pPr>
        <w:rPr>
          <w:rFonts w:cstheme="minorHAnsi"/>
          <w:sz w:val="24"/>
          <w:szCs w:val="24"/>
        </w:rPr>
      </w:pPr>
      <w:r w:rsidRPr="004D6B8B">
        <w:rPr>
          <w:rFonts w:cstheme="minorHAnsi"/>
          <w:sz w:val="24"/>
          <w:szCs w:val="24"/>
        </w:rPr>
        <w:t>Four</w:t>
      </w:r>
      <w:r w:rsidR="005A13A0" w:rsidRPr="004D6B8B">
        <w:rPr>
          <w:rFonts w:cstheme="minorHAnsi"/>
          <w:sz w:val="24"/>
          <w:szCs w:val="24"/>
        </w:rPr>
        <w:t xml:space="preserve"> studies directly reported on empirical research evaluating defined training </w:t>
      </w:r>
      <w:proofErr w:type="spellStart"/>
      <w:r w:rsidR="005A13A0" w:rsidRPr="004D6B8B">
        <w:rPr>
          <w:rFonts w:cstheme="minorHAnsi"/>
          <w:sz w:val="24"/>
          <w:szCs w:val="24"/>
        </w:rPr>
        <w:t>programmes</w:t>
      </w:r>
      <w:proofErr w:type="spellEnd"/>
      <w:r w:rsidR="005A13A0" w:rsidRPr="004D6B8B">
        <w:rPr>
          <w:rFonts w:cstheme="minorHAnsi"/>
          <w:sz w:val="24"/>
          <w:szCs w:val="24"/>
        </w:rPr>
        <w:t xml:space="preserve"> (</w:t>
      </w:r>
      <w:r w:rsidR="00700FF3" w:rsidRPr="004D6B8B">
        <w:rPr>
          <w:rFonts w:cstheme="minorHAnsi"/>
          <w:sz w:val="24"/>
          <w:szCs w:val="24"/>
        </w:rPr>
        <w:t>Schofield et al</w:t>
      </w:r>
      <w:r w:rsidR="00E724A0" w:rsidRPr="004D6B8B">
        <w:rPr>
          <w:rFonts w:cstheme="minorHAnsi"/>
          <w:sz w:val="24"/>
          <w:szCs w:val="24"/>
        </w:rPr>
        <w:t>.</w:t>
      </w:r>
      <w:r w:rsidR="00700FF3" w:rsidRPr="004D6B8B">
        <w:rPr>
          <w:rFonts w:cstheme="minorHAnsi"/>
          <w:sz w:val="24"/>
          <w:szCs w:val="24"/>
        </w:rPr>
        <w:t xml:space="preserve"> 2012</w:t>
      </w:r>
      <w:r w:rsidR="00E724A0" w:rsidRPr="004D6B8B">
        <w:rPr>
          <w:rFonts w:cstheme="minorHAnsi"/>
          <w:sz w:val="24"/>
          <w:szCs w:val="24"/>
        </w:rPr>
        <w:t>;</w:t>
      </w:r>
      <w:r w:rsidR="00700FF3" w:rsidRPr="004D6B8B">
        <w:rPr>
          <w:rFonts w:cstheme="minorHAnsi"/>
          <w:sz w:val="24"/>
          <w:szCs w:val="24"/>
        </w:rPr>
        <w:t xml:space="preserve"> </w:t>
      </w:r>
      <w:proofErr w:type="spellStart"/>
      <w:r w:rsidR="00700FF3" w:rsidRPr="004D6B8B">
        <w:rPr>
          <w:rFonts w:cstheme="minorHAnsi"/>
          <w:sz w:val="24"/>
          <w:szCs w:val="24"/>
        </w:rPr>
        <w:t>Willner</w:t>
      </w:r>
      <w:proofErr w:type="spellEnd"/>
      <w:r w:rsidR="00700FF3" w:rsidRPr="004D6B8B">
        <w:rPr>
          <w:rFonts w:cstheme="minorHAnsi"/>
          <w:sz w:val="24"/>
          <w:szCs w:val="24"/>
        </w:rPr>
        <w:t xml:space="preserve"> et al</w:t>
      </w:r>
      <w:r w:rsidR="00E724A0" w:rsidRPr="004D6B8B">
        <w:rPr>
          <w:rFonts w:cstheme="minorHAnsi"/>
          <w:sz w:val="24"/>
          <w:szCs w:val="24"/>
        </w:rPr>
        <w:t>.</w:t>
      </w:r>
      <w:r w:rsidR="00700FF3" w:rsidRPr="004D6B8B">
        <w:rPr>
          <w:rFonts w:cstheme="minorHAnsi"/>
          <w:sz w:val="24"/>
          <w:szCs w:val="24"/>
        </w:rPr>
        <w:t xml:space="preserve"> 2011</w:t>
      </w:r>
      <w:r w:rsidR="00E724A0" w:rsidRPr="004D6B8B">
        <w:rPr>
          <w:rFonts w:cstheme="minorHAnsi"/>
          <w:sz w:val="24"/>
          <w:szCs w:val="24"/>
        </w:rPr>
        <w:t xml:space="preserve">; </w:t>
      </w:r>
      <w:proofErr w:type="spellStart"/>
      <w:r w:rsidR="00700FF3" w:rsidRPr="004D6B8B">
        <w:rPr>
          <w:rFonts w:cstheme="minorHAnsi"/>
          <w:sz w:val="24"/>
          <w:szCs w:val="24"/>
        </w:rPr>
        <w:t>Willner</w:t>
      </w:r>
      <w:proofErr w:type="spellEnd"/>
      <w:r w:rsidR="00700FF3" w:rsidRPr="004D6B8B">
        <w:rPr>
          <w:rFonts w:cstheme="minorHAnsi"/>
          <w:sz w:val="24"/>
          <w:szCs w:val="24"/>
        </w:rPr>
        <w:t xml:space="preserve"> et al</w:t>
      </w:r>
      <w:r w:rsidR="00E724A0" w:rsidRPr="004D6B8B">
        <w:rPr>
          <w:rFonts w:cstheme="minorHAnsi"/>
          <w:sz w:val="24"/>
          <w:szCs w:val="24"/>
        </w:rPr>
        <w:t>.</w:t>
      </w:r>
      <w:r w:rsidR="00700FF3" w:rsidRPr="004D6B8B">
        <w:rPr>
          <w:rFonts w:cstheme="minorHAnsi"/>
          <w:sz w:val="24"/>
          <w:szCs w:val="24"/>
        </w:rPr>
        <w:t xml:space="preserve"> 2013</w:t>
      </w:r>
      <w:r w:rsidRPr="004D6B8B">
        <w:rPr>
          <w:rFonts w:cstheme="minorHAnsi"/>
          <w:sz w:val="24"/>
          <w:szCs w:val="24"/>
        </w:rPr>
        <w:t xml:space="preserve">; </w:t>
      </w:r>
      <w:r w:rsidR="00F26D3B" w:rsidRPr="004D6B8B">
        <w:rPr>
          <w:rFonts w:cstheme="minorHAnsi"/>
          <w:sz w:val="24"/>
          <w:szCs w:val="24"/>
        </w:rPr>
        <w:t xml:space="preserve">Bose &amp; </w:t>
      </w:r>
      <w:proofErr w:type="spellStart"/>
      <w:r w:rsidR="00F26D3B" w:rsidRPr="004D6B8B">
        <w:rPr>
          <w:rFonts w:cstheme="minorHAnsi"/>
          <w:sz w:val="24"/>
          <w:szCs w:val="24"/>
        </w:rPr>
        <w:t>McFiggans</w:t>
      </w:r>
      <w:proofErr w:type="spellEnd"/>
      <w:r w:rsidR="00F26D3B" w:rsidRPr="004D6B8B">
        <w:rPr>
          <w:rFonts w:cstheme="minorHAnsi"/>
          <w:sz w:val="24"/>
          <w:szCs w:val="24"/>
        </w:rPr>
        <w:t xml:space="preserve"> 2019</w:t>
      </w:r>
      <w:r w:rsidR="005A13A0" w:rsidRPr="004D6B8B">
        <w:rPr>
          <w:rFonts w:cstheme="minorHAnsi"/>
          <w:sz w:val="24"/>
          <w:szCs w:val="24"/>
        </w:rPr>
        <w:t xml:space="preserve">). The remainder offered review of professional groups’ knowledge of the MCA and training experiences and outcomes </w:t>
      </w:r>
      <w:r w:rsidR="00B91988" w:rsidRPr="004D6B8B">
        <w:rPr>
          <w:rFonts w:cstheme="minorHAnsi"/>
          <w:sz w:val="24"/>
          <w:szCs w:val="24"/>
        </w:rPr>
        <w:t>(</w:t>
      </w:r>
      <w:proofErr w:type="spellStart"/>
      <w:r w:rsidR="00B91988" w:rsidRPr="004D6B8B">
        <w:rPr>
          <w:rFonts w:cstheme="minorHAnsi"/>
          <w:sz w:val="24"/>
          <w:szCs w:val="24"/>
        </w:rPr>
        <w:t>Manthorpe</w:t>
      </w:r>
      <w:proofErr w:type="spellEnd"/>
      <w:r w:rsidR="00B91988" w:rsidRPr="004D6B8B">
        <w:rPr>
          <w:rFonts w:cstheme="minorHAnsi"/>
          <w:sz w:val="24"/>
          <w:szCs w:val="24"/>
        </w:rPr>
        <w:t xml:space="preserve"> </w:t>
      </w:r>
      <w:proofErr w:type="gramStart"/>
      <w:r w:rsidR="00B91988" w:rsidRPr="004D6B8B">
        <w:rPr>
          <w:rFonts w:cstheme="minorHAnsi"/>
          <w:sz w:val="24"/>
          <w:szCs w:val="24"/>
        </w:rPr>
        <w:t>et</w:t>
      </w:r>
      <w:proofErr w:type="gramEnd"/>
      <w:r w:rsidR="00B91988" w:rsidRPr="004D6B8B">
        <w:rPr>
          <w:rFonts w:cstheme="minorHAnsi"/>
          <w:sz w:val="24"/>
          <w:szCs w:val="24"/>
        </w:rPr>
        <w:t xml:space="preserve"> al.2009) </w:t>
      </w:r>
      <w:proofErr w:type="spellStart"/>
      <w:r w:rsidR="00B91988" w:rsidRPr="004D6B8B">
        <w:rPr>
          <w:rFonts w:cstheme="minorHAnsi"/>
          <w:sz w:val="24"/>
          <w:szCs w:val="24"/>
        </w:rPr>
        <w:t>Sawhney</w:t>
      </w:r>
      <w:proofErr w:type="spellEnd"/>
      <w:r w:rsidR="00E724A0" w:rsidRPr="004D6B8B">
        <w:rPr>
          <w:rFonts w:cstheme="minorHAnsi"/>
          <w:sz w:val="24"/>
          <w:szCs w:val="24"/>
        </w:rPr>
        <w:t xml:space="preserve"> et al. </w:t>
      </w:r>
      <w:r w:rsidR="00B91988" w:rsidRPr="004D6B8B">
        <w:rPr>
          <w:rFonts w:cstheme="minorHAnsi"/>
          <w:sz w:val="24"/>
          <w:szCs w:val="24"/>
        </w:rPr>
        <w:t xml:space="preserve"> (2009)</w:t>
      </w:r>
      <w:r w:rsidR="00E724A0" w:rsidRPr="004D6B8B">
        <w:rPr>
          <w:rFonts w:cstheme="minorHAnsi"/>
          <w:sz w:val="24"/>
          <w:szCs w:val="24"/>
        </w:rPr>
        <w:t>;</w:t>
      </w:r>
      <w:r w:rsidR="00B91988" w:rsidRPr="004D6B8B">
        <w:rPr>
          <w:rFonts w:cstheme="minorHAnsi"/>
          <w:sz w:val="24"/>
          <w:szCs w:val="24"/>
        </w:rPr>
        <w:t xml:space="preserve"> Shah et al. (2010), </w:t>
      </w:r>
      <w:proofErr w:type="spellStart"/>
      <w:r w:rsidR="00B91988" w:rsidRPr="004D6B8B">
        <w:rPr>
          <w:rFonts w:cstheme="minorHAnsi"/>
          <w:sz w:val="24"/>
          <w:szCs w:val="24"/>
        </w:rPr>
        <w:t>Willner</w:t>
      </w:r>
      <w:proofErr w:type="spellEnd"/>
      <w:r w:rsidR="00B91988" w:rsidRPr="004D6B8B">
        <w:rPr>
          <w:rFonts w:cstheme="minorHAnsi"/>
          <w:sz w:val="24"/>
          <w:szCs w:val="24"/>
        </w:rPr>
        <w:t xml:space="preserve"> et al. (2011)</w:t>
      </w:r>
      <w:r w:rsidR="00E724A0" w:rsidRPr="004D6B8B">
        <w:rPr>
          <w:rFonts w:cstheme="minorHAnsi"/>
          <w:sz w:val="24"/>
          <w:szCs w:val="24"/>
        </w:rPr>
        <w:t xml:space="preserve">; </w:t>
      </w:r>
      <w:proofErr w:type="spellStart"/>
      <w:r w:rsidR="00B91988" w:rsidRPr="004D6B8B">
        <w:rPr>
          <w:rFonts w:cstheme="minorHAnsi"/>
          <w:sz w:val="24"/>
          <w:szCs w:val="24"/>
        </w:rPr>
        <w:t>Samsi</w:t>
      </w:r>
      <w:proofErr w:type="spellEnd"/>
      <w:r w:rsidR="00B91988" w:rsidRPr="004D6B8B">
        <w:rPr>
          <w:rFonts w:cstheme="minorHAnsi"/>
          <w:sz w:val="24"/>
          <w:szCs w:val="24"/>
        </w:rPr>
        <w:t xml:space="preserve"> et al.(2011)</w:t>
      </w:r>
      <w:r w:rsidR="00E724A0" w:rsidRPr="004D6B8B">
        <w:rPr>
          <w:rFonts w:cstheme="minorHAnsi"/>
          <w:sz w:val="24"/>
          <w:szCs w:val="24"/>
        </w:rPr>
        <w:t>;</w:t>
      </w:r>
      <w:r w:rsidR="00B91988" w:rsidRPr="004D6B8B">
        <w:rPr>
          <w:rFonts w:cstheme="minorHAnsi"/>
          <w:sz w:val="24"/>
          <w:szCs w:val="24"/>
        </w:rPr>
        <w:t xml:space="preserve">, Gough </w:t>
      </w:r>
      <w:r w:rsidR="00E724A0" w:rsidRPr="004D6B8B">
        <w:rPr>
          <w:rFonts w:cstheme="minorHAnsi"/>
          <w:sz w:val="24"/>
          <w:szCs w:val="24"/>
        </w:rPr>
        <w:t>&amp;</w:t>
      </w:r>
      <w:r w:rsidR="00B91988" w:rsidRPr="004D6B8B">
        <w:rPr>
          <w:rFonts w:cstheme="minorHAnsi"/>
          <w:sz w:val="24"/>
          <w:szCs w:val="24"/>
        </w:rPr>
        <w:t xml:space="preserve"> </w:t>
      </w:r>
      <w:proofErr w:type="spellStart"/>
      <w:r w:rsidR="00B91988" w:rsidRPr="004D6B8B">
        <w:rPr>
          <w:rFonts w:cstheme="minorHAnsi"/>
          <w:sz w:val="24"/>
          <w:szCs w:val="24"/>
        </w:rPr>
        <w:t>Kerlin</w:t>
      </w:r>
      <w:proofErr w:type="spellEnd"/>
      <w:r w:rsidR="00B91988" w:rsidRPr="004D6B8B">
        <w:rPr>
          <w:rFonts w:cstheme="minorHAnsi"/>
          <w:sz w:val="24"/>
          <w:szCs w:val="24"/>
        </w:rPr>
        <w:t xml:space="preserve"> (2012)</w:t>
      </w:r>
      <w:r w:rsidR="00E724A0" w:rsidRPr="004D6B8B">
        <w:rPr>
          <w:rFonts w:cstheme="minorHAnsi"/>
          <w:sz w:val="24"/>
          <w:szCs w:val="24"/>
        </w:rPr>
        <w:t xml:space="preserve">; </w:t>
      </w:r>
      <w:r w:rsidR="00B91988" w:rsidRPr="004D6B8B">
        <w:rPr>
          <w:rFonts w:cstheme="minorHAnsi"/>
          <w:sz w:val="24"/>
          <w:szCs w:val="24"/>
        </w:rPr>
        <w:t>, Schofield</w:t>
      </w:r>
      <w:r w:rsidR="00E724A0" w:rsidRPr="004D6B8B">
        <w:rPr>
          <w:rFonts w:cstheme="minorHAnsi"/>
          <w:sz w:val="24"/>
          <w:szCs w:val="24"/>
        </w:rPr>
        <w:t xml:space="preserve"> et al.</w:t>
      </w:r>
      <w:r w:rsidR="00B91988" w:rsidRPr="004D6B8B">
        <w:rPr>
          <w:rFonts w:cstheme="minorHAnsi"/>
          <w:sz w:val="24"/>
          <w:szCs w:val="24"/>
        </w:rPr>
        <w:t xml:space="preserve"> (2012), </w:t>
      </w:r>
      <w:proofErr w:type="spellStart"/>
      <w:r w:rsidR="00B91988" w:rsidRPr="004D6B8B">
        <w:rPr>
          <w:rFonts w:cstheme="minorHAnsi"/>
          <w:sz w:val="24"/>
          <w:szCs w:val="24"/>
        </w:rPr>
        <w:t>Manthorpe</w:t>
      </w:r>
      <w:proofErr w:type="spellEnd"/>
      <w:r w:rsidR="00E724A0" w:rsidRPr="004D6B8B">
        <w:rPr>
          <w:rFonts w:cstheme="minorHAnsi"/>
          <w:sz w:val="24"/>
          <w:szCs w:val="24"/>
        </w:rPr>
        <w:t xml:space="preserve"> &amp;</w:t>
      </w:r>
      <w:r w:rsidR="00B91988" w:rsidRPr="004D6B8B">
        <w:rPr>
          <w:rFonts w:cstheme="minorHAnsi"/>
          <w:sz w:val="24"/>
          <w:szCs w:val="24"/>
        </w:rPr>
        <w:t xml:space="preserve"> </w:t>
      </w:r>
      <w:proofErr w:type="spellStart"/>
      <w:r w:rsidR="00B91988" w:rsidRPr="004D6B8B">
        <w:rPr>
          <w:rFonts w:cstheme="minorHAnsi"/>
          <w:sz w:val="24"/>
          <w:szCs w:val="24"/>
        </w:rPr>
        <w:t>Samsi</w:t>
      </w:r>
      <w:proofErr w:type="spellEnd"/>
      <w:r w:rsidR="00B91988" w:rsidRPr="004D6B8B">
        <w:rPr>
          <w:rFonts w:cstheme="minorHAnsi"/>
          <w:sz w:val="24"/>
          <w:szCs w:val="24"/>
        </w:rPr>
        <w:t xml:space="preserve"> (2016), Marshall</w:t>
      </w:r>
      <w:r w:rsidR="00E724A0" w:rsidRPr="004D6B8B">
        <w:rPr>
          <w:rFonts w:cstheme="minorHAnsi"/>
          <w:sz w:val="24"/>
          <w:szCs w:val="24"/>
        </w:rPr>
        <w:t xml:space="preserve"> &amp;</w:t>
      </w:r>
      <w:r w:rsidR="00035BE1" w:rsidRPr="004D6B8B">
        <w:rPr>
          <w:rFonts w:cstheme="minorHAnsi"/>
          <w:sz w:val="24"/>
          <w:szCs w:val="24"/>
        </w:rPr>
        <w:t xml:space="preserve"> </w:t>
      </w:r>
      <w:r w:rsidR="00B91988" w:rsidRPr="004D6B8B">
        <w:rPr>
          <w:rFonts w:cstheme="minorHAnsi"/>
          <w:sz w:val="24"/>
          <w:szCs w:val="24"/>
        </w:rPr>
        <w:t xml:space="preserve">Sprung (2016b), </w:t>
      </w:r>
      <w:proofErr w:type="spellStart"/>
      <w:r w:rsidR="00B91988" w:rsidRPr="004D6B8B">
        <w:rPr>
          <w:rFonts w:cstheme="minorHAnsi"/>
          <w:sz w:val="24"/>
          <w:szCs w:val="24"/>
        </w:rPr>
        <w:t>Morriss</w:t>
      </w:r>
      <w:proofErr w:type="spellEnd"/>
      <w:r w:rsidR="00B91988" w:rsidRPr="004D6B8B">
        <w:rPr>
          <w:rFonts w:cstheme="minorHAnsi"/>
          <w:sz w:val="24"/>
          <w:szCs w:val="24"/>
        </w:rPr>
        <w:t xml:space="preserve"> et al. (2017).</w:t>
      </w:r>
    </w:p>
    <w:p w14:paraId="67C2CD4A" w14:textId="1B6157A7" w:rsidR="005A13A0" w:rsidRPr="004D6B8B" w:rsidRDefault="00F26D3B" w:rsidP="005A13A0">
      <w:pPr>
        <w:rPr>
          <w:rFonts w:cstheme="minorHAnsi"/>
          <w:sz w:val="24"/>
          <w:szCs w:val="24"/>
        </w:rPr>
      </w:pPr>
      <w:r w:rsidRPr="004D6B8B">
        <w:rPr>
          <w:rFonts w:cstheme="minorHAnsi"/>
          <w:sz w:val="24"/>
          <w:szCs w:val="24"/>
        </w:rPr>
        <w:t>Three</w:t>
      </w:r>
      <w:r w:rsidR="005A13A0" w:rsidRPr="004D6B8B">
        <w:rPr>
          <w:rFonts w:cstheme="minorHAnsi"/>
          <w:sz w:val="24"/>
          <w:szCs w:val="24"/>
        </w:rPr>
        <w:t xml:space="preserve"> papers report on profession specific training</w:t>
      </w:r>
      <w:r w:rsidR="005045E7" w:rsidRPr="004D6B8B">
        <w:rPr>
          <w:rFonts w:cstheme="minorHAnsi"/>
          <w:sz w:val="24"/>
          <w:szCs w:val="24"/>
        </w:rPr>
        <w:t xml:space="preserve"> (Lee-Foster 2010</w:t>
      </w:r>
      <w:r w:rsidR="00E724A0" w:rsidRPr="004D6B8B">
        <w:rPr>
          <w:rFonts w:cstheme="minorHAnsi"/>
          <w:sz w:val="24"/>
          <w:szCs w:val="24"/>
        </w:rPr>
        <w:t xml:space="preserve">; </w:t>
      </w:r>
      <w:r w:rsidR="005045E7" w:rsidRPr="004D6B8B">
        <w:rPr>
          <w:rFonts w:cstheme="minorHAnsi"/>
          <w:sz w:val="24"/>
          <w:szCs w:val="24"/>
        </w:rPr>
        <w:t>Schofield et al</w:t>
      </w:r>
      <w:r w:rsidR="00E724A0" w:rsidRPr="004D6B8B">
        <w:rPr>
          <w:rFonts w:cstheme="minorHAnsi"/>
          <w:sz w:val="24"/>
          <w:szCs w:val="24"/>
        </w:rPr>
        <w:t>.</w:t>
      </w:r>
      <w:r w:rsidR="005045E7" w:rsidRPr="004D6B8B">
        <w:rPr>
          <w:rFonts w:cstheme="minorHAnsi"/>
          <w:sz w:val="24"/>
          <w:szCs w:val="24"/>
        </w:rPr>
        <w:t xml:space="preserve"> 2012</w:t>
      </w:r>
      <w:r w:rsidRPr="004D6B8B">
        <w:rPr>
          <w:rFonts w:cstheme="minorHAnsi"/>
          <w:sz w:val="24"/>
          <w:szCs w:val="24"/>
        </w:rPr>
        <w:t xml:space="preserve">; Bose &amp; </w:t>
      </w:r>
      <w:proofErr w:type="spellStart"/>
      <w:r w:rsidRPr="004D6B8B">
        <w:rPr>
          <w:rFonts w:cstheme="minorHAnsi"/>
          <w:sz w:val="24"/>
          <w:szCs w:val="24"/>
        </w:rPr>
        <w:t>McFiggans</w:t>
      </w:r>
      <w:proofErr w:type="spellEnd"/>
      <w:r w:rsidRPr="004D6B8B">
        <w:rPr>
          <w:rFonts w:cstheme="minorHAnsi"/>
          <w:sz w:val="24"/>
          <w:szCs w:val="24"/>
        </w:rPr>
        <w:t xml:space="preserve"> 2019</w:t>
      </w:r>
      <w:r w:rsidR="005045E7" w:rsidRPr="004D6B8B">
        <w:rPr>
          <w:rFonts w:cstheme="minorHAnsi"/>
          <w:sz w:val="24"/>
          <w:szCs w:val="24"/>
        </w:rPr>
        <w:t>)</w:t>
      </w:r>
      <w:r w:rsidR="005A13A0" w:rsidRPr="004D6B8B">
        <w:rPr>
          <w:rFonts w:cstheme="minorHAnsi"/>
          <w:sz w:val="24"/>
          <w:szCs w:val="24"/>
        </w:rPr>
        <w:t xml:space="preserve"> and </w:t>
      </w:r>
      <w:r w:rsidR="005045E7" w:rsidRPr="004D6B8B">
        <w:rPr>
          <w:rFonts w:cstheme="minorHAnsi"/>
          <w:sz w:val="24"/>
          <w:szCs w:val="24"/>
        </w:rPr>
        <w:t>two (</w:t>
      </w:r>
      <w:proofErr w:type="spellStart"/>
      <w:r w:rsidR="005045E7" w:rsidRPr="004D6B8B">
        <w:rPr>
          <w:rFonts w:cstheme="minorHAnsi"/>
          <w:sz w:val="24"/>
          <w:szCs w:val="24"/>
        </w:rPr>
        <w:t>Willner</w:t>
      </w:r>
      <w:proofErr w:type="spellEnd"/>
      <w:r w:rsidR="005045E7" w:rsidRPr="004D6B8B">
        <w:rPr>
          <w:rFonts w:cstheme="minorHAnsi"/>
          <w:sz w:val="24"/>
          <w:szCs w:val="24"/>
        </w:rPr>
        <w:t xml:space="preserve"> et al</w:t>
      </w:r>
      <w:r w:rsidR="00E724A0" w:rsidRPr="004D6B8B">
        <w:rPr>
          <w:rFonts w:cstheme="minorHAnsi"/>
          <w:sz w:val="24"/>
          <w:szCs w:val="24"/>
        </w:rPr>
        <w:t>.</w:t>
      </w:r>
      <w:r w:rsidR="00916F92" w:rsidRPr="004D6B8B">
        <w:rPr>
          <w:rFonts w:cstheme="minorHAnsi"/>
          <w:sz w:val="24"/>
          <w:szCs w:val="24"/>
        </w:rPr>
        <w:t>,</w:t>
      </w:r>
      <w:r w:rsidR="005045E7" w:rsidRPr="004D6B8B">
        <w:rPr>
          <w:rFonts w:cstheme="minorHAnsi"/>
          <w:sz w:val="24"/>
          <w:szCs w:val="24"/>
        </w:rPr>
        <w:t xml:space="preserve"> 2011</w:t>
      </w:r>
      <w:r w:rsidR="00E724A0" w:rsidRPr="004D6B8B">
        <w:rPr>
          <w:rFonts w:cstheme="minorHAnsi"/>
          <w:sz w:val="24"/>
          <w:szCs w:val="24"/>
        </w:rPr>
        <w:t xml:space="preserve">; </w:t>
      </w:r>
      <w:proofErr w:type="spellStart"/>
      <w:r w:rsidR="00E724A0" w:rsidRPr="004D6B8B">
        <w:rPr>
          <w:rFonts w:cstheme="minorHAnsi"/>
          <w:sz w:val="24"/>
          <w:szCs w:val="24"/>
        </w:rPr>
        <w:t>Willner</w:t>
      </w:r>
      <w:proofErr w:type="spellEnd"/>
      <w:r w:rsidR="00E724A0" w:rsidRPr="004D6B8B">
        <w:rPr>
          <w:rFonts w:cstheme="minorHAnsi"/>
          <w:sz w:val="24"/>
          <w:szCs w:val="24"/>
        </w:rPr>
        <w:t xml:space="preserve"> et al.</w:t>
      </w:r>
      <w:r w:rsidR="00916F92" w:rsidRPr="004D6B8B">
        <w:rPr>
          <w:rFonts w:cstheme="minorHAnsi"/>
          <w:sz w:val="24"/>
          <w:szCs w:val="24"/>
        </w:rPr>
        <w:t>,</w:t>
      </w:r>
      <w:r w:rsidR="00E724A0" w:rsidRPr="004D6B8B">
        <w:rPr>
          <w:rFonts w:cstheme="minorHAnsi"/>
          <w:sz w:val="24"/>
          <w:szCs w:val="24"/>
        </w:rPr>
        <w:t xml:space="preserve"> </w:t>
      </w:r>
      <w:r w:rsidR="005045E7" w:rsidRPr="004D6B8B">
        <w:rPr>
          <w:rFonts w:cstheme="minorHAnsi"/>
          <w:sz w:val="24"/>
          <w:szCs w:val="24"/>
        </w:rPr>
        <w:t>2013)</w:t>
      </w:r>
      <w:r w:rsidR="005A13A0" w:rsidRPr="004D6B8B">
        <w:rPr>
          <w:rFonts w:cstheme="minorHAnsi"/>
          <w:sz w:val="24"/>
          <w:szCs w:val="24"/>
        </w:rPr>
        <w:t xml:space="preserve"> on mixed groups of trainees. Details of the nature of training and numbers of trainees is generally sparse. </w:t>
      </w:r>
      <w:r w:rsidR="005A13A0" w:rsidRPr="004D6B8B">
        <w:rPr>
          <w:rFonts w:eastAsia="Times New Roman" w:cstheme="minorHAnsi"/>
          <w:sz w:val="24"/>
          <w:szCs w:val="24"/>
        </w:rPr>
        <w:t>In several papers the findings reflected a range of training types, in which training might have happened recently (Lee-Foster 2010</w:t>
      </w:r>
      <w:r w:rsidR="00E724A0" w:rsidRPr="004D6B8B">
        <w:rPr>
          <w:rFonts w:eastAsia="Times New Roman" w:cstheme="minorHAnsi"/>
          <w:sz w:val="24"/>
          <w:szCs w:val="24"/>
        </w:rPr>
        <w:t>;</w:t>
      </w:r>
      <w:r w:rsidR="005A13A0" w:rsidRPr="004D6B8B">
        <w:rPr>
          <w:rFonts w:eastAsia="Times New Roman" w:cstheme="minorHAnsi"/>
          <w:sz w:val="24"/>
          <w:szCs w:val="24"/>
        </w:rPr>
        <w:t xml:space="preserve"> Schofield et al</w:t>
      </w:r>
      <w:r w:rsidR="00916F92" w:rsidRPr="004D6B8B">
        <w:rPr>
          <w:rFonts w:eastAsia="Times New Roman" w:cstheme="minorHAnsi"/>
          <w:sz w:val="24"/>
          <w:szCs w:val="24"/>
        </w:rPr>
        <w:t>.</w:t>
      </w:r>
      <w:r w:rsidR="00E724A0" w:rsidRPr="004D6B8B">
        <w:rPr>
          <w:rFonts w:eastAsia="Times New Roman" w:cstheme="minorHAnsi"/>
          <w:sz w:val="24"/>
          <w:szCs w:val="24"/>
        </w:rPr>
        <w:t>,</w:t>
      </w:r>
      <w:r w:rsidR="005A13A0" w:rsidRPr="004D6B8B">
        <w:rPr>
          <w:rFonts w:eastAsia="Times New Roman" w:cstheme="minorHAnsi"/>
          <w:sz w:val="24"/>
          <w:szCs w:val="24"/>
        </w:rPr>
        <w:t xml:space="preserve"> 2012</w:t>
      </w:r>
      <w:r w:rsidR="00E724A0" w:rsidRPr="004D6B8B">
        <w:rPr>
          <w:rFonts w:eastAsia="Times New Roman" w:cstheme="minorHAnsi"/>
          <w:sz w:val="24"/>
          <w:szCs w:val="24"/>
        </w:rPr>
        <w:t>;</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916F92" w:rsidRPr="004D6B8B">
        <w:rPr>
          <w:rFonts w:eastAsia="Times New Roman" w:cstheme="minorHAnsi"/>
          <w:sz w:val="24"/>
          <w:szCs w:val="24"/>
        </w:rPr>
        <w:t>.</w:t>
      </w:r>
      <w:r w:rsidR="00E724A0" w:rsidRPr="004D6B8B">
        <w:rPr>
          <w:rFonts w:eastAsia="Times New Roman" w:cstheme="minorHAnsi"/>
          <w:sz w:val="24"/>
          <w:szCs w:val="24"/>
        </w:rPr>
        <w:t>,</w:t>
      </w:r>
      <w:r w:rsidR="005A13A0" w:rsidRPr="004D6B8B">
        <w:rPr>
          <w:rFonts w:eastAsia="Times New Roman" w:cstheme="minorHAnsi"/>
          <w:sz w:val="24"/>
          <w:szCs w:val="24"/>
        </w:rPr>
        <w:t xml:space="preserve"> 2011</w:t>
      </w:r>
      <w:r w:rsidR="00E724A0" w:rsidRPr="004D6B8B">
        <w:rPr>
          <w:rFonts w:eastAsia="Times New Roman" w:cstheme="minorHAnsi"/>
          <w:sz w:val="24"/>
          <w:szCs w:val="24"/>
        </w:rPr>
        <w:t>;</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E724A0" w:rsidRPr="004D6B8B">
        <w:rPr>
          <w:rFonts w:eastAsia="Times New Roman" w:cstheme="minorHAnsi"/>
          <w:sz w:val="24"/>
          <w:szCs w:val="24"/>
        </w:rPr>
        <w:t>.</w:t>
      </w:r>
      <w:r w:rsidR="00916F92" w:rsidRPr="004D6B8B">
        <w:rPr>
          <w:rFonts w:eastAsia="Times New Roman" w:cstheme="minorHAnsi"/>
          <w:sz w:val="24"/>
          <w:szCs w:val="24"/>
        </w:rPr>
        <w:t>,</w:t>
      </w:r>
      <w:r w:rsidR="005A13A0" w:rsidRPr="004D6B8B">
        <w:rPr>
          <w:rFonts w:eastAsia="Times New Roman" w:cstheme="minorHAnsi"/>
          <w:sz w:val="24"/>
          <w:szCs w:val="24"/>
        </w:rPr>
        <w:t xml:space="preserve"> 2013) or up to two years</w:t>
      </w:r>
      <w:r w:rsidR="00E724A0" w:rsidRPr="004D6B8B">
        <w:rPr>
          <w:rFonts w:eastAsia="Times New Roman" w:cstheme="minorHAnsi"/>
          <w:sz w:val="24"/>
          <w:szCs w:val="24"/>
        </w:rPr>
        <w:t xml:space="preserve"> </w:t>
      </w:r>
      <w:r w:rsidR="005A13A0" w:rsidRPr="004D6B8B">
        <w:rPr>
          <w:rFonts w:eastAsia="Times New Roman" w:cstheme="minorHAnsi"/>
          <w:sz w:val="24"/>
          <w:szCs w:val="24"/>
        </w:rPr>
        <w:t>previously (</w:t>
      </w:r>
      <w:proofErr w:type="spellStart"/>
      <w:r w:rsidR="005A13A0" w:rsidRPr="004D6B8B">
        <w:rPr>
          <w:rFonts w:eastAsia="Times New Roman" w:cstheme="minorHAnsi"/>
          <w:sz w:val="24"/>
          <w:szCs w:val="24"/>
        </w:rPr>
        <w:t>Sawhney</w:t>
      </w:r>
      <w:proofErr w:type="spellEnd"/>
      <w:r w:rsidR="005A13A0" w:rsidRPr="004D6B8B">
        <w:rPr>
          <w:rFonts w:eastAsia="Times New Roman" w:cstheme="minorHAnsi"/>
          <w:sz w:val="24"/>
          <w:szCs w:val="24"/>
        </w:rPr>
        <w:t xml:space="preserve"> et al</w:t>
      </w:r>
      <w:r w:rsidR="00E724A0" w:rsidRPr="004D6B8B">
        <w:rPr>
          <w:rFonts w:eastAsia="Times New Roman" w:cstheme="minorHAnsi"/>
          <w:sz w:val="24"/>
          <w:szCs w:val="24"/>
        </w:rPr>
        <w:t>.</w:t>
      </w:r>
      <w:r w:rsidR="00916F92" w:rsidRPr="004D6B8B">
        <w:rPr>
          <w:rFonts w:eastAsia="Times New Roman" w:cstheme="minorHAnsi"/>
          <w:sz w:val="24"/>
          <w:szCs w:val="24"/>
        </w:rPr>
        <w:t>,</w:t>
      </w:r>
      <w:r w:rsidR="005A13A0" w:rsidRPr="004D6B8B">
        <w:rPr>
          <w:rFonts w:eastAsia="Times New Roman" w:cstheme="minorHAnsi"/>
          <w:sz w:val="24"/>
          <w:szCs w:val="24"/>
        </w:rPr>
        <w:t xml:space="preserve"> 2009</w:t>
      </w:r>
      <w:r w:rsidR="00E724A0" w:rsidRPr="004D6B8B">
        <w:rPr>
          <w:rFonts w:eastAsia="Times New Roman" w:cstheme="minorHAnsi"/>
          <w:sz w:val="24"/>
          <w:szCs w:val="24"/>
        </w:rPr>
        <w:t>;</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Phair</w:t>
      </w:r>
      <w:proofErr w:type="spellEnd"/>
      <w:r w:rsidR="005A13A0" w:rsidRPr="004D6B8B">
        <w:rPr>
          <w:rFonts w:eastAsia="Times New Roman" w:cstheme="minorHAnsi"/>
          <w:sz w:val="24"/>
          <w:szCs w:val="24"/>
        </w:rPr>
        <w:t xml:space="preserve"> </w:t>
      </w:r>
      <w:r w:rsidR="00E724A0" w:rsidRPr="004D6B8B">
        <w:rPr>
          <w:rFonts w:eastAsia="Times New Roman" w:cstheme="minorHAnsi"/>
          <w:sz w:val="24"/>
          <w:szCs w:val="24"/>
        </w:rPr>
        <w:t>&amp;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Manthorpe</w:t>
      </w:r>
      <w:proofErr w:type="spellEnd"/>
      <w:r w:rsidR="00916F92" w:rsidRPr="004D6B8B">
        <w:rPr>
          <w:rFonts w:eastAsia="Times New Roman" w:cstheme="minorHAnsi"/>
          <w:sz w:val="24"/>
          <w:szCs w:val="24"/>
        </w:rPr>
        <w:t>,</w:t>
      </w:r>
      <w:r w:rsidR="005A13A0" w:rsidRPr="004D6B8B">
        <w:rPr>
          <w:rFonts w:eastAsia="Times New Roman" w:cstheme="minorHAnsi"/>
          <w:sz w:val="24"/>
          <w:szCs w:val="24"/>
        </w:rPr>
        <w:t xml:space="preserve"> 2012</w:t>
      </w:r>
      <w:r w:rsidR="00E724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Morriss</w:t>
      </w:r>
      <w:proofErr w:type="spellEnd"/>
      <w:r w:rsidR="005A13A0" w:rsidRPr="004D6B8B">
        <w:rPr>
          <w:rFonts w:eastAsia="Times New Roman" w:cstheme="minorHAnsi"/>
          <w:sz w:val="24"/>
          <w:szCs w:val="24"/>
        </w:rPr>
        <w:t xml:space="preserve"> et al</w:t>
      </w:r>
      <w:r w:rsidR="00E724A0" w:rsidRPr="004D6B8B">
        <w:rPr>
          <w:rFonts w:eastAsia="Times New Roman" w:cstheme="minorHAnsi"/>
          <w:sz w:val="24"/>
          <w:szCs w:val="24"/>
        </w:rPr>
        <w:t>.</w:t>
      </w:r>
      <w:r w:rsidR="00916F92" w:rsidRPr="004D6B8B">
        <w:rPr>
          <w:rFonts w:eastAsia="Times New Roman" w:cstheme="minorHAnsi"/>
          <w:sz w:val="24"/>
          <w:szCs w:val="24"/>
        </w:rPr>
        <w:t>,</w:t>
      </w:r>
      <w:r w:rsidR="005A13A0" w:rsidRPr="004D6B8B">
        <w:rPr>
          <w:rFonts w:eastAsia="Times New Roman" w:cstheme="minorHAnsi"/>
          <w:sz w:val="24"/>
          <w:szCs w:val="24"/>
        </w:rPr>
        <w:t xml:space="preserve"> 2017, McCormick et al</w:t>
      </w:r>
      <w:r w:rsidR="00E724A0" w:rsidRPr="004D6B8B">
        <w:rPr>
          <w:rFonts w:eastAsia="Times New Roman" w:cstheme="minorHAnsi"/>
          <w:sz w:val="24"/>
          <w:szCs w:val="24"/>
        </w:rPr>
        <w:t>.</w:t>
      </w:r>
      <w:r w:rsidR="00916F92" w:rsidRPr="004D6B8B">
        <w:rPr>
          <w:rFonts w:eastAsia="Times New Roman" w:cstheme="minorHAnsi"/>
          <w:sz w:val="24"/>
          <w:szCs w:val="24"/>
        </w:rPr>
        <w:t>,</w:t>
      </w:r>
      <w:r w:rsidR="005A13A0" w:rsidRPr="004D6B8B">
        <w:rPr>
          <w:rFonts w:eastAsia="Times New Roman" w:cstheme="minorHAnsi"/>
          <w:sz w:val="24"/>
          <w:szCs w:val="24"/>
        </w:rPr>
        <w:t xml:space="preserve"> </w:t>
      </w:r>
      <w:proofErr w:type="gramStart"/>
      <w:r w:rsidR="005A13A0" w:rsidRPr="004D6B8B">
        <w:rPr>
          <w:rFonts w:eastAsia="Times New Roman" w:cstheme="minorHAnsi"/>
          <w:sz w:val="24"/>
          <w:szCs w:val="24"/>
        </w:rPr>
        <w:t>2017 )</w:t>
      </w:r>
      <w:proofErr w:type="gramEnd"/>
      <w:r w:rsidR="005045E7" w:rsidRPr="004D6B8B">
        <w:rPr>
          <w:rFonts w:eastAsia="Times New Roman" w:cstheme="minorHAnsi"/>
          <w:sz w:val="24"/>
          <w:szCs w:val="24"/>
        </w:rPr>
        <w:t>, in which case participants may have attended more than one training intervention.</w:t>
      </w:r>
      <w:r w:rsidR="005A13A0" w:rsidRPr="004D6B8B">
        <w:rPr>
          <w:rFonts w:eastAsia="Times New Roman" w:cstheme="minorHAnsi"/>
          <w:sz w:val="24"/>
          <w:szCs w:val="24"/>
        </w:rPr>
        <w:t xml:space="preserve"> In </w:t>
      </w:r>
      <w:r w:rsidR="005045E7" w:rsidRPr="004D6B8B">
        <w:rPr>
          <w:rFonts w:eastAsia="Times New Roman" w:cstheme="minorHAnsi"/>
          <w:sz w:val="24"/>
          <w:szCs w:val="24"/>
        </w:rPr>
        <w:t>three</w:t>
      </w:r>
      <w:r w:rsidR="005A13A0" w:rsidRPr="004D6B8B">
        <w:rPr>
          <w:rFonts w:eastAsia="Times New Roman" w:cstheme="minorHAnsi"/>
          <w:sz w:val="24"/>
          <w:szCs w:val="24"/>
        </w:rPr>
        <w:t xml:space="preserve"> cases MCA training was combined with training in related issues </w:t>
      </w:r>
      <w:r w:rsidR="005A13A0" w:rsidRPr="004D6B8B">
        <w:rPr>
          <w:rFonts w:eastAsia="Times New Roman" w:cstheme="minorHAnsi"/>
          <w:sz w:val="24"/>
          <w:szCs w:val="24"/>
        </w:rPr>
        <w:lastRenderedPageBreak/>
        <w:t>(communication</w:t>
      </w:r>
      <w:r w:rsidR="00E45954" w:rsidRPr="004D6B8B">
        <w:rPr>
          <w:rFonts w:eastAsia="Times New Roman" w:cstheme="minorHAnsi"/>
          <w:sz w:val="24"/>
          <w:szCs w:val="24"/>
        </w:rPr>
        <w:t xml:space="preserve"> (Lee-Foster</w:t>
      </w:r>
      <w:r w:rsidR="00E724A0" w:rsidRPr="004D6B8B">
        <w:rPr>
          <w:rFonts w:eastAsia="Times New Roman" w:cstheme="minorHAnsi"/>
          <w:sz w:val="24"/>
          <w:szCs w:val="24"/>
        </w:rPr>
        <w:t>,</w:t>
      </w:r>
      <w:r w:rsidR="00E45954" w:rsidRPr="004D6B8B">
        <w:rPr>
          <w:rFonts w:eastAsia="Times New Roman" w:cstheme="minorHAnsi"/>
          <w:sz w:val="24"/>
          <w:szCs w:val="24"/>
        </w:rPr>
        <w:t xml:space="preserve"> 2010)</w:t>
      </w:r>
      <w:r w:rsidR="005A13A0" w:rsidRPr="004D6B8B">
        <w:rPr>
          <w:rFonts w:eastAsia="Times New Roman" w:cstheme="minorHAnsi"/>
          <w:sz w:val="24"/>
          <w:szCs w:val="24"/>
        </w:rPr>
        <w:t>, record-keeping</w:t>
      </w:r>
      <w:r w:rsidR="005E5E5D" w:rsidRPr="004D6B8B">
        <w:rPr>
          <w:rFonts w:eastAsia="Times New Roman" w:cstheme="minorHAnsi"/>
          <w:sz w:val="24"/>
          <w:szCs w:val="24"/>
        </w:rPr>
        <w:t xml:space="preserve"> (</w:t>
      </w:r>
      <w:proofErr w:type="spellStart"/>
      <w:r w:rsidR="005E5E5D" w:rsidRPr="004D6B8B">
        <w:rPr>
          <w:rFonts w:eastAsia="Times New Roman" w:cstheme="minorHAnsi"/>
          <w:sz w:val="24"/>
          <w:szCs w:val="24"/>
        </w:rPr>
        <w:t>Willner</w:t>
      </w:r>
      <w:proofErr w:type="spellEnd"/>
      <w:r w:rsidR="005E5E5D" w:rsidRPr="004D6B8B">
        <w:rPr>
          <w:rFonts w:eastAsia="Times New Roman" w:cstheme="minorHAnsi"/>
          <w:sz w:val="24"/>
          <w:szCs w:val="24"/>
        </w:rPr>
        <w:t xml:space="preserve"> et al</w:t>
      </w:r>
      <w:r w:rsidR="00E724A0" w:rsidRPr="004D6B8B">
        <w:rPr>
          <w:rFonts w:eastAsia="Times New Roman" w:cstheme="minorHAnsi"/>
          <w:sz w:val="24"/>
          <w:szCs w:val="24"/>
        </w:rPr>
        <w:t>.</w:t>
      </w:r>
      <w:r w:rsidR="00916F92" w:rsidRPr="004D6B8B">
        <w:rPr>
          <w:rFonts w:eastAsia="Times New Roman" w:cstheme="minorHAnsi"/>
          <w:sz w:val="24"/>
          <w:szCs w:val="24"/>
        </w:rPr>
        <w:t>,</w:t>
      </w:r>
      <w:r w:rsidR="005E5E5D" w:rsidRPr="004D6B8B">
        <w:rPr>
          <w:rFonts w:eastAsia="Times New Roman" w:cstheme="minorHAnsi"/>
          <w:sz w:val="24"/>
          <w:szCs w:val="24"/>
        </w:rPr>
        <w:t xml:space="preserve"> 2013)</w:t>
      </w:r>
      <w:r w:rsidR="005A13A0" w:rsidRPr="004D6B8B">
        <w:rPr>
          <w:rFonts w:eastAsia="Times New Roman" w:cstheme="minorHAnsi"/>
          <w:sz w:val="24"/>
          <w:szCs w:val="24"/>
        </w:rPr>
        <w:t>, safeguarding</w:t>
      </w:r>
      <w:r w:rsidR="005E5E5D" w:rsidRPr="004D6B8B">
        <w:rPr>
          <w:rFonts w:eastAsia="Times New Roman" w:cstheme="minorHAnsi"/>
          <w:sz w:val="24"/>
          <w:szCs w:val="24"/>
        </w:rPr>
        <w:t xml:space="preserve"> and</w:t>
      </w:r>
      <w:r w:rsidR="005A13A0" w:rsidRPr="004D6B8B">
        <w:rPr>
          <w:rFonts w:eastAsia="Times New Roman" w:cstheme="minorHAnsi"/>
          <w:sz w:val="24"/>
          <w:szCs w:val="24"/>
        </w:rPr>
        <w:t xml:space="preserve"> human rights</w:t>
      </w:r>
      <w:r w:rsidR="005E5E5D" w:rsidRPr="004D6B8B">
        <w:rPr>
          <w:rFonts w:eastAsia="Times New Roman" w:cstheme="minorHAnsi"/>
          <w:sz w:val="24"/>
          <w:szCs w:val="24"/>
        </w:rPr>
        <w:t xml:space="preserve"> (Pike et al</w:t>
      </w:r>
      <w:r w:rsidR="00E724A0" w:rsidRPr="004D6B8B">
        <w:rPr>
          <w:rFonts w:eastAsia="Times New Roman" w:cstheme="minorHAnsi"/>
          <w:sz w:val="24"/>
          <w:szCs w:val="24"/>
        </w:rPr>
        <w:t>.</w:t>
      </w:r>
      <w:r w:rsidR="00916F92" w:rsidRPr="004D6B8B">
        <w:rPr>
          <w:rFonts w:eastAsia="Times New Roman" w:cstheme="minorHAnsi"/>
          <w:sz w:val="24"/>
          <w:szCs w:val="24"/>
        </w:rPr>
        <w:t>,</w:t>
      </w:r>
      <w:r w:rsidR="005E5E5D" w:rsidRPr="004D6B8B">
        <w:rPr>
          <w:rFonts w:eastAsia="Times New Roman" w:cstheme="minorHAnsi"/>
          <w:sz w:val="24"/>
          <w:szCs w:val="24"/>
        </w:rPr>
        <w:t xml:space="preserve"> 2010)</w:t>
      </w:r>
      <w:r w:rsidR="005A13A0" w:rsidRPr="004D6B8B">
        <w:rPr>
          <w:rFonts w:eastAsia="Times New Roman" w:cstheme="minorHAnsi"/>
          <w:sz w:val="24"/>
          <w:szCs w:val="24"/>
        </w:rPr>
        <w:t xml:space="preserve">). </w:t>
      </w:r>
      <w:r w:rsidR="003E39D5" w:rsidRPr="004D6B8B">
        <w:rPr>
          <w:rFonts w:cstheme="minorHAnsi"/>
          <w:sz w:val="24"/>
          <w:szCs w:val="24"/>
        </w:rPr>
        <w:t>Responses are</w:t>
      </w:r>
      <w:r w:rsidR="005A13A0" w:rsidRPr="004D6B8B">
        <w:rPr>
          <w:rFonts w:cstheme="minorHAnsi"/>
          <w:sz w:val="24"/>
          <w:szCs w:val="24"/>
        </w:rPr>
        <w:t xml:space="preserve"> varied and poorly reported. </w:t>
      </w:r>
    </w:p>
    <w:p w14:paraId="1CE2B943" w14:textId="707BB7D7" w:rsidR="005A13A0" w:rsidRPr="004D6B8B" w:rsidRDefault="005A13A0" w:rsidP="005A13A0">
      <w:pPr>
        <w:rPr>
          <w:rFonts w:eastAsia="Times New Roman" w:cstheme="minorHAnsi"/>
          <w:b/>
          <w:i/>
          <w:sz w:val="24"/>
          <w:szCs w:val="24"/>
        </w:rPr>
      </w:pPr>
      <w:r w:rsidRPr="004D6B8B">
        <w:rPr>
          <w:rFonts w:eastAsia="Times New Roman" w:cstheme="minorHAnsi"/>
          <w:b/>
          <w:i/>
          <w:sz w:val="24"/>
          <w:szCs w:val="24"/>
        </w:rPr>
        <w:t xml:space="preserve">Theme 1: The nature of MCA training </w:t>
      </w:r>
    </w:p>
    <w:p w14:paraId="40E9F417" w14:textId="3BFEBCB8" w:rsidR="005A13A0" w:rsidRPr="004D6B8B" w:rsidRDefault="00D60C86" w:rsidP="005A13A0">
      <w:pPr>
        <w:rPr>
          <w:rFonts w:eastAsia="Times New Roman" w:cstheme="minorHAnsi"/>
          <w:sz w:val="24"/>
          <w:szCs w:val="24"/>
        </w:rPr>
      </w:pPr>
      <w:r w:rsidRPr="004D6B8B">
        <w:rPr>
          <w:rFonts w:eastAsia="Times New Roman" w:cstheme="minorHAnsi"/>
          <w:sz w:val="24"/>
          <w:szCs w:val="24"/>
        </w:rPr>
        <w:t>Early training</w:t>
      </w:r>
      <w:r w:rsidR="005A13A0" w:rsidRPr="004D6B8B">
        <w:rPr>
          <w:rFonts w:eastAsia="Times New Roman" w:cstheme="minorHAnsi"/>
          <w:sz w:val="24"/>
          <w:szCs w:val="24"/>
        </w:rPr>
        <w:t xml:space="preserve"> reported on </w:t>
      </w:r>
      <w:r w:rsidRPr="004D6B8B">
        <w:rPr>
          <w:rFonts w:eastAsia="Times New Roman" w:cstheme="minorHAnsi"/>
          <w:sz w:val="24"/>
          <w:szCs w:val="24"/>
        </w:rPr>
        <w:t xml:space="preserve">an intervention </w:t>
      </w:r>
      <w:r w:rsidR="005A13A0" w:rsidRPr="004D6B8B">
        <w:rPr>
          <w:rFonts w:eastAsia="Times New Roman" w:cstheme="minorHAnsi"/>
          <w:sz w:val="24"/>
          <w:szCs w:val="24"/>
        </w:rPr>
        <w:t xml:space="preserve">which was at least partially based on resources provided by the Department of Health. These resources included information about the act and scenarios to illustrate points. Feedback indicated that this training was perceived as helpful. For example, social workers in specialized adult protection roles </w:t>
      </w:r>
      <w:r w:rsidR="00DB0E7B" w:rsidRPr="004D6B8B">
        <w:rPr>
          <w:rFonts w:eastAsia="Times New Roman" w:cstheme="minorHAnsi"/>
          <w:sz w:val="24"/>
          <w:szCs w:val="24"/>
        </w:rPr>
        <w:t>(</w:t>
      </w:r>
      <w:proofErr w:type="spellStart"/>
      <w:r w:rsidR="00DB0E7B" w:rsidRPr="004D6B8B">
        <w:rPr>
          <w:rFonts w:eastAsia="Times New Roman" w:cstheme="minorHAnsi"/>
          <w:sz w:val="24"/>
          <w:szCs w:val="24"/>
        </w:rPr>
        <w:t>Manthorpe</w:t>
      </w:r>
      <w:proofErr w:type="spellEnd"/>
      <w:r w:rsidR="00DB0E7B" w:rsidRPr="004D6B8B">
        <w:rPr>
          <w:rFonts w:eastAsia="Times New Roman" w:cstheme="minorHAnsi"/>
          <w:sz w:val="24"/>
          <w:szCs w:val="24"/>
        </w:rPr>
        <w:t xml:space="preserve"> et al</w:t>
      </w:r>
      <w:r w:rsidR="00916F92" w:rsidRPr="004D6B8B">
        <w:rPr>
          <w:rFonts w:eastAsia="Times New Roman" w:cstheme="minorHAnsi"/>
          <w:sz w:val="24"/>
          <w:szCs w:val="24"/>
        </w:rPr>
        <w:t>.,</w:t>
      </w:r>
      <w:r w:rsidR="00DB0E7B" w:rsidRPr="004D6B8B">
        <w:rPr>
          <w:rFonts w:eastAsia="Times New Roman" w:cstheme="minorHAnsi"/>
          <w:sz w:val="24"/>
          <w:szCs w:val="24"/>
        </w:rPr>
        <w:t xml:space="preserve"> 2009</w:t>
      </w:r>
      <w:r w:rsidR="00E649C6" w:rsidRPr="004D6B8B">
        <w:rPr>
          <w:rFonts w:eastAsia="Times New Roman" w:cstheme="minorHAnsi"/>
          <w:sz w:val="24"/>
          <w:szCs w:val="24"/>
        </w:rPr>
        <w:t>)</w:t>
      </w:r>
      <w:r w:rsidR="005A13A0" w:rsidRPr="004D6B8B">
        <w:rPr>
          <w:rFonts w:eastAsia="Times New Roman" w:cstheme="minorHAnsi"/>
          <w:sz w:val="24"/>
          <w:szCs w:val="24"/>
        </w:rPr>
        <w:t xml:space="preserve"> had experienced training based on these resources, together with a range of complementary training materials (online and face to face). </w:t>
      </w:r>
    </w:p>
    <w:p w14:paraId="6A45EB66" w14:textId="74472A4E" w:rsidR="005A13A0" w:rsidRPr="004D6B8B" w:rsidRDefault="005A13A0" w:rsidP="005A13A0">
      <w:pPr>
        <w:rPr>
          <w:rFonts w:eastAsia="Times New Roman" w:cstheme="minorHAnsi"/>
          <w:sz w:val="24"/>
          <w:szCs w:val="24"/>
        </w:rPr>
      </w:pPr>
      <w:r w:rsidRPr="004D6B8B">
        <w:rPr>
          <w:rFonts w:eastAsia="Times New Roman" w:cstheme="minorHAnsi"/>
          <w:sz w:val="24"/>
          <w:szCs w:val="24"/>
        </w:rPr>
        <w:t xml:space="preserve">Practicalities varied with training taking place in the workplace, in training centers or online (either at work or at home). Length varied from 10 minutes as part of an induction </w:t>
      </w:r>
      <w:proofErr w:type="spellStart"/>
      <w:r w:rsidRPr="004D6B8B">
        <w:rPr>
          <w:rFonts w:eastAsia="Times New Roman" w:cstheme="minorHAnsi"/>
          <w:sz w:val="24"/>
          <w:szCs w:val="24"/>
        </w:rPr>
        <w:t>programme</w:t>
      </w:r>
      <w:proofErr w:type="spellEnd"/>
      <w:r w:rsidRPr="004D6B8B">
        <w:rPr>
          <w:rFonts w:eastAsia="Times New Roman" w:cstheme="minorHAnsi"/>
          <w:sz w:val="24"/>
          <w:szCs w:val="24"/>
        </w:rPr>
        <w:t xml:space="preserve"> to</w:t>
      </w:r>
      <w:r w:rsidR="00A65BF5" w:rsidRPr="004D6B8B">
        <w:rPr>
          <w:rFonts w:eastAsia="Times New Roman" w:cstheme="minorHAnsi"/>
          <w:sz w:val="24"/>
          <w:szCs w:val="24"/>
        </w:rPr>
        <w:t xml:space="preserve"> one or more days (</w:t>
      </w:r>
      <w:proofErr w:type="spellStart"/>
      <w:r w:rsidRPr="004D6B8B">
        <w:rPr>
          <w:rFonts w:eastAsia="Times New Roman" w:cstheme="minorHAnsi"/>
          <w:sz w:val="24"/>
          <w:szCs w:val="24"/>
        </w:rPr>
        <w:t>Samsi</w:t>
      </w:r>
      <w:proofErr w:type="spellEnd"/>
      <w:r w:rsidRPr="004D6B8B">
        <w:rPr>
          <w:rFonts w:eastAsia="Times New Roman" w:cstheme="minorHAnsi"/>
          <w:sz w:val="24"/>
          <w:szCs w:val="24"/>
        </w:rPr>
        <w:t xml:space="preserve"> et al</w:t>
      </w:r>
      <w:r w:rsidR="00916F92" w:rsidRPr="004D6B8B">
        <w:rPr>
          <w:rFonts w:eastAsia="Times New Roman" w:cstheme="minorHAnsi"/>
          <w:sz w:val="24"/>
          <w:szCs w:val="24"/>
        </w:rPr>
        <w:t>.,</w:t>
      </w:r>
      <w:r w:rsidRPr="004D6B8B">
        <w:rPr>
          <w:rFonts w:eastAsia="Times New Roman" w:cstheme="minorHAnsi"/>
          <w:sz w:val="24"/>
          <w:szCs w:val="24"/>
        </w:rPr>
        <w:t xml:space="preserve"> 2011). Most but not all training was reported to be mandatory, often with three yearly updates. Where reported, trainees preferred face-to-face, interactive, scenario-based training (McCormick et al</w:t>
      </w:r>
      <w:r w:rsidR="00916F92" w:rsidRPr="004D6B8B">
        <w:rPr>
          <w:rFonts w:eastAsia="Times New Roman" w:cstheme="minorHAnsi"/>
          <w:sz w:val="24"/>
          <w:szCs w:val="24"/>
        </w:rPr>
        <w:t>.</w:t>
      </w:r>
      <w:proofErr w:type="gramStart"/>
      <w:r w:rsidR="00916F92" w:rsidRPr="004D6B8B">
        <w:rPr>
          <w:rFonts w:eastAsia="Times New Roman" w:cstheme="minorHAnsi"/>
          <w:sz w:val="24"/>
          <w:szCs w:val="24"/>
        </w:rPr>
        <w:t>,</w:t>
      </w:r>
      <w:r w:rsidRPr="004D6B8B">
        <w:rPr>
          <w:rFonts w:eastAsia="Times New Roman" w:cstheme="minorHAnsi"/>
          <w:sz w:val="24"/>
          <w:szCs w:val="24"/>
        </w:rPr>
        <w:t>2017</w:t>
      </w:r>
      <w:proofErr w:type="gramEnd"/>
      <w:r w:rsidR="006E28E7" w:rsidRPr="004D6B8B">
        <w:rPr>
          <w:rFonts w:eastAsia="Times New Roman" w:cstheme="minorHAnsi"/>
          <w:sz w:val="24"/>
          <w:szCs w:val="24"/>
        </w:rPr>
        <w:t xml:space="preserve">; Bose &amp; </w:t>
      </w:r>
      <w:proofErr w:type="spellStart"/>
      <w:r w:rsidR="006E28E7" w:rsidRPr="004D6B8B">
        <w:rPr>
          <w:rFonts w:eastAsia="Times New Roman" w:cstheme="minorHAnsi"/>
          <w:sz w:val="24"/>
          <w:szCs w:val="24"/>
        </w:rPr>
        <w:t>McFiggans</w:t>
      </w:r>
      <w:proofErr w:type="spellEnd"/>
      <w:r w:rsidR="006E28E7" w:rsidRPr="004D6B8B">
        <w:rPr>
          <w:rFonts w:eastAsia="Times New Roman" w:cstheme="minorHAnsi"/>
          <w:sz w:val="24"/>
          <w:szCs w:val="24"/>
        </w:rPr>
        <w:t xml:space="preserve"> 2019</w:t>
      </w:r>
      <w:r w:rsidRPr="004D6B8B">
        <w:rPr>
          <w:rFonts w:eastAsia="Times New Roman" w:cstheme="minorHAnsi"/>
          <w:sz w:val="24"/>
          <w:szCs w:val="24"/>
        </w:rPr>
        <w:t xml:space="preserve">). </w:t>
      </w:r>
    </w:p>
    <w:p w14:paraId="1764881E" w14:textId="77777777" w:rsidR="005A13A0" w:rsidRPr="004D6B8B" w:rsidRDefault="005A13A0" w:rsidP="005A13A0">
      <w:pPr>
        <w:rPr>
          <w:rFonts w:eastAsia="Times New Roman" w:cstheme="minorHAnsi"/>
          <w:i/>
          <w:sz w:val="24"/>
          <w:szCs w:val="24"/>
        </w:rPr>
      </w:pPr>
      <w:bookmarkStart w:id="3" w:name="_Hlk529886132"/>
      <w:r w:rsidRPr="004D6B8B">
        <w:rPr>
          <w:rFonts w:eastAsia="Times New Roman" w:cstheme="minorHAnsi"/>
          <w:i/>
          <w:sz w:val="24"/>
          <w:szCs w:val="24"/>
        </w:rPr>
        <w:t>Positive reactions but lingering anxieties</w:t>
      </w:r>
      <w:bookmarkEnd w:id="3"/>
    </w:p>
    <w:p w14:paraId="58FA9530" w14:textId="622B3B62" w:rsidR="007D5E06" w:rsidRPr="004D6B8B" w:rsidRDefault="005A13A0" w:rsidP="005A13A0">
      <w:pPr>
        <w:rPr>
          <w:rFonts w:eastAsia="Times New Roman" w:cstheme="minorHAnsi"/>
          <w:sz w:val="24"/>
          <w:szCs w:val="24"/>
        </w:rPr>
      </w:pPr>
      <w:r w:rsidRPr="004D6B8B">
        <w:rPr>
          <w:rFonts w:eastAsia="Times New Roman" w:cstheme="minorHAnsi"/>
          <w:sz w:val="24"/>
          <w:szCs w:val="24"/>
        </w:rPr>
        <w:t xml:space="preserve">Safeguarding leads </w:t>
      </w:r>
      <w:r w:rsidR="00D60C86" w:rsidRPr="004D6B8B">
        <w:rPr>
          <w:rFonts w:eastAsia="Times New Roman" w:cstheme="minorHAnsi"/>
          <w:sz w:val="24"/>
          <w:szCs w:val="24"/>
        </w:rPr>
        <w:t xml:space="preserve">(adult protection </w:t>
      </w:r>
      <w:proofErr w:type="spellStart"/>
      <w:r w:rsidR="00D60C86" w:rsidRPr="004D6B8B">
        <w:rPr>
          <w:rFonts w:eastAsia="Times New Roman" w:cstheme="minorHAnsi"/>
          <w:sz w:val="24"/>
          <w:szCs w:val="24"/>
        </w:rPr>
        <w:t>co-ordinators</w:t>
      </w:r>
      <w:proofErr w:type="spellEnd"/>
      <w:r w:rsidR="00D60C86" w:rsidRPr="004D6B8B">
        <w:rPr>
          <w:rFonts w:eastAsia="Times New Roman" w:cstheme="minorHAnsi"/>
          <w:sz w:val="24"/>
          <w:szCs w:val="24"/>
        </w:rPr>
        <w:t xml:space="preserve">) </w:t>
      </w:r>
      <w:r w:rsidRPr="004D6B8B">
        <w:rPr>
          <w:rFonts w:eastAsia="Times New Roman" w:cstheme="minorHAnsi"/>
          <w:sz w:val="24"/>
          <w:szCs w:val="24"/>
        </w:rPr>
        <w:t>were positive about their training but expressed anxieties about being expected to train others based on their own limited knowledge.  They reported using additional resources to bolster their understanding (</w:t>
      </w:r>
      <w:proofErr w:type="spellStart"/>
      <w:r w:rsidRPr="004D6B8B">
        <w:rPr>
          <w:rFonts w:eastAsia="Times New Roman" w:cstheme="minorHAnsi"/>
          <w:sz w:val="24"/>
          <w:szCs w:val="24"/>
        </w:rPr>
        <w:t>Manthorpe</w:t>
      </w:r>
      <w:proofErr w:type="spellEnd"/>
      <w:r w:rsidRPr="004D6B8B">
        <w:rPr>
          <w:rFonts w:eastAsia="Times New Roman" w:cstheme="minorHAnsi"/>
          <w:sz w:val="24"/>
          <w:szCs w:val="24"/>
        </w:rPr>
        <w:t xml:space="preserve"> et al</w:t>
      </w:r>
      <w:r w:rsidR="00916F92" w:rsidRPr="004D6B8B">
        <w:rPr>
          <w:rFonts w:eastAsia="Times New Roman" w:cstheme="minorHAnsi"/>
          <w:sz w:val="24"/>
          <w:szCs w:val="24"/>
        </w:rPr>
        <w:t>.,</w:t>
      </w:r>
      <w:r w:rsidRPr="004D6B8B">
        <w:rPr>
          <w:rFonts w:eastAsia="Times New Roman" w:cstheme="minorHAnsi"/>
          <w:sz w:val="24"/>
          <w:szCs w:val="24"/>
        </w:rPr>
        <w:t xml:space="preserve"> 2009). This study was conducted soon after the legislation was enacted, so the participants were pioneers and would not have been able to find support from more experienced colleagues. </w:t>
      </w:r>
    </w:p>
    <w:p w14:paraId="358175F5" w14:textId="0F087A5D" w:rsidR="00FB68B9" w:rsidRPr="004D6B8B" w:rsidRDefault="007D5E06" w:rsidP="005A13A0">
      <w:pPr>
        <w:rPr>
          <w:rFonts w:eastAsia="Times New Roman" w:cstheme="minorHAnsi"/>
          <w:sz w:val="24"/>
          <w:szCs w:val="24"/>
        </w:rPr>
      </w:pPr>
      <w:r w:rsidRPr="004D6B8B">
        <w:rPr>
          <w:rFonts w:eastAsia="Times New Roman" w:cstheme="minorHAnsi"/>
          <w:sz w:val="24"/>
          <w:szCs w:val="24"/>
        </w:rPr>
        <w:t xml:space="preserve">Mixed-profession MCA learner participants </w:t>
      </w:r>
      <w:r w:rsidR="00EC39AA" w:rsidRPr="004D6B8B">
        <w:rPr>
          <w:rFonts w:eastAsia="Times New Roman" w:cstheme="minorHAnsi"/>
          <w:sz w:val="24"/>
          <w:szCs w:val="24"/>
        </w:rPr>
        <w:t>benefitted to some extent from</w:t>
      </w:r>
      <w:r w:rsidRPr="004D6B8B">
        <w:rPr>
          <w:rFonts w:eastAsia="Times New Roman" w:cstheme="minorHAnsi"/>
          <w:sz w:val="24"/>
          <w:szCs w:val="24"/>
        </w:rPr>
        <w:t xml:space="preserve"> the MCA training they received</w:t>
      </w:r>
      <w:r w:rsidR="00EC39AA" w:rsidRPr="004D6B8B">
        <w:rPr>
          <w:rFonts w:eastAsia="Times New Roman" w:cstheme="minorHAnsi"/>
          <w:sz w:val="24"/>
          <w:szCs w:val="24"/>
        </w:rPr>
        <w:t>, with improvements found in most areas of knowledge</w:t>
      </w:r>
      <w:r w:rsidRPr="004D6B8B">
        <w:rPr>
          <w:rFonts w:eastAsia="Times New Roman" w:cstheme="minorHAnsi"/>
          <w:sz w:val="24"/>
          <w:szCs w:val="24"/>
        </w:rPr>
        <w:t xml:space="preserve"> (</w:t>
      </w:r>
      <w:proofErr w:type="spellStart"/>
      <w:r w:rsidRPr="004D6B8B">
        <w:rPr>
          <w:rFonts w:eastAsia="Times New Roman" w:cstheme="minorHAnsi"/>
          <w:sz w:val="24"/>
          <w:szCs w:val="24"/>
        </w:rPr>
        <w:t>Willner</w:t>
      </w:r>
      <w:proofErr w:type="spellEnd"/>
      <w:r w:rsidRPr="004D6B8B">
        <w:rPr>
          <w:rFonts w:eastAsia="Times New Roman" w:cstheme="minorHAnsi"/>
          <w:sz w:val="24"/>
          <w:szCs w:val="24"/>
        </w:rPr>
        <w:t xml:space="preserve"> et al</w:t>
      </w:r>
      <w:r w:rsidR="00916F92" w:rsidRPr="004D6B8B">
        <w:rPr>
          <w:rFonts w:eastAsia="Times New Roman" w:cstheme="minorHAnsi"/>
          <w:sz w:val="24"/>
          <w:szCs w:val="24"/>
        </w:rPr>
        <w:t>.,</w:t>
      </w:r>
      <w:r w:rsidRPr="004D6B8B">
        <w:rPr>
          <w:rFonts w:eastAsia="Times New Roman" w:cstheme="minorHAnsi"/>
          <w:sz w:val="24"/>
          <w:szCs w:val="24"/>
        </w:rPr>
        <w:t xml:space="preserve"> 2013</w:t>
      </w:r>
      <w:r w:rsidR="00D60C86" w:rsidRPr="004D6B8B">
        <w:rPr>
          <w:rFonts w:eastAsia="Times New Roman" w:cstheme="minorHAnsi"/>
          <w:sz w:val="24"/>
          <w:szCs w:val="24"/>
        </w:rPr>
        <w:t>) while specialist nurses seemed non-committal</w:t>
      </w:r>
      <w:r w:rsidRPr="004D6B8B">
        <w:rPr>
          <w:rFonts w:eastAsia="Times New Roman" w:cstheme="minorHAnsi"/>
          <w:sz w:val="24"/>
          <w:szCs w:val="24"/>
        </w:rPr>
        <w:t xml:space="preserve">, </w:t>
      </w:r>
      <w:r w:rsidR="00D60C86" w:rsidRPr="004D6B8B">
        <w:rPr>
          <w:rFonts w:eastAsia="Times New Roman" w:cstheme="minorHAnsi"/>
          <w:sz w:val="24"/>
          <w:szCs w:val="24"/>
        </w:rPr>
        <w:t>with the majority describing their knowledge as ‘fair’ (</w:t>
      </w:r>
      <w:r w:rsidRPr="004D6B8B">
        <w:rPr>
          <w:rFonts w:eastAsia="Times New Roman" w:cstheme="minorHAnsi"/>
          <w:sz w:val="24"/>
          <w:szCs w:val="24"/>
        </w:rPr>
        <w:t xml:space="preserve">Marshall </w:t>
      </w:r>
      <w:r w:rsidR="00916F92" w:rsidRPr="004D6B8B">
        <w:rPr>
          <w:rFonts w:eastAsia="Times New Roman" w:cstheme="minorHAnsi"/>
          <w:sz w:val="24"/>
          <w:szCs w:val="24"/>
        </w:rPr>
        <w:t>&amp;</w:t>
      </w:r>
      <w:r w:rsidRPr="004D6B8B">
        <w:rPr>
          <w:rFonts w:eastAsia="Times New Roman" w:cstheme="minorHAnsi"/>
          <w:sz w:val="24"/>
          <w:szCs w:val="24"/>
        </w:rPr>
        <w:t xml:space="preserve"> Sprung</w:t>
      </w:r>
      <w:r w:rsidR="00916F92" w:rsidRPr="004D6B8B">
        <w:rPr>
          <w:rFonts w:eastAsia="Times New Roman" w:cstheme="minorHAnsi"/>
          <w:sz w:val="24"/>
          <w:szCs w:val="24"/>
        </w:rPr>
        <w:t>,</w:t>
      </w:r>
      <w:r w:rsidRPr="004D6B8B">
        <w:rPr>
          <w:rFonts w:eastAsia="Times New Roman" w:cstheme="minorHAnsi"/>
          <w:sz w:val="24"/>
          <w:szCs w:val="24"/>
        </w:rPr>
        <w:t xml:space="preserve"> 2016b).</w:t>
      </w:r>
      <w:r w:rsidR="00C95B71" w:rsidRPr="004D6B8B">
        <w:rPr>
          <w:rFonts w:eastAsia="Times New Roman" w:cstheme="minorHAnsi"/>
          <w:sz w:val="24"/>
          <w:szCs w:val="24"/>
        </w:rPr>
        <w:t xml:space="preserve"> However, it is unclear to what degree a </w:t>
      </w:r>
      <w:r w:rsidR="00EC39AA" w:rsidRPr="004D6B8B">
        <w:rPr>
          <w:rFonts w:eastAsia="Times New Roman" w:cstheme="minorHAnsi"/>
          <w:sz w:val="24"/>
          <w:szCs w:val="24"/>
        </w:rPr>
        <w:t xml:space="preserve">neutral or </w:t>
      </w:r>
      <w:r w:rsidR="00C95B71" w:rsidRPr="004D6B8B">
        <w:rPr>
          <w:rFonts w:eastAsia="Times New Roman" w:cstheme="minorHAnsi"/>
          <w:sz w:val="24"/>
          <w:szCs w:val="24"/>
        </w:rPr>
        <w:t xml:space="preserve">positive response to MCA training </w:t>
      </w:r>
      <w:r w:rsidR="00EC39AA" w:rsidRPr="004D6B8B">
        <w:rPr>
          <w:rFonts w:eastAsia="Times New Roman" w:cstheme="minorHAnsi"/>
          <w:sz w:val="24"/>
          <w:szCs w:val="24"/>
        </w:rPr>
        <w:t xml:space="preserve">would </w:t>
      </w:r>
      <w:r w:rsidR="00C95B71" w:rsidRPr="004D6B8B">
        <w:rPr>
          <w:rFonts w:eastAsia="Times New Roman" w:cstheme="minorHAnsi"/>
          <w:sz w:val="24"/>
          <w:szCs w:val="24"/>
        </w:rPr>
        <w:t xml:space="preserve">result in adherence to the </w:t>
      </w:r>
      <w:r w:rsidR="00C410E9" w:rsidRPr="004D6B8B">
        <w:rPr>
          <w:rFonts w:eastAsia="Times New Roman" w:cstheme="minorHAnsi"/>
          <w:sz w:val="24"/>
          <w:szCs w:val="24"/>
        </w:rPr>
        <w:t>A</w:t>
      </w:r>
      <w:r w:rsidR="00C95B71" w:rsidRPr="004D6B8B">
        <w:rPr>
          <w:rFonts w:eastAsia="Times New Roman" w:cstheme="minorHAnsi"/>
          <w:sz w:val="24"/>
          <w:szCs w:val="24"/>
        </w:rPr>
        <w:t xml:space="preserve">ct in real world settings. </w:t>
      </w:r>
      <w:r w:rsidR="005A13A0" w:rsidRPr="004D6B8B">
        <w:rPr>
          <w:rFonts w:eastAsia="Times New Roman" w:cstheme="minorHAnsi"/>
          <w:sz w:val="24"/>
          <w:szCs w:val="24"/>
        </w:rPr>
        <w:t>Many participants described lack of confidence (</w:t>
      </w:r>
      <w:proofErr w:type="spellStart"/>
      <w:r w:rsidR="005A13A0" w:rsidRPr="004D6B8B">
        <w:rPr>
          <w:rFonts w:eastAsia="Times New Roman" w:cstheme="minorHAnsi"/>
          <w:sz w:val="24"/>
          <w:szCs w:val="24"/>
        </w:rPr>
        <w:t>Manthorpe</w:t>
      </w:r>
      <w:proofErr w:type="spellEnd"/>
      <w:r w:rsidR="005A13A0" w:rsidRPr="004D6B8B">
        <w:rPr>
          <w:rFonts w:eastAsia="Times New Roman" w:cstheme="minorHAnsi"/>
          <w:sz w:val="24"/>
          <w:szCs w:val="24"/>
        </w:rPr>
        <w:t xml:space="preserve"> et al</w:t>
      </w:r>
      <w:r w:rsidR="00916F92" w:rsidRPr="004D6B8B">
        <w:rPr>
          <w:rFonts w:eastAsia="Times New Roman" w:cstheme="minorHAnsi"/>
          <w:sz w:val="24"/>
          <w:szCs w:val="24"/>
        </w:rPr>
        <w:t>.,</w:t>
      </w:r>
      <w:r w:rsidR="005A13A0" w:rsidRPr="004D6B8B">
        <w:rPr>
          <w:rFonts w:eastAsia="Times New Roman" w:cstheme="minorHAnsi"/>
          <w:sz w:val="24"/>
          <w:szCs w:val="24"/>
        </w:rPr>
        <w:t xml:space="preserve"> 2009</w:t>
      </w:r>
      <w:r w:rsidR="00916F92" w:rsidRPr="004D6B8B">
        <w:rPr>
          <w:rFonts w:eastAsia="Times New Roman" w:cstheme="minorHAnsi"/>
          <w:sz w:val="24"/>
          <w:szCs w:val="24"/>
        </w:rPr>
        <w:t>;</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Samsi</w:t>
      </w:r>
      <w:proofErr w:type="spellEnd"/>
      <w:r w:rsidR="005A13A0" w:rsidRPr="004D6B8B">
        <w:rPr>
          <w:rFonts w:eastAsia="Times New Roman" w:cstheme="minorHAnsi"/>
          <w:sz w:val="24"/>
          <w:szCs w:val="24"/>
        </w:rPr>
        <w:t xml:space="preserve"> et al</w:t>
      </w:r>
      <w:r w:rsidR="00916F92" w:rsidRPr="004D6B8B">
        <w:rPr>
          <w:rFonts w:eastAsia="Times New Roman" w:cstheme="minorHAnsi"/>
          <w:sz w:val="24"/>
          <w:szCs w:val="24"/>
        </w:rPr>
        <w:t>.,</w:t>
      </w:r>
      <w:r w:rsidR="005A13A0" w:rsidRPr="004D6B8B">
        <w:rPr>
          <w:rFonts w:eastAsia="Times New Roman" w:cstheme="minorHAnsi"/>
          <w:sz w:val="24"/>
          <w:szCs w:val="24"/>
        </w:rPr>
        <w:t xml:space="preserve"> 2011</w:t>
      </w:r>
      <w:r w:rsidR="00916F92" w:rsidRPr="004D6B8B">
        <w:rPr>
          <w:rFonts w:eastAsia="Times New Roman" w:cstheme="minorHAnsi"/>
          <w:sz w:val="24"/>
          <w:szCs w:val="24"/>
        </w:rPr>
        <w:t>;</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Phair</w:t>
      </w:r>
      <w:proofErr w:type="spellEnd"/>
      <w:r w:rsidR="005A13A0" w:rsidRPr="004D6B8B">
        <w:rPr>
          <w:rFonts w:eastAsia="Times New Roman" w:cstheme="minorHAnsi"/>
          <w:sz w:val="24"/>
          <w:szCs w:val="24"/>
        </w:rPr>
        <w:t xml:space="preserve"> </w:t>
      </w:r>
      <w:r w:rsidR="00916F92" w:rsidRPr="004D6B8B">
        <w:rPr>
          <w:rFonts w:eastAsia="Times New Roman" w:cstheme="minorHAnsi"/>
          <w:sz w:val="24"/>
          <w:szCs w:val="24"/>
        </w:rPr>
        <w:t>&amp;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Manthorpe</w:t>
      </w:r>
      <w:proofErr w:type="spellEnd"/>
      <w:r w:rsidR="005A13A0" w:rsidRPr="004D6B8B">
        <w:rPr>
          <w:rFonts w:eastAsia="Times New Roman" w:cstheme="minorHAnsi"/>
          <w:sz w:val="24"/>
          <w:szCs w:val="24"/>
        </w:rPr>
        <w:t xml:space="preserve"> 2012</w:t>
      </w:r>
      <w:r w:rsidR="00916F92" w:rsidRPr="004D6B8B">
        <w:rPr>
          <w:rFonts w:eastAsia="Times New Roman" w:cstheme="minorHAnsi"/>
          <w:sz w:val="24"/>
          <w:szCs w:val="24"/>
        </w:rPr>
        <w:t>;</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Manthorpe</w:t>
      </w:r>
      <w:proofErr w:type="spellEnd"/>
      <w:r w:rsidR="005A13A0" w:rsidRPr="004D6B8B">
        <w:rPr>
          <w:rFonts w:eastAsia="Times New Roman" w:cstheme="minorHAnsi"/>
          <w:sz w:val="24"/>
          <w:szCs w:val="24"/>
        </w:rPr>
        <w:t xml:space="preserve"> </w:t>
      </w:r>
      <w:r w:rsidR="00916F92" w:rsidRPr="004D6B8B">
        <w:rPr>
          <w:rFonts w:eastAsia="Times New Roman" w:cstheme="minorHAnsi"/>
          <w:sz w:val="24"/>
          <w:szCs w:val="24"/>
        </w:rPr>
        <w:t>&amp;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Samsi</w:t>
      </w:r>
      <w:proofErr w:type="spellEnd"/>
      <w:r w:rsidR="00916F92" w:rsidRPr="004D6B8B">
        <w:rPr>
          <w:rFonts w:eastAsia="Times New Roman" w:cstheme="minorHAnsi"/>
          <w:sz w:val="24"/>
          <w:szCs w:val="24"/>
        </w:rPr>
        <w:t>,</w:t>
      </w:r>
      <w:r w:rsidR="005A13A0" w:rsidRPr="004D6B8B">
        <w:rPr>
          <w:rFonts w:eastAsia="Times New Roman" w:cstheme="minorHAnsi"/>
          <w:sz w:val="24"/>
          <w:szCs w:val="24"/>
        </w:rPr>
        <w:t xml:space="preserve"> 2016), while others were </w:t>
      </w:r>
      <w:proofErr w:type="spellStart"/>
      <w:r w:rsidR="005A13A0" w:rsidRPr="004D6B8B">
        <w:rPr>
          <w:rFonts w:eastAsia="Times New Roman" w:cstheme="minorHAnsi"/>
          <w:sz w:val="24"/>
          <w:szCs w:val="24"/>
        </w:rPr>
        <w:t>sensitised</w:t>
      </w:r>
      <w:proofErr w:type="spellEnd"/>
      <w:r w:rsidR="005A13A0" w:rsidRPr="004D6B8B">
        <w:rPr>
          <w:rFonts w:eastAsia="Times New Roman" w:cstheme="minorHAnsi"/>
          <w:sz w:val="24"/>
          <w:szCs w:val="24"/>
        </w:rPr>
        <w:t xml:space="preserve"> to capacity issues, but unsure of how to implement the legislation (</w:t>
      </w:r>
      <w:proofErr w:type="spellStart"/>
      <w:r w:rsidR="002975A5" w:rsidRPr="004D6B8B">
        <w:rPr>
          <w:rFonts w:eastAsia="Times New Roman" w:cstheme="minorHAnsi"/>
          <w:sz w:val="24"/>
          <w:szCs w:val="24"/>
        </w:rPr>
        <w:t>Samsi</w:t>
      </w:r>
      <w:proofErr w:type="spellEnd"/>
      <w:r w:rsidR="002975A5" w:rsidRPr="004D6B8B">
        <w:rPr>
          <w:rFonts w:eastAsia="Times New Roman" w:cstheme="minorHAnsi"/>
          <w:sz w:val="24"/>
          <w:szCs w:val="24"/>
        </w:rPr>
        <w:t xml:space="preserve"> et al</w:t>
      </w:r>
      <w:r w:rsidR="00916F92" w:rsidRPr="004D6B8B">
        <w:rPr>
          <w:rFonts w:eastAsia="Times New Roman" w:cstheme="minorHAnsi"/>
          <w:sz w:val="24"/>
          <w:szCs w:val="24"/>
        </w:rPr>
        <w:t>.,</w:t>
      </w:r>
      <w:r w:rsidR="002975A5" w:rsidRPr="004D6B8B">
        <w:rPr>
          <w:rFonts w:eastAsia="Times New Roman" w:cstheme="minorHAnsi"/>
          <w:sz w:val="24"/>
          <w:szCs w:val="24"/>
        </w:rPr>
        <w:t xml:space="preserve"> 2011</w:t>
      </w:r>
      <w:r w:rsidR="00916F92" w:rsidRPr="004D6B8B">
        <w:rPr>
          <w:rFonts w:eastAsia="Times New Roman" w:cstheme="minorHAnsi"/>
          <w:sz w:val="24"/>
          <w:szCs w:val="24"/>
        </w:rPr>
        <w:t>;</w:t>
      </w:r>
      <w:r w:rsidR="002975A5" w:rsidRPr="004D6B8B">
        <w:rPr>
          <w:rFonts w:eastAsia="Times New Roman" w:cstheme="minorHAnsi"/>
          <w:sz w:val="24"/>
          <w:szCs w:val="24"/>
        </w:rPr>
        <w:t xml:space="preserve">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916F92" w:rsidRPr="004D6B8B">
        <w:rPr>
          <w:rFonts w:eastAsia="Times New Roman" w:cstheme="minorHAnsi"/>
          <w:sz w:val="24"/>
          <w:szCs w:val="24"/>
        </w:rPr>
        <w:t>.,</w:t>
      </w:r>
      <w:r w:rsidR="005A13A0" w:rsidRPr="004D6B8B">
        <w:rPr>
          <w:rFonts w:eastAsia="Times New Roman" w:cstheme="minorHAnsi"/>
          <w:sz w:val="24"/>
          <w:szCs w:val="24"/>
        </w:rPr>
        <w:t xml:space="preserve"> 2013). </w:t>
      </w:r>
      <w:r w:rsidR="00FB68B9" w:rsidRPr="004D6B8B">
        <w:rPr>
          <w:rFonts w:eastAsia="Times New Roman" w:cstheme="minorHAnsi"/>
          <w:sz w:val="24"/>
          <w:szCs w:val="24"/>
        </w:rPr>
        <w:t xml:space="preserve">As </w:t>
      </w:r>
      <w:proofErr w:type="spellStart"/>
      <w:r w:rsidR="00FB68B9" w:rsidRPr="004D6B8B">
        <w:rPr>
          <w:rFonts w:eastAsia="Times New Roman" w:cstheme="minorHAnsi"/>
          <w:sz w:val="24"/>
          <w:szCs w:val="24"/>
        </w:rPr>
        <w:t>Willner</w:t>
      </w:r>
      <w:proofErr w:type="spellEnd"/>
      <w:r w:rsidR="00FB68B9" w:rsidRPr="004D6B8B">
        <w:rPr>
          <w:rFonts w:eastAsia="Times New Roman" w:cstheme="minorHAnsi"/>
          <w:sz w:val="24"/>
          <w:szCs w:val="24"/>
        </w:rPr>
        <w:t xml:space="preserve"> et al</w:t>
      </w:r>
      <w:r w:rsidR="00916F92" w:rsidRPr="004D6B8B">
        <w:rPr>
          <w:rFonts w:eastAsia="Times New Roman" w:cstheme="minorHAnsi"/>
          <w:sz w:val="24"/>
          <w:szCs w:val="24"/>
        </w:rPr>
        <w:t>.</w:t>
      </w:r>
      <w:r w:rsidR="00FB68B9" w:rsidRPr="004D6B8B">
        <w:rPr>
          <w:rFonts w:eastAsia="Times New Roman" w:cstheme="minorHAnsi"/>
          <w:sz w:val="24"/>
          <w:szCs w:val="24"/>
        </w:rPr>
        <w:t xml:space="preserve"> (2013) noted, confidence is not a reliable proxy for measuring competence</w:t>
      </w:r>
      <w:r w:rsidR="00C410E9" w:rsidRPr="004D6B8B">
        <w:rPr>
          <w:rFonts w:eastAsia="Times New Roman" w:cstheme="minorHAnsi"/>
          <w:sz w:val="24"/>
          <w:szCs w:val="24"/>
        </w:rPr>
        <w:t>. P</w:t>
      </w:r>
      <w:r w:rsidR="00FB68B9" w:rsidRPr="004D6B8B">
        <w:rPr>
          <w:rFonts w:eastAsia="Times New Roman" w:cstheme="minorHAnsi"/>
          <w:sz w:val="24"/>
          <w:szCs w:val="24"/>
        </w:rPr>
        <w:t>articipants in some studies (Schofield et al</w:t>
      </w:r>
      <w:r w:rsidR="00916F92" w:rsidRPr="004D6B8B">
        <w:rPr>
          <w:rFonts w:eastAsia="Times New Roman" w:cstheme="minorHAnsi"/>
          <w:sz w:val="24"/>
          <w:szCs w:val="24"/>
        </w:rPr>
        <w:t>.,</w:t>
      </w:r>
      <w:r w:rsidR="00FB68B9" w:rsidRPr="004D6B8B">
        <w:rPr>
          <w:rFonts w:eastAsia="Times New Roman" w:cstheme="minorHAnsi"/>
          <w:sz w:val="24"/>
          <w:szCs w:val="24"/>
        </w:rPr>
        <w:t xml:space="preserve"> 2012</w:t>
      </w:r>
      <w:r w:rsidR="00916F92" w:rsidRPr="004D6B8B">
        <w:rPr>
          <w:rFonts w:eastAsia="Times New Roman" w:cstheme="minorHAnsi"/>
          <w:sz w:val="24"/>
          <w:szCs w:val="24"/>
        </w:rPr>
        <w:t>;</w:t>
      </w:r>
      <w:r w:rsidR="00FB68B9" w:rsidRPr="004D6B8B">
        <w:rPr>
          <w:rFonts w:eastAsia="Times New Roman" w:cstheme="minorHAnsi"/>
          <w:sz w:val="24"/>
          <w:szCs w:val="24"/>
        </w:rPr>
        <w:t xml:space="preserve"> </w:t>
      </w:r>
      <w:proofErr w:type="spellStart"/>
      <w:r w:rsidR="00FB68B9" w:rsidRPr="004D6B8B">
        <w:rPr>
          <w:rFonts w:eastAsia="Times New Roman" w:cstheme="minorHAnsi"/>
          <w:sz w:val="24"/>
          <w:szCs w:val="24"/>
        </w:rPr>
        <w:t>Willner</w:t>
      </w:r>
      <w:proofErr w:type="spellEnd"/>
      <w:r w:rsidR="00FB68B9" w:rsidRPr="004D6B8B">
        <w:rPr>
          <w:rFonts w:eastAsia="Times New Roman" w:cstheme="minorHAnsi"/>
          <w:sz w:val="24"/>
          <w:szCs w:val="24"/>
        </w:rPr>
        <w:t xml:space="preserve"> et al</w:t>
      </w:r>
      <w:r w:rsidR="00916F92" w:rsidRPr="004D6B8B">
        <w:rPr>
          <w:rFonts w:eastAsia="Times New Roman" w:cstheme="minorHAnsi"/>
          <w:sz w:val="24"/>
          <w:szCs w:val="24"/>
        </w:rPr>
        <w:t>.,</w:t>
      </w:r>
      <w:r w:rsidR="00FB68B9" w:rsidRPr="004D6B8B">
        <w:rPr>
          <w:rFonts w:eastAsia="Times New Roman" w:cstheme="minorHAnsi"/>
          <w:sz w:val="24"/>
          <w:szCs w:val="24"/>
        </w:rPr>
        <w:t xml:space="preserve"> 2013) may have demonstrated misplaced confidence while in others knowledge appeared stronger, but confidence lower (</w:t>
      </w:r>
      <w:proofErr w:type="spellStart"/>
      <w:r w:rsidR="00FB68B9" w:rsidRPr="004D6B8B">
        <w:rPr>
          <w:rFonts w:eastAsia="Times New Roman" w:cstheme="minorHAnsi"/>
          <w:sz w:val="24"/>
          <w:szCs w:val="24"/>
        </w:rPr>
        <w:t>Manthorpe</w:t>
      </w:r>
      <w:proofErr w:type="spellEnd"/>
      <w:r w:rsidR="00FB68B9" w:rsidRPr="004D6B8B">
        <w:rPr>
          <w:rFonts w:eastAsia="Times New Roman" w:cstheme="minorHAnsi"/>
          <w:sz w:val="24"/>
          <w:szCs w:val="24"/>
        </w:rPr>
        <w:t xml:space="preserve"> et al</w:t>
      </w:r>
      <w:r w:rsidR="00916F92" w:rsidRPr="004D6B8B">
        <w:rPr>
          <w:rFonts w:eastAsia="Times New Roman" w:cstheme="minorHAnsi"/>
          <w:sz w:val="24"/>
          <w:szCs w:val="24"/>
        </w:rPr>
        <w:t>.,</w:t>
      </w:r>
      <w:r w:rsidR="00FB68B9" w:rsidRPr="004D6B8B">
        <w:rPr>
          <w:rFonts w:eastAsia="Times New Roman" w:cstheme="minorHAnsi"/>
          <w:sz w:val="24"/>
          <w:szCs w:val="24"/>
        </w:rPr>
        <w:t xml:space="preserve"> 2009</w:t>
      </w:r>
      <w:r w:rsidR="00916F92" w:rsidRPr="004D6B8B">
        <w:rPr>
          <w:rFonts w:eastAsia="Times New Roman" w:cstheme="minorHAnsi"/>
          <w:sz w:val="24"/>
          <w:szCs w:val="24"/>
        </w:rPr>
        <w:t>;</w:t>
      </w:r>
      <w:r w:rsidR="00FB68B9" w:rsidRPr="004D6B8B">
        <w:rPr>
          <w:rFonts w:eastAsia="Times New Roman" w:cstheme="minorHAnsi"/>
          <w:sz w:val="24"/>
          <w:szCs w:val="24"/>
        </w:rPr>
        <w:t xml:space="preserve"> </w:t>
      </w:r>
      <w:proofErr w:type="spellStart"/>
      <w:r w:rsidR="00FB68B9" w:rsidRPr="004D6B8B">
        <w:rPr>
          <w:rFonts w:eastAsia="Times New Roman" w:cstheme="minorHAnsi"/>
          <w:sz w:val="24"/>
          <w:szCs w:val="24"/>
        </w:rPr>
        <w:t>Manthorpe</w:t>
      </w:r>
      <w:proofErr w:type="spellEnd"/>
      <w:r w:rsidR="00FB68B9" w:rsidRPr="004D6B8B">
        <w:rPr>
          <w:rFonts w:eastAsia="Times New Roman" w:cstheme="minorHAnsi"/>
          <w:sz w:val="24"/>
          <w:szCs w:val="24"/>
        </w:rPr>
        <w:t xml:space="preserve"> et al</w:t>
      </w:r>
      <w:r w:rsidR="00916F92" w:rsidRPr="004D6B8B">
        <w:rPr>
          <w:rFonts w:eastAsia="Times New Roman" w:cstheme="minorHAnsi"/>
          <w:sz w:val="24"/>
          <w:szCs w:val="24"/>
        </w:rPr>
        <w:t>.,</w:t>
      </w:r>
      <w:r w:rsidR="00FB68B9" w:rsidRPr="004D6B8B">
        <w:rPr>
          <w:rFonts w:eastAsia="Times New Roman" w:cstheme="minorHAnsi"/>
          <w:sz w:val="24"/>
          <w:szCs w:val="24"/>
        </w:rPr>
        <w:t xml:space="preserve"> 2011</w:t>
      </w:r>
      <w:r w:rsidR="00916F92" w:rsidRPr="004D6B8B">
        <w:rPr>
          <w:rFonts w:eastAsia="Times New Roman" w:cstheme="minorHAnsi"/>
          <w:sz w:val="24"/>
          <w:szCs w:val="24"/>
        </w:rPr>
        <w:t>;</w:t>
      </w:r>
      <w:r w:rsidR="00FB68B9" w:rsidRPr="004D6B8B">
        <w:rPr>
          <w:rFonts w:eastAsia="Times New Roman" w:cstheme="minorHAnsi"/>
          <w:sz w:val="24"/>
          <w:szCs w:val="24"/>
        </w:rPr>
        <w:t xml:space="preserve"> Marshall </w:t>
      </w:r>
      <w:r w:rsidR="00916F92" w:rsidRPr="004D6B8B">
        <w:rPr>
          <w:rFonts w:eastAsia="Times New Roman" w:cstheme="minorHAnsi"/>
          <w:sz w:val="24"/>
          <w:szCs w:val="24"/>
        </w:rPr>
        <w:t>&amp;</w:t>
      </w:r>
      <w:r w:rsidR="00FB68B9" w:rsidRPr="004D6B8B">
        <w:rPr>
          <w:rFonts w:eastAsia="Times New Roman" w:cstheme="minorHAnsi"/>
          <w:sz w:val="24"/>
          <w:szCs w:val="24"/>
        </w:rPr>
        <w:t xml:space="preserve"> Sprung 2016b). However, </w:t>
      </w:r>
      <w:proofErr w:type="spellStart"/>
      <w:r w:rsidR="00FB68B9" w:rsidRPr="004D6B8B">
        <w:rPr>
          <w:rFonts w:eastAsia="Times New Roman" w:cstheme="minorHAnsi"/>
          <w:sz w:val="24"/>
          <w:szCs w:val="24"/>
        </w:rPr>
        <w:t>Willner</w:t>
      </w:r>
      <w:proofErr w:type="spellEnd"/>
      <w:r w:rsidR="00FB68B9" w:rsidRPr="004D6B8B">
        <w:rPr>
          <w:rFonts w:eastAsia="Times New Roman" w:cstheme="minorHAnsi"/>
          <w:sz w:val="24"/>
          <w:szCs w:val="24"/>
        </w:rPr>
        <w:t xml:space="preserve"> et al</w:t>
      </w:r>
      <w:r w:rsidR="00916F92" w:rsidRPr="004D6B8B">
        <w:rPr>
          <w:rFonts w:eastAsia="Times New Roman" w:cstheme="minorHAnsi"/>
          <w:sz w:val="24"/>
          <w:szCs w:val="24"/>
        </w:rPr>
        <w:t>.</w:t>
      </w:r>
      <w:r w:rsidR="00FB68B9" w:rsidRPr="004D6B8B">
        <w:rPr>
          <w:rFonts w:eastAsia="Times New Roman" w:cstheme="minorHAnsi"/>
          <w:sz w:val="24"/>
          <w:szCs w:val="24"/>
        </w:rPr>
        <w:t xml:space="preserve"> (2013) noted that raising awareness of the legislation was a necessary </w:t>
      </w:r>
      <w:r w:rsidR="00FB68B9" w:rsidRPr="004D6B8B">
        <w:rPr>
          <w:rFonts w:eastAsia="Times New Roman" w:cstheme="minorHAnsi"/>
          <w:sz w:val="24"/>
          <w:szCs w:val="24"/>
        </w:rPr>
        <w:lastRenderedPageBreak/>
        <w:t xml:space="preserve">first step, enabling future learning. </w:t>
      </w:r>
      <w:r w:rsidR="006E28E7" w:rsidRPr="004D6B8B">
        <w:rPr>
          <w:rFonts w:eastAsia="Times New Roman" w:cstheme="minorHAnsi"/>
          <w:sz w:val="24"/>
          <w:szCs w:val="24"/>
        </w:rPr>
        <w:t xml:space="preserve">Speech-Language Therapy (SLT) students in Bose &amp; </w:t>
      </w:r>
      <w:proofErr w:type="spellStart"/>
      <w:r w:rsidR="006E28E7" w:rsidRPr="004D6B8B">
        <w:rPr>
          <w:rFonts w:eastAsia="Times New Roman" w:cstheme="minorHAnsi"/>
          <w:sz w:val="24"/>
          <w:szCs w:val="24"/>
        </w:rPr>
        <w:t>McFiggan’s</w:t>
      </w:r>
      <w:proofErr w:type="spellEnd"/>
      <w:r w:rsidR="006E28E7" w:rsidRPr="004D6B8B">
        <w:rPr>
          <w:rFonts w:eastAsia="Times New Roman" w:cstheme="minorHAnsi"/>
          <w:sz w:val="24"/>
          <w:szCs w:val="24"/>
        </w:rPr>
        <w:t xml:space="preserve"> (2019) study reported greater awareness, knowledge and confidence. These qualities were identified immediately post-training so it is unclear whether the outcomes of training would be retained and applied in clinical practice post-qualification.</w:t>
      </w:r>
    </w:p>
    <w:p w14:paraId="06C69522" w14:textId="6ECEE982" w:rsidR="005A13A0" w:rsidRPr="004D6B8B" w:rsidRDefault="006E28E7" w:rsidP="005A13A0">
      <w:pPr>
        <w:rPr>
          <w:rFonts w:eastAsia="Times New Roman" w:cstheme="minorHAnsi"/>
          <w:sz w:val="24"/>
          <w:szCs w:val="24"/>
        </w:rPr>
      </w:pPr>
      <w:r w:rsidRPr="004D6B8B">
        <w:rPr>
          <w:rFonts w:eastAsia="Times New Roman" w:cstheme="minorHAnsi"/>
          <w:sz w:val="24"/>
          <w:szCs w:val="24"/>
        </w:rPr>
        <w:t>Generally, t</w:t>
      </w:r>
      <w:r w:rsidR="00B67CA3" w:rsidRPr="004D6B8B">
        <w:rPr>
          <w:rFonts w:eastAsia="Times New Roman" w:cstheme="minorHAnsi"/>
          <w:sz w:val="24"/>
          <w:szCs w:val="24"/>
        </w:rPr>
        <w:t>he study a</w:t>
      </w:r>
      <w:r w:rsidR="00EC39AA" w:rsidRPr="004D6B8B">
        <w:rPr>
          <w:rFonts w:eastAsia="Times New Roman" w:cstheme="minorHAnsi"/>
          <w:sz w:val="24"/>
          <w:szCs w:val="24"/>
        </w:rPr>
        <w:t>uthors conclude</w:t>
      </w:r>
      <w:r w:rsidR="00FB68B9" w:rsidRPr="004D6B8B">
        <w:rPr>
          <w:rFonts w:eastAsia="Times New Roman" w:cstheme="minorHAnsi"/>
          <w:sz w:val="24"/>
          <w:szCs w:val="24"/>
        </w:rPr>
        <w:t xml:space="preserve"> that participation in training improved knowledge but did not lead to corresponding improvement in application of the legislation, due to ongoing apprehension and lack of confidence.  </w:t>
      </w:r>
      <w:r w:rsidR="007E5479" w:rsidRPr="004D6B8B">
        <w:rPr>
          <w:rFonts w:eastAsia="Times New Roman" w:cstheme="minorHAnsi"/>
          <w:sz w:val="24"/>
          <w:szCs w:val="24"/>
        </w:rPr>
        <w:t>Subsequently, awareness of the limitations of training led to a reconsideration of learning approaches (</w:t>
      </w:r>
      <w:proofErr w:type="spellStart"/>
      <w:r w:rsidR="007E5479" w:rsidRPr="004D6B8B">
        <w:rPr>
          <w:rFonts w:eastAsia="Times New Roman" w:cstheme="minorHAnsi"/>
          <w:sz w:val="24"/>
          <w:szCs w:val="24"/>
        </w:rPr>
        <w:t>Willner</w:t>
      </w:r>
      <w:proofErr w:type="spellEnd"/>
      <w:r w:rsidR="007E5479" w:rsidRPr="004D6B8B">
        <w:rPr>
          <w:rFonts w:eastAsia="Times New Roman" w:cstheme="minorHAnsi"/>
          <w:sz w:val="24"/>
          <w:szCs w:val="24"/>
        </w:rPr>
        <w:t xml:space="preserve"> et al</w:t>
      </w:r>
      <w:r w:rsidR="00916F92" w:rsidRPr="004D6B8B">
        <w:rPr>
          <w:rFonts w:eastAsia="Times New Roman" w:cstheme="minorHAnsi"/>
          <w:sz w:val="24"/>
          <w:szCs w:val="24"/>
        </w:rPr>
        <w:t>.,</w:t>
      </w:r>
      <w:r w:rsidR="007E5479" w:rsidRPr="004D6B8B">
        <w:rPr>
          <w:rFonts w:eastAsia="Times New Roman" w:cstheme="minorHAnsi"/>
          <w:sz w:val="24"/>
          <w:szCs w:val="24"/>
        </w:rPr>
        <w:t xml:space="preserve"> 2013</w:t>
      </w:r>
      <w:r w:rsidR="00916F92" w:rsidRPr="004D6B8B">
        <w:rPr>
          <w:rFonts w:eastAsia="Times New Roman" w:cstheme="minorHAnsi"/>
          <w:sz w:val="24"/>
          <w:szCs w:val="24"/>
        </w:rPr>
        <w:t>;</w:t>
      </w:r>
      <w:r w:rsidR="007E5479" w:rsidRPr="004D6B8B">
        <w:rPr>
          <w:rFonts w:eastAsia="Times New Roman" w:cstheme="minorHAnsi"/>
          <w:sz w:val="24"/>
          <w:szCs w:val="24"/>
        </w:rPr>
        <w:t xml:space="preserve"> Gough </w:t>
      </w:r>
      <w:r w:rsidR="00916F92" w:rsidRPr="004D6B8B">
        <w:rPr>
          <w:rFonts w:eastAsia="Times New Roman" w:cstheme="minorHAnsi"/>
          <w:sz w:val="24"/>
          <w:szCs w:val="24"/>
        </w:rPr>
        <w:t>&amp;</w:t>
      </w:r>
      <w:r w:rsidR="007E5479" w:rsidRPr="004D6B8B">
        <w:rPr>
          <w:rFonts w:eastAsia="Times New Roman" w:cstheme="minorHAnsi"/>
          <w:sz w:val="24"/>
          <w:szCs w:val="24"/>
        </w:rPr>
        <w:t xml:space="preserve"> </w:t>
      </w:r>
      <w:proofErr w:type="spellStart"/>
      <w:r w:rsidR="007E5479" w:rsidRPr="004D6B8B">
        <w:rPr>
          <w:rFonts w:eastAsia="Times New Roman" w:cstheme="minorHAnsi"/>
          <w:sz w:val="24"/>
          <w:szCs w:val="24"/>
        </w:rPr>
        <w:t>Kerlin</w:t>
      </w:r>
      <w:proofErr w:type="spellEnd"/>
      <w:r w:rsidR="007E5479" w:rsidRPr="004D6B8B">
        <w:rPr>
          <w:rFonts w:eastAsia="Times New Roman" w:cstheme="minorHAnsi"/>
          <w:sz w:val="24"/>
          <w:szCs w:val="24"/>
        </w:rPr>
        <w:t xml:space="preserve"> 2012</w:t>
      </w:r>
      <w:r w:rsidR="00916F92" w:rsidRPr="004D6B8B">
        <w:rPr>
          <w:rFonts w:eastAsia="Times New Roman" w:cstheme="minorHAnsi"/>
          <w:sz w:val="24"/>
          <w:szCs w:val="24"/>
        </w:rPr>
        <w:t>;</w:t>
      </w:r>
      <w:r w:rsidR="007E5479" w:rsidRPr="004D6B8B">
        <w:rPr>
          <w:rFonts w:eastAsia="Times New Roman" w:cstheme="minorHAnsi"/>
          <w:sz w:val="24"/>
          <w:szCs w:val="24"/>
        </w:rPr>
        <w:t xml:space="preserve"> Schofield, di </w:t>
      </w:r>
      <w:proofErr w:type="spellStart"/>
      <w:r w:rsidR="007E5479" w:rsidRPr="004D6B8B">
        <w:rPr>
          <w:rFonts w:eastAsia="Times New Roman" w:cstheme="minorHAnsi"/>
          <w:sz w:val="24"/>
          <w:szCs w:val="24"/>
        </w:rPr>
        <w:t>Mambro</w:t>
      </w:r>
      <w:proofErr w:type="spellEnd"/>
      <w:r w:rsidR="007E5479" w:rsidRPr="004D6B8B">
        <w:rPr>
          <w:rFonts w:eastAsia="Times New Roman" w:cstheme="minorHAnsi"/>
          <w:sz w:val="24"/>
          <w:szCs w:val="24"/>
        </w:rPr>
        <w:t xml:space="preserve"> </w:t>
      </w:r>
      <w:r w:rsidR="00916F92" w:rsidRPr="004D6B8B">
        <w:rPr>
          <w:rFonts w:eastAsia="Times New Roman" w:cstheme="minorHAnsi"/>
          <w:sz w:val="24"/>
          <w:szCs w:val="24"/>
        </w:rPr>
        <w:t>&amp;</w:t>
      </w:r>
      <w:r w:rsidR="007E5479" w:rsidRPr="004D6B8B">
        <w:rPr>
          <w:rFonts w:eastAsia="Times New Roman" w:cstheme="minorHAnsi"/>
          <w:sz w:val="24"/>
          <w:szCs w:val="24"/>
        </w:rPr>
        <w:t xml:space="preserve"> Schofield</w:t>
      </w:r>
      <w:r w:rsidR="00916F92" w:rsidRPr="004D6B8B">
        <w:rPr>
          <w:rFonts w:eastAsia="Times New Roman" w:cstheme="minorHAnsi"/>
          <w:sz w:val="24"/>
          <w:szCs w:val="24"/>
        </w:rPr>
        <w:t>,</w:t>
      </w:r>
      <w:r w:rsidR="007E5479" w:rsidRPr="004D6B8B">
        <w:rPr>
          <w:rFonts w:eastAsia="Times New Roman" w:cstheme="minorHAnsi"/>
          <w:sz w:val="24"/>
          <w:szCs w:val="24"/>
        </w:rPr>
        <w:t xml:space="preserve"> 2012).</w:t>
      </w:r>
      <w:r w:rsidR="009C2EC4" w:rsidRPr="004D6B8B">
        <w:rPr>
          <w:rFonts w:eastAsia="Times New Roman" w:cstheme="minorHAnsi"/>
          <w:sz w:val="24"/>
          <w:szCs w:val="24"/>
        </w:rPr>
        <w:t xml:space="preserve">  For example, </w:t>
      </w:r>
      <w:proofErr w:type="spellStart"/>
      <w:r w:rsidR="009C2EC4" w:rsidRPr="004D6B8B">
        <w:rPr>
          <w:rFonts w:eastAsia="Times New Roman" w:cstheme="minorHAnsi"/>
          <w:sz w:val="24"/>
          <w:szCs w:val="24"/>
        </w:rPr>
        <w:t>Willner</w:t>
      </w:r>
      <w:proofErr w:type="spellEnd"/>
      <w:r w:rsidR="009C2EC4" w:rsidRPr="004D6B8B">
        <w:rPr>
          <w:rFonts w:eastAsia="Times New Roman" w:cstheme="minorHAnsi"/>
          <w:sz w:val="24"/>
          <w:szCs w:val="24"/>
        </w:rPr>
        <w:t xml:space="preserve"> et al., (2013) suggested</w:t>
      </w:r>
      <w:r w:rsidR="005C67FB" w:rsidRPr="004D6B8B">
        <w:rPr>
          <w:rFonts w:eastAsia="Times New Roman" w:cstheme="minorHAnsi"/>
          <w:sz w:val="24"/>
          <w:szCs w:val="24"/>
        </w:rPr>
        <w:t xml:space="preserve"> the role of training should only be to raise awareness, then </w:t>
      </w:r>
      <w:r w:rsidR="009C2EC4" w:rsidRPr="004D6B8B">
        <w:rPr>
          <w:rFonts w:eastAsia="Times New Roman" w:cstheme="minorHAnsi"/>
          <w:sz w:val="24"/>
          <w:szCs w:val="24"/>
        </w:rPr>
        <w:t>online</w:t>
      </w:r>
      <w:r w:rsidR="005C67FB" w:rsidRPr="004D6B8B">
        <w:rPr>
          <w:rFonts w:eastAsia="Times New Roman" w:cstheme="minorHAnsi"/>
          <w:sz w:val="24"/>
          <w:szCs w:val="24"/>
        </w:rPr>
        <w:t xml:space="preserve"> information</w:t>
      </w:r>
      <w:r w:rsidR="009C2EC4" w:rsidRPr="004D6B8B">
        <w:rPr>
          <w:rFonts w:eastAsia="Times New Roman" w:cstheme="minorHAnsi"/>
          <w:sz w:val="24"/>
          <w:szCs w:val="24"/>
        </w:rPr>
        <w:t xml:space="preserve"> should be</w:t>
      </w:r>
      <w:r w:rsidR="005C67FB" w:rsidRPr="004D6B8B">
        <w:rPr>
          <w:rFonts w:eastAsia="Times New Roman" w:cstheme="minorHAnsi"/>
          <w:sz w:val="24"/>
          <w:szCs w:val="24"/>
        </w:rPr>
        <w:t xml:space="preserve"> complemented </w:t>
      </w:r>
      <w:r w:rsidR="009C2EC4" w:rsidRPr="004D6B8B">
        <w:rPr>
          <w:rFonts w:eastAsia="Times New Roman" w:cstheme="minorHAnsi"/>
          <w:sz w:val="24"/>
          <w:szCs w:val="24"/>
        </w:rPr>
        <w:t xml:space="preserve">by access to an MCA expert, who would provide guidance and support. </w:t>
      </w:r>
    </w:p>
    <w:p w14:paraId="2E1BADE7" w14:textId="3851642B" w:rsidR="005A13A0" w:rsidRPr="004D6B8B" w:rsidRDefault="00A65BF5" w:rsidP="005A13A0">
      <w:pPr>
        <w:rPr>
          <w:rFonts w:eastAsia="Times New Roman" w:cstheme="minorHAnsi"/>
          <w:i/>
          <w:sz w:val="24"/>
          <w:szCs w:val="24"/>
        </w:rPr>
      </w:pPr>
      <w:bookmarkStart w:id="4" w:name="_Hlk12354979"/>
      <w:r w:rsidRPr="004D6B8B">
        <w:rPr>
          <w:rFonts w:eastAsia="Times New Roman" w:cstheme="minorHAnsi"/>
          <w:i/>
          <w:sz w:val="24"/>
          <w:szCs w:val="24"/>
        </w:rPr>
        <w:t>Misunderstandings and misapplications</w:t>
      </w:r>
    </w:p>
    <w:bookmarkEnd w:id="4"/>
    <w:p w14:paraId="3C9A133E" w14:textId="46F8DF6B" w:rsidR="005A13A0" w:rsidRPr="004D6B8B" w:rsidRDefault="005A13A0" w:rsidP="005A13A0">
      <w:pPr>
        <w:rPr>
          <w:rFonts w:eastAsia="Times New Roman" w:cstheme="minorHAnsi"/>
          <w:sz w:val="24"/>
          <w:szCs w:val="24"/>
        </w:rPr>
      </w:pPr>
      <w:r w:rsidRPr="004D6B8B">
        <w:rPr>
          <w:rFonts w:eastAsia="Times New Roman" w:cstheme="minorHAnsi"/>
          <w:sz w:val="24"/>
          <w:szCs w:val="24"/>
        </w:rPr>
        <w:t xml:space="preserve">Respondents in the </w:t>
      </w:r>
      <w:r w:rsidR="007741D3" w:rsidRPr="004D6B8B">
        <w:rPr>
          <w:rFonts w:eastAsia="Times New Roman" w:cstheme="minorHAnsi"/>
          <w:sz w:val="24"/>
          <w:szCs w:val="24"/>
        </w:rPr>
        <w:t>2009-2010 studies</w:t>
      </w:r>
      <w:r w:rsidRPr="004D6B8B">
        <w:rPr>
          <w:rFonts w:eastAsia="Times New Roman" w:cstheme="minorHAnsi"/>
          <w:sz w:val="24"/>
          <w:szCs w:val="24"/>
        </w:rPr>
        <w:t xml:space="preserve"> accurately predicted potential barriers to correct implementation of the MCA which were confirmed by later studies. </w:t>
      </w:r>
      <w:r w:rsidR="00DE01FE" w:rsidRPr="004D6B8B">
        <w:rPr>
          <w:rFonts w:eastAsia="Times New Roman" w:cstheme="minorHAnsi"/>
          <w:sz w:val="24"/>
          <w:szCs w:val="24"/>
        </w:rPr>
        <w:t>P</w:t>
      </w:r>
      <w:r w:rsidRPr="004D6B8B">
        <w:rPr>
          <w:rFonts w:eastAsia="Times New Roman" w:cstheme="minorHAnsi"/>
          <w:sz w:val="24"/>
          <w:szCs w:val="24"/>
        </w:rPr>
        <w:t>articipants noted incongruence betw</w:t>
      </w:r>
      <w:r w:rsidR="002975A5" w:rsidRPr="004D6B8B">
        <w:rPr>
          <w:rFonts w:eastAsia="Times New Roman" w:cstheme="minorHAnsi"/>
          <w:sz w:val="24"/>
          <w:szCs w:val="24"/>
        </w:rPr>
        <w:t>e</w:t>
      </w:r>
      <w:r w:rsidRPr="004D6B8B">
        <w:rPr>
          <w:rFonts w:eastAsia="Times New Roman" w:cstheme="minorHAnsi"/>
          <w:sz w:val="24"/>
          <w:szCs w:val="24"/>
        </w:rPr>
        <w:t>en the MCA and professional cultures and indicated that colleagues were unfamiliar with the legislation at the time</w:t>
      </w:r>
      <w:r w:rsidR="00DE01FE" w:rsidRPr="004D6B8B">
        <w:rPr>
          <w:rFonts w:eastAsia="Times New Roman" w:cstheme="minorHAnsi"/>
          <w:sz w:val="24"/>
          <w:szCs w:val="24"/>
        </w:rPr>
        <w:t xml:space="preserve"> (</w:t>
      </w:r>
      <w:proofErr w:type="spellStart"/>
      <w:r w:rsidR="00DE01FE" w:rsidRPr="004D6B8B">
        <w:rPr>
          <w:rFonts w:eastAsia="Times New Roman" w:cstheme="minorHAnsi"/>
          <w:sz w:val="24"/>
          <w:szCs w:val="24"/>
        </w:rPr>
        <w:t>Manthorpe</w:t>
      </w:r>
      <w:proofErr w:type="spellEnd"/>
      <w:r w:rsidR="00DE01FE" w:rsidRPr="004D6B8B">
        <w:rPr>
          <w:rFonts w:eastAsia="Times New Roman" w:cstheme="minorHAnsi"/>
          <w:sz w:val="24"/>
          <w:szCs w:val="24"/>
        </w:rPr>
        <w:t xml:space="preserve"> et al. (2009)</w:t>
      </w:r>
      <w:r w:rsidRPr="004D6B8B">
        <w:rPr>
          <w:rFonts w:eastAsia="Times New Roman" w:cstheme="minorHAnsi"/>
          <w:sz w:val="24"/>
          <w:szCs w:val="24"/>
        </w:rPr>
        <w:t xml:space="preserve">. </w:t>
      </w:r>
      <w:r w:rsidR="007D5E06" w:rsidRPr="004D6B8B">
        <w:rPr>
          <w:rFonts w:eastAsia="Times New Roman" w:cstheme="minorHAnsi"/>
          <w:sz w:val="24"/>
          <w:szCs w:val="24"/>
        </w:rPr>
        <w:t>Medical professionals</w:t>
      </w:r>
      <w:r w:rsidRPr="004D6B8B">
        <w:rPr>
          <w:rFonts w:eastAsia="Times New Roman" w:cstheme="minorHAnsi"/>
          <w:sz w:val="24"/>
          <w:szCs w:val="24"/>
        </w:rPr>
        <w:t xml:space="preserve"> outlined concerns about the workload of psychiatrists, delays in guidance and policy, potential misunderstandings about the nature of decision-making capacity and availability of local training (Shah et al</w:t>
      </w:r>
      <w:r w:rsidR="00DE01FE" w:rsidRPr="004D6B8B">
        <w:rPr>
          <w:rFonts w:eastAsia="Times New Roman" w:cstheme="minorHAnsi"/>
          <w:sz w:val="24"/>
          <w:szCs w:val="24"/>
        </w:rPr>
        <w:t>.</w:t>
      </w:r>
      <w:r w:rsidRPr="004D6B8B">
        <w:rPr>
          <w:rFonts w:eastAsia="Times New Roman" w:cstheme="minorHAnsi"/>
          <w:sz w:val="24"/>
          <w:szCs w:val="24"/>
        </w:rPr>
        <w:t>, 2010). Trainees anticipated increased workload and feared legal implications of misinterpretation or unfamiliarity (</w:t>
      </w:r>
      <w:proofErr w:type="spellStart"/>
      <w:r w:rsidRPr="004D6B8B">
        <w:rPr>
          <w:rFonts w:eastAsia="Times New Roman" w:cstheme="minorHAnsi"/>
          <w:sz w:val="24"/>
          <w:szCs w:val="24"/>
        </w:rPr>
        <w:t>Sawhney</w:t>
      </w:r>
      <w:proofErr w:type="spellEnd"/>
      <w:r w:rsidR="00DE01FE" w:rsidRPr="004D6B8B">
        <w:rPr>
          <w:rFonts w:eastAsia="Times New Roman" w:cstheme="minorHAnsi"/>
          <w:sz w:val="24"/>
          <w:szCs w:val="24"/>
        </w:rPr>
        <w:t xml:space="preserve"> et al.,</w:t>
      </w:r>
      <w:r w:rsidRPr="004D6B8B">
        <w:rPr>
          <w:rFonts w:eastAsia="Times New Roman" w:cstheme="minorHAnsi"/>
          <w:sz w:val="24"/>
          <w:szCs w:val="24"/>
        </w:rPr>
        <w:t xml:space="preserve"> 2009).  </w:t>
      </w:r>
      <w:r w:rsidR="007D5E06" w:rsidRPr="004D6B8B">
        <w:rPr>
          <w:rFonts w:eastAsia="Times New Roman" w:cstheme="minorHAnsi"/>
          <w:sz w:val="24"/>
          <w:szCs w:val="24"/>
        </w:rPr>
        <w:t>These studies reported low response rates so conclusions might be interpreted with caution, but t</w:t>
      </w:r>
      <w:r w:rsidR="007741D3" w:rsidRPr="004D6B8B">
        <w:rPr>
          <w:rFonts w:eastAsia="Times New Roman" w:cstheme="minorHAnsi"/>
          <w:sz w:val="24"/>
          <w:szCs w:val="24"/>
        </w:rPr>
        <w:t>he</w:t>
      </w:r>
      <w:r w:rsidR="007D5E06" w:rsidRPr="004D6B8B">
        <w:rPr>
          <w:rFonts w:eastAsia="Times New Roman" w:cstheme="minorHAnsi"/>
          <w:sz w:val="24"/>
          <w:szCs w:val="24"/>
        </w:rPr>
        <w:t xml:space="preserve"> doctors’</w:t>
      </w:r>
      <w:r w:rsidR="007741D3" w:rsidRPr="004D6B8B">
        <w:rPr>
          <w:rFonts w:eastAsia="Times New Roman" w:cstheme="minorHAnsi"/>
          <w:sz w:val="24"/>
          <w:szCs w:val="24"/>
        </w:rPr>
        <w:t xml:space="preserve"> fears were partially confirmed</w:t>
      </w:r>
      <w:r w:rsidR="007D5E06" w:rsidRPr="004D6B8B">
        <w:rPr>
          <w:rFonts w:eastAsia="Times New Roman" w:cstheme="minorHAnsi"/>
          <w:sz w:val="24"/>
          <w:szCs w:val="24"/>
        </w:rPr>
        <w:t xml:space="preserve"> in other studies</w:t>
      </w:r>
      <w:r w:rsidR="00C410E9" w:rsidRPr="004D6B8B">
        <w:rPr>
          <w:rFonts w:eastAsia="Times New Roman" w:cstheme="minorHAnsi"/>
          <w:sz w:val="24"/>
          <w:szCs w:val="24"/>
        </w:rPr>
        <w:t>. S</w:t>
      </w:r>
      <w:r w:rsidR="007741D3" w:rsidRPr="004D6B8B">
        <w:rPr>
          <w:rFonts w:eastAsia="Times New Roman" w:cstheme="minorHAnsi"/>
          <w:sz w:val="24"/>
          <w:szCs w:val="24"/>
        </w:rPr>
        <w:t xml:space="preserve">ocial care workers outlined how they would ask advice from senior members of staff, including doctors </w:t>
      </w:r>
      <w:r w:rsidR="007D5E06" w:rsidRPr="004D6B8B">
        <w:rPr>
          <w:rFonts w:eastAsia="Times New Roman" w:cstheme="minorHAnsi"/>
          <w:sz w:val="24"/>
          <w:szCs w:val="24"/>
        </w:rPr>
        <w:t>(</w:t>
      </w:r>
      <w:proofErr w:type="spellStart"/>
      <w:r w:rsidR="007D5E06" w:rsidRPr="004D6B8B">
        <w:rPr>
          <w:rFonts w:eastAsia="Times New Roman" w:cstheme="minorHAnsi"/>
          <w:sz w:val="24"/>
          <w:szCs w:val="24"/>
        </w:rPr>
        <w:t>Manthorpe</w:t>
      </w:r>
      <w:proofErr w:type="spellEnd"/>
      <w:r w:rsidR="007D5E06" w:rsidRPr="004D6B8B">
        <w:rPr>
          <w:rFonts w:eastAsia="Times New Roman" w:cstheme="minorHAnsi"/>
          <w:sz w:val="24"/>
          <w:szCs w:val="24"/>
        </w:rPr>
        <w:t xml:space="preserve"> et al</w:t>
      </w:r>
      <w:r w:rsidR="00DE01FE" w:rsidRPr="004D6B8B">
        <w:rPr>
          <w:rFonts w:eastAsia="Times New Roman" w:cstheme="minorHAnsi"/>
          <w:sz w:val="24"/>
          <w:szCs w:val="24"/>
        </w:rPr>
        <w:t>.,</w:t>
      </w:r>
      <w:r w:rsidR="007D5E06" w:rsidRPr="004D6B8B">
        <w:rPr>
          <w:rFonts w:eastAsia="Times New Roman" w:cstheme="minorHAnsi"/>
          <w:sz w:val="24"/>
          <w:szCs w:val="24"/>
        </w:rPr>
        <w:t xml:space="preserve"> 2009) </w:t>
      </w:r>
      <w:r w:rsidR="007741D3" w:rsidRPr="004D6B8B">
        <w:rPr>
          <w:rFonts w:eastAsia="Times New Roman" w:cstheme="minorHAnsi"/>
          <w:sz w:val="24"/>
          <w:szCs w:val="24"/>
        </w:rPr>
        <w:t xml:space="preserve">and </w:t>
      </w:r>
      <w:r w:rsidR="007D5E06" w:rsidRPr="004D6B8B">
        <w:rPr>
          <w:rFonts w:eastAsia="Times New Roman" w:cstheme="minorHAnsi"/>
          <w:sz w:val="24"/>
          <w:szCs w:val="24"/>
        </w:rPr>
        <w:t>multi-disciplinary staff post-training still believed capacity should be assessed by a psychiatrist (</w:t>
      </w:r>
      <w:proofErr w:type="spellStart"/>
      <w:r w:rsidR="007D5E06" w:rsidRPr="004D6B8B">
        <w:rPr>
          <w:rFonts w:eastAsia="Times New Roman" w:cstheme="minorHAnsi"/>
          <w:sz w:val="24"/>
          <w:szCs w:val="24"/>
        </w:rPr>
        <w:t>Willner</w:t>
      </w:r>
      <w:proofErr w:type="spellEnd"/>
      <w:r w:rsidR="007D5E06" w:rsidRPr="004D6B8B">
        <w:rPr>
          <w:rFonts w:eastAsia="Times New Roman" w:cstheme="minorHAnsi"/>
          <w:sz w:val="24"/>
          <w:szCs w:val="24"/>
        </w:rPr>
        <w:t xml:space="preserve"> et al</w:t>
      </w:r>
      <w:r w:rsidR="00DE01FE" w:rsidRPr="004D6B8B">
        <w:rPr>
          <w:rFonts w:eastAsia="Times New Roman" w:cstheme="minorHAnsi"/>
          <w:sz w:val="24"/>
          <w:szCs w:val="24"/>
        </w:rPr>
        <w:t>.,</w:t>
      </w:r>
      <w:r w:rsidR="007D5E06" w:rsidRPr="004D6B8B">
        <w:rPr>
          <w:rFonts w:eastAsia="Times New Roman" w:cstheme="minorHAnsi"/>
          <w:sz w:val="24"/>
          <w:szCs w:val="24"/>
        </w:rPr>
        <w:t xml:space="preserve"> 2013).</w:t>
      </w:r>
    </w:p>
    <w:p w14:paraId="1605565A" w14:textId="5CF8D447" w:rsidR="00B83B76" w:rsidRPr="004D6B8B" w:rsidRDefault="00C95B71" w:rsidP="005A13A0">
      <w:pPr>
        <w:rPr>
          <w:rFonts w:eastAsia="Times New Roman" w:cstheme="minorHAnsi"/>
          <w:sz w:val="24"/>
          <w:szCs w:val="24"/>
        </w:rPr>
      </w:pPr>
      <w:r w:rsidRPr="004D6B8B">
        <w:rPr>
          <w:rFonts w:eastAsia="Times New Roman" w:cstheme="minorHAnsi"/>
          <w:sz w:val="24"/>
          <w:szCs w:val="24"/>
        </w:rPr>
        <w:t>M</w:t>
      </w:r>
      <w:r w:rsidR="005A13A0" w:rsidRPr="004D6B8B">
        <w:rPr>
          <w:rFonts w:eastAsia="Times New Roman" w:cstheme="minorHAnsi"/>
          <w:sz w:val="24"/>
          <w:szCs w:val="24"/>
        </w:rPr>
        <w:t>isunderstandings and misapplication of the MCA were noted</w:t>
      </w:r>
      <w:r w:rsidRPr="004D6B8B">
        <w:rPr>
          <w:rFonts w:eastAsia="Times New Roman" w:cstheme="minorHAnsi"/>
          <w:sz w:val="24"/>
          <w:szCs w:val="24"/>
        </w:rPr>
        <w:t xml:space="preserve"> in the majority of the studies.</w:t>
      </w:r>
      <w:r w:rsidR="005A13A0" w:rsidRPr="004D6B8B">
        <w:rPr>
          <w:rFonts w:eastAsia="Times New Roman" w:cstheme="minorHAnsi"/>
          <w:sz w:val="24"/>
          <w:szCs w:val="24"/>
        </w:rPr>
        <w:t xml:space="preserve">  Staff lacked understanding of the definition of ‘capacity’ (Gough </w:t>
      </w:r>
      <w:r w:rsidR="00DE01FE" w:rsidRPr="004D6B8B">
        <w:rPr>
          <w:rFonts w:eastAsia="Times New Roman" w:cstheme="minorHAnsi"/>
          <w:sz w:val="24"/>
          <w:szCs w:val="24"/>
        </w:rPr>
        <w:t>&amp;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Kerlin</w:t>
      </w:r>
      <w:proofErr w:type="spellEnd"/>
      <w:r w:rsidR="00DE01FE" w:rsidRPr="004D6B8B">
        <w:rPr>
          <w:rFonts w:eastAsia="Times New Roman" w:cstheme="minorHAnsi"/>
          <w:sz w:val="24"/>
          <w:szCs w:val="24"/>
        </w:rPr>
        <w:t>,</w:t>
      </w:r>
      <w:r w:rsidR="005A13A0" w:rsidRPr="004D6B8B">
        <w:rPr>
          <w:rFonts w:eastAsia="Times New Roman" w:cstheme="minorHAnsi"/>
          <w:sz w:val="24"/>
          <w:szCs w:val="24"/>
        </w:rPr>
        <w:t xml:space="preserve"> 2012) and how to assess it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2013</w:t>
      </w:r>
      <w:bookmarkStart w:id="5" w:name="_Hlk526185086"/>
      <w:r w:rsidR="005A13A0" w:rsidRPr="004D6B8B">
        <w:rPr>
          <w:rFonts w:eastAsia="Times New Roman" w:cstheme="minorHAnsi"/>
          <w:sz w:val="24"/>
          <w:szCs w:val="24"/>
        </w:rPr>
        <w:t>)</w:t>
      </w:r>
      <w:r w:rsidR="00B83B76" w:rsidRPr="004D6B8B">
        <w:rPr>
          <w:rFonts w:eastAsia="Times New Roman" w:cstheme="minorHAnsi"/>
          <w:sz w:val="24"/>
          <w:szCs w:val="24"/>
        </w:rPr>
        <w:t xml:space="preserve">. </w:t>
      </w:r>
      <w:r w:rsidR="005A13A0" w:rsidRPr="004D6B8B">
        <w:rPr>
          <w:rFonts w:eastAsia="Times New Roman" w:cstheme="minorHAnsi"/>
          <w:sz w:val="24"/>
          <w:szCs w:val="24"/>
        </w:rPr>
        <w:t xml:space="preserve">Study participants </w:t>
      </w:r>
      <w:r w:rsidR="0070424E" w:rsidRPr="004D6B8B">
        <w:rPr>
          <w:rFonts w:eastAsia="Times New Roman" w:cstheme="minorHAnsi"/>
          <w:sz w:val="24"/>
          <w:szCs w:val="24"/>
        </w:rPr>
        <w:t xml:space="preserve">often failed to abide by the principles of the act; they </w:t>
      </w:r>
      <w:r w:rsidR="005A13A0" w:rsidRPr="004D6B8B">
        <w:rPr>
          <w:rFonts w:eastAsia="Times New Roman" w:cstheme="minorHAnsi"/>
          <w:sz w:val="24"/>
          <w:szCs w:val="24"/>
        </w:rPr>
        <w:t>presumed incapacity (McCormick</w:t>
      </w:r>
      <w:r w:rsidR="00DE01FE" w:rsidRPr="004D6B8B">
        <w:rPr>
          <w:rFonts w:eastAsia="Times New Roman" w:cstheme="minorHAnsi"/>
          <w:sz w:val="24"/>
          <w:szCs w:val="24"/>
        </w:rPr>
        <w:t xml:space="preserve"> et al.,</w:t>
      </w:r>
      <w:r w:rsidR="005A13A0" w:rsidRPr="004D6B8B">
        <w:rPr>
          <w:rFonts w:eastAsia="Times New Roman" w:cstheme="minorHAnsi"/>
          <w:sz w:val="24"/>
          <w:szCs w:val="24"/>
        </w:rPr>
        <w:t xml:space="preserve"> 2017), deferred decision-making to seniors or other professionals (</w:t>
      </w:r>
      <w:proofErr w:type="spellStart"/>
      <w:r w:rsidR="005A13A0" w:rsidRPr="004D6B8B">
        <w:rPr>
          <w:rFonts w:eastAsia="Times New Roman" w:cstheme="minorHAnsi"/>
          <w:sz w:val="24"/>
          <w:szCs w:val="24"/>
        </w:rPr>
        <w:t>Samsi</w:t>
      </w:r>
      <w:proofErr w:type="spellEnd"/>
      <w:r w:rsidR="005A13A0" w:rsidRPr="004D6B8B">
        <w:rPr>
          <w:rFonts w:eastAsia="Times New Roman" w:cstheme="minorHAnsi"/>
          <w:sz w:val="24"/>
          <w:szCs w:val="24"/>
        </w:rPr>
        <w:t xml:space="preserv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2011</w:t>
      </w:r>
      <w:r w:rsidR="00DE01FE" w:rsidRPr="004D6B8B">
        <w:rPr>
          <w:rFonts w:eastAsia="Times New Roman" w:cstheme="minorHAnsi"/>
          <w:sz w:val="24"/>
          <w:szCs w:val="24"/>
        </w:rPr>
        <w:t>;</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2013</w:t>
      </w:r>
      <w:r w:rsidR="00DE01FE" w:rsidRPr="004D6B8B">
        <w:rPr>
          <w:rFonts w:eastAsia="Times New Roman" w:cstheme="minorHAnsi"/>
          <w:sz w:val="24"/>
          <w:szCs w:val="24"/>
        </w:rPr>
        <w:t>;</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Manthorpe</w:t>
      </w:r>
      <w:proofErr w:type="spellEnd"/>
      <w:r w:rsidR="00DE01FE" w:rsidRPr="004D6B8B">
        <w:rPr>
          <w:rFonts w:eastAsia="Times New Roman" w:cstheme="minorHAnsi"/>
          <w:sz w:val="24"/>
          <w:szCs w:val="24"/>
        </w:rPr>
        <w:t xml:space="preserve"> &amp;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Samsi</w:t>
      </w:r>
      <w:proofErr w:type="spellEnd"/>
      <w:r w:rsidR="00DE01FE" w:rsidRPr="004D6B8B">
        <w:rPr>
          <w:rFonts w:eastAsia="Times New Roman" w:cstheme="minorHAnsi"/>
          <w:sz w:val="24"/>
          <w:szCs w:val="24"/>
        </w:rPr>
        <w:t>,</w:t>
      </w:r>
      <w:r w:rsidR="005A13A0" w:rsidRPr="004D6B8B">
        <w:rPr>
          <w:rFonts w:eastAsia="Times New Roman" w:cstheme="minorHAnsi"/>
          <w:sz w:val="24"/>
          <w:szCs w:val="24"/>
        </w:rPr>
        <w:t xml:space="preserve"> 2016) and had potential to over-ride ‘unwise decisions’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2013). </w:t>
      </w:r>
      <w:r w:rsidR="00B83B76" w:rsidRPr="004D6B8B">
        <w:rPr>
          <w:rFonts w:eastAsia="Times New Roman" w:cstheme="minorHAnsi"/>
          <w:sz w:val="24"/>
          <w:szCs w:val="24"/>
        </w:rPr>
        <w:t xml:space="preserve">These findings may reflect </w:t>
      </w:r>
      <w:r w:rsidR="003367ED" w:rsidRPr="004D6B8B">
        <w:rPr>
          <w:rFonts w:eastAsia="Times New Roman" w:cstheme="minorHAnsi"/>
          <w:sz w:val="24"/>
          <w:szCs w:val="24"/>
        </w:rPr>
        <w:t>limited</w:t>
      </w:r>
      <w:r w:rsidR="00B83B76" w:rsidRPr="004D6B8B">
        <w:rPr>
          <w:rFonts w:eastAsia="Times New Roman" w:cstheme="minorHAnsi"/>
          <w:sz w:val="24"/>
          <w:szCs w:val="24"/>
        </w:rPr>
        <w:t xml:space="preserve"> understanding of the importance of promoting autonomy within the act</w:t>
      </w:r>
      <w:r w:rsidR="003731FA" w:rsidRPr="004D6B8B">
        <w:rPr>
          <w:rFonts w:eastAsia="Times New Roman" w:cstheme="minorHAnsi"/>
          <w:sz w:val="24"/>
          <w:szCs w:val="24"/>
        </w:rPr>
        <w:t xml:space="preserve"> and would have a disempowering impact on patients</w:t>
      </w:r>
      <w:r w:rsidR="00B83B76" w:rsidRPr="004D6B8B">
        <w:rPr>
          <w:rFonts w:eastAsia="Times New Roman" w:cstheme="minorHAnsi"/>
          <w:sz w:val="24"/>
          <w:szCs w:val="24"/>
        </w:rPr>
        <w:t>.</w:t>
      </w:r>
    </w:p>
    <w:p w14:paraId="18C34B81" w14:textId="27CCBDBA" w:rsidR="00B83B76" w:rsidRPr="004D6B8B" w:rsidRDefault="005A13A0" w:rsidP="005A13A0">
      <w:pPr>
        <w:rPr>
          <w:rFonts w:eastAsia="Times New Roman" w:cstheme="minorHAnsi"/>
          <w:sz w:val="24"/>
          <w:szCs w:val="24"/>
        </w:rPr>
      </w:pPr>
      <w:r w:rsidRPr="004D6B8B">
        <w:rPr>
          <w:rFonts w:eastAsia="Times New Roman" w:cstheme="minorHAnsi"/>
          <w:sz w:val="24"/>
          <w:szCs w:val="24"/>
        </w:rPr>
        <w:t xml:space="preserve">Some psychiatrists </w:t>
      </w:r>
      <w:bookmarkEnd w:id="5"/>
      <w:r w:rsidRPr="004D6B8B">
        <w:rPr>
          <w:rFonts w:eastAsia="Times New Roman" w:cstheme="minorHAnsi"/>
          <w:sz w:val="24"/>
          <w:szCs w:val="24"/>
        </w:rPr>
        <w:t>were reluctant (or would refuse) to discuss Advance Decisions to Refuse Treatment (</w:t>
      </w:r>
      <w:proofErr w:type="spellStart"/>
      <w:r w:rsidRPr="004D6B8B">
        <w:rPr>
          <w:rFonts w:eastAsia="Times New Roman" w:cstheme="minorHAnsi"/>
          <w:sz w:val="24"/>
          <w:szCs w:val="24"/>
        </w:rPr>
        <w:t>Morriss</w:t>
      </w:r>
      <w:proofErr w:type="spellEnd"/>
      <w:r w:rsidRPr="004D6B8B">
        <w:rPr>
          <w:rFonts w:eastAsia="Times New Roman" w:cstheme="minorHAnsi"/>
          <w:sz w:val="24"/>
          <w:szCs w:val="24"/>
        </w:rPr>
        <w:t xml:space="preserve"> et al</w:t>
      </w:r>
      <w:r w:rsidR="00DE01FE" w:rsidRPr="004D6B8B">
        <w:rPr>
          <w:rFonts w:eastAsia="Times New Roman" w:cstheme="minorHAnsi"/>
          <w:sz w:val="24"/>
          <w:szCs w:val="24"/>
        </w:rPr>
        <w:t>.,</w:t>
      </w:r>
      <w:r w:rsidRPr="004D6B8B">
        <w:rPr>
          <w:rFonts w:eastAsia="Times New Roman" w:cstheme="minorHAnsi"/>
          <w:sz w:val="24"/>
          <w:szCs w:val="24"/>
        </w:rPr>
        <w:t xml:space="preserve"> 2017). Nurses mistook ‘best interests’ for a general person-</w:t>
      </w:r>
      <w:proofErr w:type="spellStart"/>
      <w:r w:rsidRPr="004D6B8B">
        <w:rPr>
          <w:rFonts w:eastAsia="Times New Roman" w:cstheme="minorHAnsi"/>
          <w:sz w:val="24"/>
          <w:szCs w:val="24"/>
        </w:rPr>
        <w:t>centred</w:t>
      </w:r>
      <w:proofErr w:type="spellEnd"/>
      <w:r w:rsidRPr="004D6B8B">
        <w:rPr>
          <w:rFonts w:eastAsia="Times New Roman" w:cstheme="minorHAnsi"/>
          <w:sz w:val="24"/>
          <w:szCs w:val="24"/>
        </w:rPr>
        <w:t xml:space="preserve"> </w:t>
      </w:r>
      <w:r w:rsidRPr="004D6B8B">
        <w:rPr>
          <w:rFonts w:eastAsia="Times New Roman" w:cstheme="minorHAnsi"/>
          <w:sz w:val="24"/>
          <w:szCs w:val="24"/>
        </w:rPr>
        <w:lastRenderedPageBreak/>
        <w:t>approach (</w:t>
      </w:r>
      <w:proofErr w:type="spellStart"/>
      <w:r w:rsidRPr="004D6B8B">
        <w:rPr>
          <w:rFonts w:eastAsia="Times New Roman" w:cstheme="minorHAnsi"/>
          <w:sz w:val="24"/>
          <w:szCs w:val="24"/>
        </w:rPr>
        <w:t>Manthorpe</w:t>
      </w:r>
      <w:proofErr w:type="spellEnd"/>
      <w:r w:rsidRPr="004D6B8B">
        <w:rPr>
          <w:rFonts w:eastAsia="Times New Roman" w:cstheme="minorHAnsi"/>
          <w:sz w:val="24"/>
          <w:szCs w:val="24"/>
        </w:rPr>
        <w:t xml:space="preserve"> </w:t>
      </w:r>
      <w:r w:rsidR="00DE01FE" w:rsidRPr="004D6B8B">
        <w:rPr>
          <w:rFonts w:eastAsia="Times New Roman" w:cstheme="minorHAnsi"/>
          <w:sz w:val="24"/>
          <w:szCs w:val="24"/>
        </w:rPr>
        <w:t>&amp;</w:t>
      </w:r>
      <w:r w:rsidRPr="004D6B8B">
        <w:rPr>
          <w:rFonts w:eastAsia="Times New Roman" w:cstheme="minorHAnsi"/>
          <w:sz w:val="24"/>
          <w:szCs w:val="24"/>
        </w:rPr>
        <w:t xml:space="preserve"> </w:t>
      </w:r>
      <w:proofErr w:type="spellStart"/>
      <w:r w:rsidRPr="004D6B8B">
        <w:rPr>
          <w:rFonts w:eastAsia="Times New Roman" w:cstheme="minorHAnsi"/>
          <w:sz w:val="24"/>
          <w:szCs w:val="24"/>
        </w:rPr>
        <w:t>Samsi</w:t>
      </w:r>
      <w:proofErr w:type="spellEnd"/>
      <w:r w:rsidR="00DE01FE" w:rsidRPr="004D6B8B">
        <w:rPr>
          <w:rFonts w:eastAsia="Times New Roman" w:cstheme="minorHAnsi"/>
          <w:sz w:val="24"/>
          <w:szCs w:val="24"/>
        </w:rPr>
        <w:t>,</w:t>
      </w:r>
      <w:r w:rsidRPr="004D6B8B">
        <w:rPr>
          <w:rFonts w:eastAsia="Times New Roman" w:cstheme="minorHAnsi"/>
          <w:sz w:val="24"/>
          <w:szCs w:val="24"/>
        </w:rPr>
        <w:t xml:space="preserve"> 2016) and care workers limited clients’ choices (</w:t>
      </w:r>
      <w:proofErr w:type="spellStart"/>
      <w:r w:rsidRPr="004D6B8B">
        <w:rPr>
          <w:rFonts w:eastAsia="Times New Roman" w:cstheme="minorHAnsi"/>
          <w:sz w:val="24"/>
          <w:szCs w:val="24"/>
        </w:rPr>
        <w:t>Manthorpe</w:t>
      </w:r>
      <w:proofErr w:type="spellEnd"/>
      <w:r w:rsidRPr="004D6B8B">
        <w:rPr>
          <w:rFonts w:eastAsia="Times New Roman" w:cstheme="minorHAnsi"/>
          <w:sz w:val="24"/>
          <w:szCs w:val="24"/>
        </w:rPr>
        <w:t xml:space="preserve"> </w:t>
      </w:r>
      <w:r w:rsidR="00DE01FE" w:rsidRPr="004D6B8B">
        <w:rPr>
          <w:rFonts w:eastAsia="Times New Roman" w:cstheme="minorHAnsi"/>
          <w:sz w:val="24"/>
          <w:szCs w:val="24"/>
        </w:rPr>
        <w:t>&amp;</w:t>
      </w:r>
      <w:r w:rsidRPr="004D6B8B">
        <w:rPr>
          <w:rFonts w:eastAsia="Times New Roman" w:cstheme="minorHAnsi"/>
          <w:sz w:val="24"/>
          <w:szCs w:val="24"/>
        </w:rPr>
        <w:t xml:space="preserve"> </w:t>
      </w:r>
      <w:proofErr w:type="spellStart"/>
      <w:r w:rsidRPr="004D6B8B">
        <w:rPr>
          <w:rFonts w:eastAsia="Times New Roman" w:cstheme="minorHAnsi"/>
          <w:sz w:val="24"/>
          <w:szCs w:val="24"/>
        </w:rPr>
        <w:t>Samsi</w:t>
      </w:r>
      <w:proofErr w:type="spellEnd"/>
      <w:r w:rsidR="00DE01FE" w:rsidRPr="004D6B8B">
        <w:rPr>
          <w:rFonts w:eastAsia="Times New Roman" w:cstheme="minorHAnsi"/>
          <w:sz w:val="24"/>
          <w:szCs w:val="24"/>
        </w:rPr>
        <w:t>,</w:t>
      </w:r>
      <w:r w:rsidRPr="004D6B8B">
        <w:rPr>
          <w:rFonts w:eastAsia="Times New Roman" w:cstheme="minorHAnsi"/>
          <w:sz w:val="24"/>
          <w:szCs w:val="24"/>
        </w:rPr>
        <w:t xml:space="preserve"> 2016). </w:t>
      </w:r>
      <w:r w:rsidR="00B83B76" w:rsidRPr="004D6B8B">
        <w:rPr>
          <w:rFonts w:eastAsia="Times New Roman" w:cstheme="minorHAnsi"/>
          <w:sz w:val="24"/>
          <w:szCs w:val="24"/>
        </w:rPr>
        <w:t>While professionals indicated that their approaches were motivated by their perceptions of patients’ best interests, this willingness to override patients</w:t>
      </w:r>
      <w:r w:rsidR="003731FA" w:rsidRPr="004D6B8B">
        <w:rPr>
          <w:rFonts w:eastAsia="Times New Roman" w:cstheme="minorHAnsi"/>
          <w:sz w:val="24"/>
          <w:szCs w:val="24"/>
        </w:rPr>
        <w:t>’</w:t>
      </w:r>
      <w:r w:rsidR="00B83B76" w:rsidRPr="004D6B8B">
        <w:rPr>
          <w:rFonts w:eastAsia="Times New Roman" w:cstheme="minorHAnsi"/>
          <w:sz w:val="24"/>
          <w:szCs w:val="24"/>
        </w:rPr>
        <w:t xml:space="preserve"> choices was in conflict with the principles </w:t>
      </w:r>
      <w:r w:rsidR="003731FA" w:rsidRPr="004D6B8B">
        <w:rPr>
          <w:rFonts w:eastAsia="Times New Roman" w:cstheme="minorHAnsi"/>
          <w:sz w:val="24"/>
          <w:szCs w:val="24"/>
        </w:rPr>
        <w:t xml:space="preserve">and guidance </w:t>
      </w:r>
      <w:r w:rsidR="00B83B76" w:rsidRPr="004D6B8B">
        <w:rPr>
          <w:rFonts w:eastAsia="Times New Roman" w:cstheme="minorHAnsi"/>
          <w:sz w:val="24"/>
          <w:szCs w:val="24"/>
        </w:rPr>
        <w:t>of the legislation</w:t>
      </w:r>
      <w:r w:rsidR="003367ED" w:rsidRPr="004D6B8B">
        <w:rPr>
          <w:rFonts w:eastAsia="Times New Roman" w:cstheme="minorHAnsi"/>
          <w:sz w:val="24"/>
          <w:szCs w:val="24"/>
        </w:rPr>
        <w:t xml:space="preserve"> and seemed to be driven more by embedded cultural beliefs of ‘doctor knows best’ , despite the </w:t>
      </w:r>
      <w:r w:rsidR="008948B7" w:rsidRPr="004D6B8B">
        <w:rPr>
          <w:rFonts w:eastAsia="Times New Roman" w:cstheme="minorHAnsi"/>
          <w:sz w:val="24"/>
          <w:szCs w:val="24"/>
        </w:rPr>
        <w:t>empowering aim of the legislation (Jackson, 2018)</w:t>
      </w:r>
      <w:r w:rsidR="007E5479" w:rsidRPr="004D6B8B">
        <w:rPr>
          <w:rFonts w:eastAsia="Times New Roman" w:cstheme="minorHAnsi"/>
          <w:sz w:val="24"/>
          <w:szCs w:val="24"/>
        </w:rPr>
        <w:t xml:space="preserve">. For example, the above findings indicated that the right of a </w:t>
      </w:r>
      <w:proofErr w:type="spellStart"/>
      <w:r w:rsidR="007E5479" w:rsidRPr="004D6B8B">
        <w:rPr>
          <w:rFonts w:eastAsia="Times New Roman" w:cstheme="minorHAnsi"/>
          <w:sz w:val="24"/>
          <w:szCs w:val="24"/>
        </w:rPr>
        <w:t>capacitous</w:t>
      </w:r>
      <w:proofErr w:type="spellEnd"/>
      <w:r w:rsidR="007E5479" w:rsidRPr="004D6B8B">
        <w:rPr>
          <w:rFonts w:eastAsia="Times New Roman" w:cstheme="minorHAnsi"/>
          <w:sz w:val="24"/>
          <w:szCs w:val="24"/>
        </w:rPr>
        <w:t xml:space="preserve"> person to make decisions, regardless of consequences, </w:t>
      </w:r>
      <w:r w:rsidR="003731FA" w:rsidRPr="004D6B8B">
        <w:rPr>
          <w:rFonts w:eastAsia="Times New Roman" w:cstheme="minorHAnsi"/>
          <w:sz w:val="24"/>
          <w:szCs w:val="24"/>
        </w:rPr>
        <w:t xml:space="preserve">had not been </w:t>
      </w:r>
      <w:r w:rsidR="003367ED" w:rsidRPr="004D6B8B">
        <w:rPr>
          <w:rFonts w:eastAsia="Times New Roman" w:cstheme="minorHAnsi"/>
          <w:sz w:val="24"/>
          <w:szCs w:val="24"/>
        </w:rPr>
        <w:t>absorbed</w:t>
      </w:r>
      <w:r w:rsidR="003731FA" w:rsidRPr="004D6B8B">
        <w:rPr>
          <w:rFonts w:eastAsia="Times New Roman" w:cstheme="minorHAnsi"/>
          <w:sz w:val="24"/>
          <w:szCs w:val="24"/>
        </w:rPr>
        <w:t xml:space="preserve"> in training</w:t>
      </w:r>
      <w:r w:rsidR="00B83B76" w:rsidRPr="004D6B8B">
        <w:rPr>
          <w:rFonts w:eastAsia="Times New Roman" w:cstheme="minorHAnsi"/>
          <w:sz w:val="24"/>
          <w:szCs w:val="24"/>
        </w:rPr>
        <w:t>.</w:t>
      </w:r>
      <w:r w:rsidR="00D43ABC" w:rsidRPr="004D6B8B">
        <w:rPr>
          <w:rFonts w:eastAsia="Times New Roman" w:cstheme="minorHAnsi"/>
          <w:sz w:val="24"/>
          <w:szCs w:val="24"/>
        </w:rPr>
        <w:t xml:space="preserve">  </w:t>
      </w:r>
    </w:p>
    <w:p w14:paraId="39D82761" w14:textId="10AEE5B2" w:rsidR="00B83B76" w:rsidRPr="004D6B8B" w:rsidRDefault="00DF2E62" w:rsidP="005A13A0">
      <w:pPr>
        <w:rPr>
          <w:rFonts w:eastAsia="Times New Roman" w:cstheme="minorHAnsi"/>
          <w:sz w:val="24"/>
          <w:szCs w:val="24"/>
        </w:rPr>
      </w:pPr>
      <w:r w:rsidRPr="004D6B8B">
        <w:rPr>
          <w:rFonts w:eastAsia="Times New Roman" w:cstheme="minorHAnsi"/>
          <w:sz w:val="24"/>
          <w:szCs w:val="24"/>
        </w:rPr>
        <w:t xml:space="preserve">Less complex elements of the legislation also appeared to have been misunderstood. </w:t>
      </w:r>
      <w:r w:rsidR="00FB68B9" w:rsidRPr="004D6B8B">
        <w:rPr>
          <w:rFonts w:eastAsia="Times New Roman" w:cstheme="minorHAnsi"/>
          <w:sz w:val="24"/>
          <w:szCs w:val="24"/>
        </w:rPr>
        <w:t>P</w:t>
      </w:r>
      <w:r w:rsidR="005A13A0" w:rsidRPr="004D6B8B">
        <w:rPr>
          <w:rFonts w:eastAsia="Times New Roman" w:cstheme="minorHAnsi"/>
          <w:sz w:val="24"/>
          <w:szCs w:val="24"/>
        </w:rPr>
        <w:t>articipants were unaware of the two-step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2011). They struggled with best interests assessments</w:t>
      </w:r>
      <w:r w:rsidR="008948B7" w:rsidRPr="004D6B8B">
        <w:rPr>
          <w:rFonts w:eastAsia="Times New Roman" w:cstheme="minorHAnsi"/>
          <w:sz w:val="24"/>
          <w:szCs w:val="24"/>
        </w:rPr>
        <w:t xml:space="preserve"> (deciding what to do if making a decision on behalf of a person unable to do so)</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2013) and responding to fluctuating capacity (</w:t>
      </w:r>
      <w:proofErr w:type="gramStart"/>
      <w:r w:rsidR="005A13A0" w:rsidRPr="004D6B8B">
        <w:rPr>
          <w:rFonts w:eastAsia="Times New Roman" w:cstheme="minorHAnsi"/>
          <w:sz w:val="24"/>
          <w:szCs w:val="24"/>
        </w:rPr>
        <w:t xml:space="preserve">Marshall </w:t>
      </w:r>
      <w:r w:rsidR="00DE01FE" w:rsidRPr="004D6B8B">
        <w:rPr>
          <w:rFonts w:eastAsia="Times New Roman" w:cstheme="minorHAnsi"/>
          <w:sz w:val="24"/>
          <w:szCs w:val="24"/>
        </w:rPr>
        <w:t>&amp;</w:t>
      </w:r>
      <w:proofErr w:type="gramEnd"/>
      <w:r w:rsidR="005A13A0" w:rsidRPr="004D6B8B">
        <w:rPr>
          <w:rFonts w:eastAsia="Times New Roman" w:cstheme="minorHAnsi"/>
          <w:sz w:val="24"/>
          <w:szCs w:val="24"/>
        </w:rPr>
        <w:t xml:space="preserve"> Sprung</w:t>
      </w:r>
      <w:r w:rsidR="00DE01FE" w:rsidRPr="004D6B8B">
        <w:rPr>
          <w:rFonts w:eastAsia="Times New Roman" w:cstheme="minorHAnsi"/>
          <w:sz w:val="24"/>
          <w:szCs w:val="24"/>
        </w:rPr>
        <w:t>,</w:t>
      </w:r>
      <w:r w:rsidR="005A13A0" w:rsidRPr="004D6B8B">
        <w:rPr>
          <w:rFonts w:eastAsia="Times New Roman" w:cstheme="minorHAnsi"/>
          <w:sz w:val="24"/>
          <w:szCs w:val="24"/>
        </w:rPr>
        <w:t xml:space="preserve"> 2016b</w:t>
      </w:r>
      <w:r w:rsidR="00DE01FE" w:rsidRPr="004D6B8B">
        <w:rPr>
          <w:rFonts w:eastAsia="Times New Roman" w:cstheme="minorHAnsi"/>
          <w:sz w:val="24"/>
          <w:szCs w:val="24"/>
        </w:rPr>
        <w:t>;</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Morriss</w:t>
      </w:r>
      <w:proofErr w:type="spellEnd"/>
      <w:r w:rsidR="005A13A0" w:rsidRPr="004D6B8B">
        <w:rPr>
          <w:rFonts w:eastAsia="Times New Roman" w:cstheme="minorHAnsi"/>
          <w:sz w:val="24"/>
          <w:szCs w:val="24"/>
        </w:rPr>
        <w:t xml:space="preserv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2017). </w:t>
      </w:r>
      <w:proofErr w:type="spellStart"/>
      <w:r w:rsidR="005A13A0" w:rsidRPr="004D6B8B">
        <w:rPr>
          <w:rFonts w:eastAsia="Times New Roman" w:cstheme="minorHAnsi"/>
          <w:sz w:val="24"/>
          <w:szCs w:val="24"/>
        </w:rPr>
        <w:t>Phair</w:t>
      </w:r>
      <w:proofErr w:type="spellEnd"/>
      <w:r w:rsidR="005A13A0" w:rsidRPr="004D6B8B">
        <w:rPr>
          <w:rFonts w:eastAsia="Times New Roman" w:cstheme="minorHAnsi"/>
          <w:sz w:val="24"/>
          <w:szCs w:val="24"/>
        </w:rPr>
        <w:t xml:space="preserve"> </w:t>
      </w:r>
      <w:r w:rsidR="00DE01FE" w:rsidRPr="004D6B8B">
        <w:rPr>
          <w:rFonts w:eastAsia="Times New Roman" w:cstheme="minorHAnsi"/>
          <w:sz w:val="24"/>
          <w:szCs w:val="24"/>
        </w:rPr>
        <w:t>&amp;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Manthorpe</w:t>
      </w:r>
      <w:proofErr w:type="spellEnd"/>
      <w:r w:rsidR="005A13A0" w:rsidRPr="004D6B8B">
        <w:rPr>
          <w:rFonts w:eastAsia="Times New Roman" w:cstheme="minorHAnsi"/>
          <w:sz w:val="24"/>
          <w:szCs w:val="24"/>
        </w:rPr>
        <w:t xml:space="preserve"> </w:t>
      </w:r>
      <w:r w:rsidR="00C410E9" w:rsidRPr="004D6B8B">
        <w:rPr>
          <w:rFonts w:eastAsia="Times New Roman" w:cstheme="minorHAnsi"/>
          <w:sz w:val="24"/>
          <w:szCs w:val="24"/>
        </w:rPr>
        <w:t>(</w:t>
      </w:r>
      <w:r w:rsidR="005A13A0" w:rsidRPr="004D6B8B">
        <w:rPr>
          <w:rFonts w:eastAsia="Times New Roman" w:cstheme="minorHAnsi"/>
          <w:sz w:val="24"/>
          <w:szCs w:val="24"/>
        </w:rPr>
        <w:t>2012</w:t>
      </w:r>
      <w:r w:rsidR="00C410E9" w:rsidRPr="004D6B8B">
        <w:rPr>
          <w:rFonts w:eastAsia="Times New Roman" w:cstheme="minorHAnsi"/>
          <w:sz w:val="24"/>
          <w:szCs w:val="24"/>
        </w:rPr>
        <w:t>)</w:t>
      </w:r>
      <w:r w:rsidR="005A13A0" w:rsidRPr="004D6B8B">
        <w:rPr>
          <w:rFonts w:eastAsia="Times New Roman" w:cstheme="minorHAnsi"/>
          <w:sz w:val="24"/>
          <w:szCs w:val="24"/>
        </w:rPr>
        <w:t xml:space="preserve"> and Marshall </w:t>
      </w:r>
      <w:r w:rsidR="00DE01FE" w:rsidRPr="004D6B8B">
        <w:rPr>
          <w:rFonts w:eastAsia="Times New Roman" w:cstheme="minorHAnsi"/>
          <w:sz w:val="24"/>
          <w:szCs w:val="24"/>
        </w:rPr>
        <w:t>&amp;</w:t>
      </w:r>
      <w:r w:rsidR="005A13A0" w:rsidRPr="004D6B8B">
        <w:rPr>
          <w:rFonts w:eastAsia="Times New Roman" w:cstheme="minorHAnsi"/>
          <w:sz w:val="24"/>
          <w:szCs w:val="24"/>
        </w:rPr>
        <w:t xml:space="preserve"> Sprung (2016b) reported poor awareness of advance decision-making processes and </w:t>
      </w:r>
      <w:r w:rsidR="00A34246" w:rsidRPr="004D6B8B">
        <w:rPr>
          <w:rFonts w:eastAsia="Times New Roman" w:cstheme="minorHAnsi"/>
          <w:sz w:val="24"/>
          <w:szCs w:val="24"/>
        </w:rPr>
        <w:t xml:space="preserve">the designation of </w:t>
      </w:r>
      <w:r w:rsidR="005A13A0" w:rsidRPr="004D6B8B">
        <w:rPr>
          <w:rFonts w:eastAsia="Times New Roman" w:cstheme="minorHAnsi"/>
          <w:sz w:val="24"/>
          <w:szCs w:val="24"/>
        </w:rPr>
        <w:t>willful neglect and ill-treatment as criminal offences</w:t>
      </w:r>
      <w:r w:rsidR="003731FA" w:rsidRPr="004D6B8B">
        <w:rPr>
          <w:rFonts w:eastAsia="Times New Roman" w:cstheme="minorHAnsi"/>
          <w:sz w:val="24"/>
          <w:szCs w:val="24"/>
        </w:rPr>
        <w:t>,</w:t>
      </w:r>
      <w:r w:rsidR="005A13A0" w:rsidRPr="004D6B8B">
        <w:rPr>
          <w:rFonts w:eastAsia="Times New Roman" w:cstheme="minorHAnsi"/>
          <w:sz w:val="24"/>
          <w:szCs w:val="24"/>
        </w:rPr>
        <w:t xml:space="preserve"> while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(2013) identified </w:t>
      </w:r>
      <w:r w:rsidR="00D43ABC" w:rsidRPr="004D6B8B">
        <w:rPr>
          <w:rFonts w:eastAsia="Times New Roman" w:cstheme="minorHAnsi"/>
          <w:sz w:val="24"/>
          <w:szCs w:val="24"/>
        </w:rPr>
        <w:t xml:space="preserve">that </w:t>
      </w:r>
      <w:r w:rsidR="005A13A0" w:rsidRPr="004D6B8B">
        <w:rPr>
          <w:rFonts w:eastAsia="Times New Roman" w:cstheme="minorHAnsi"/>
          <w:sz w:val="24"/>
          <w:szCs w:val="24"/>
        </w:rPr>
        <w:t>staff were unsure of when to involve an I</w:t>
      </w:r>
      <w:r w:rsidR="008948B7" w:rsidRPr="004D6B8B">
        <w:rPr>
          <w:rFonts w:eastAsia="Times New Roman" w:cstheme="minorHAnsi"/>
          <w:sz w:val="24"/>
          <w:szCs w:val="24"/>
        </w:rPr>
        <w:t xml:space="preserve">ndependent </w:t>
      </w:r>
      <w:r w:rsidR="005A13A0" w:rsidRPr="004D6B8B">
        <w:rPr>
          <w:rFonts w:eastAsia="Times New Roman" w:cstheme="minorHAnsi"/>
          <w:sz w:val="24"/>
          <w:szCs w:val="24"/>
        </w:rPr>
        <w:t>M</w:t>
      </w:r>
      <w:r w:rsidR="008948B7" w:rsidRPr="004D6B8B">
        <w:rPr>
          <w:rFonts w:eastAsia="Times New Roman" w:cstheme="minorHAnsi"/>
          <w:sz w:val="24"/>
          <w:szCs w:val="24"/>
        </w:rPr>
        <w:t xml:space="preserve">ental </w:t>
      </w:r>
      <w:r w:rsidR="005A13A0" w:rsidRPr="004D6B8B">
        <w:rPr>
          <w:rFonts w:eastAsia="Times New Roman" w:cstheme="minorHAnsi"/>
          <w:sz w:val="24"/>
          <w:szCs w:val="24"/>
        </w:rPr>
        <w:t>C</w:t>
      </w:r>
      <w:r w:rsidR="008948B7" w:rsidRPr="004D6B8B">
        <w:rPr>
          <w:rFonts w:eastAsia="Times New Roman" w:cstheme="minorHAnsi"/>
          <w:sz w:val="24"/>
          <w:szCs w:val="24"/>
        </w:rPr>
        <w:t>apac</w:t>
      </w:r>
      <w:r w:rsidR="00A34246" w:rsidRPr="004D6B8B">
        <w:rPr>
          <w:rFonts w:eastAsia="Times New Roman" w:cstheme="minorHAnsi"/>
          <w:sz w:val="24"/>
          <w:szCs w:val="24"/>
        </w:rPr>
        <w:t>i</w:t>
      </w:r>
      <w:r w:rsidR="008948B7" w:rsidRPr="004D6B8B">
        <w:rPr>
          <w:rFonts w:eastAsia="Times New Roman" w:cstheme="minorHAnsi"/>
          <w:sz w:val="24"/>
          <w:szCs w:val="24"/>
        </w:rPr>
        <w:t xml:space="preserve">ty </w:t>
      </w:r>
      <w:r w:rsidR="005A13A0" w:rsidRPr="004D6B8B">
        <w:rPr>
          <w:rFonts w:eastAsia="Times New Roman" w:cstheme="minorHAnsi"/>
          <w:sz w:val="24"/>
          <w:szCs w:val="24"/>
        </w:rPr>
        <w:t>A</w:t>
      </w:r>
      <w:r w:rsidR="008948B7" w:rsidRPr="004D6B8B">
        <w:rPr>
          <w:rFonts w:eastAsia="Times New Roman" w:cstheme="minorHAnsi"/>
          <w:sz w:val="24"/>
          <w:szCs w:val="24"/>
        </w:rPr>
        <w:t>dvocate (a professional employed to contribute to decision-making</w:t>
      </w:r>
      <w:r w:rsidR="00A34246" w:rsidRPr="004D6B8B">
        <w:rPr>
          <w:rFonts w:eastAsia="Times New Roman" w:cstheme="minorHAnsi"/>
          <w:sz w:val="24"/>
          <w:szCs w:val="24"/>
        </w:rPr>
        <w:t xml:space="preserve"> for the ‘</w:t>
      </w:r>
      <w:proofErr w:type="spellStart"/>
      <w:r w:rsidR="00A34246" w:rsidRPr="004D6B8B">
        <w:rPr>
          <w:rFonts w:eastAsia="Times New Roman" w:cstheme="minorHAnsi"/>
          <w:sz w:val="24"/>
          <w:szCs w:val="24"/>
        </w:rPr>
        <w:t>unbefriended</w:t>
      </w:r>
      <w:proofErr w:type="spellEnd"/>
      <w:r w:rsidR="00A34246" w:rsidRPr="004D6B8B">
        <w:rPr>
          <w:rFonts w:eastAsia="Times New Roman" w:cstheme="minorHAnsi"/>
          <w:sz w:val="24"/>
          <w:szCs w:val="24"/>
        </w:rPr>
        <w:t>’)</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2013). </w:t>
      </w:r>
      <w:r w:rsidR="0053204F" w:rsidRPr="004D6B8B">
        <w:rPr>
          <w:rFonts w:eastAsia="Times New Roman" w:cstheme="minorHAnsi"/>
          <w:sz w:val="24"/>
          <w:szCs w:val="24"/>
        </w:rPr>
        <w:t>T</w:t>
      </w:r>
      <w:r w:rsidR="003731FA" w:rsidRPr="004D6B8B">
        <w:rPr>
          <w:rFonts w:eastAsia="Times New Roman" w:cstheme="minorHAnsi"/>
          <w:sz w:val="24"/>
          <w:szCs w:val="24"/>
        </w:rPr>
        <w:t>hese factors indicated that peoples’ rights would be undermined and that training had little impact on practice change.</w:t>
      </w:r>
      <w:r w:rsidR="00862B52" w:rsidRPr="004D6B8B">
        <w:rPr>
          <w:rFonts w:eastAsia="Times New Roman" w:cstheme="minorHAnsi"/>
          <w:sz w:val="24"/>
          <w:szCs w:val="24"/>
        </w:rPr>
        <w:t xml:space="preserve"> This theme reflects, and perhaps to some extent explains, poor implementation of the legislation as identified by the House of Lords (2014).</w:t>
      </w:r>
    </w:p>
    <w:p w14:paraId="7189DAE9" w14:textId="4B33905D" w:rsidR="00F80E3C" w:rsidRPr="004D6B8B" w:rsidRDefault="00C410E9" w:rsidP="005A13A0">
      <w:pPr>
        <w:rPr>
          <w:rFonts w:eastAsia="Times New Roman" w:cstheme="minorHAnsi"/>
          <w:sz w:val="24"/>
          <w:szCs w:val="24"/>
        </w:rPr>
      </w:pPr>
      <w:r w:rsidRPr="004D6B8B">
        <w:rPr>
          <w:rFonts w:eastAsia="Times New Roman" w:cstheme="minorHAnsi"/>
          <w:sz w:val="24"/>
          <w:szCs w:val="24"/>
        </w:rPr>
        <w:t>S</w:t>
      </w:r>
      <w:r w:rsidR="005A13A0" w:rsidRPr="004D6B8B">
        <w:rPr>
          <w:rFonts w:eastAsia="Times New Roman" w:cstheme="minorHAnsi"/>
          <w:sz w:val="24"/>
          <w:szCs w:val="24"/>
        </w:rPr>
        <w:t>tudies reported on a range of training approaches. Case studies (Lee-Foster 2010</w:t>
      </w:r>
      <w:r w:rsidR="00DE01FE" w:rsidRPr="004D6B8B">
        <w:rPr>
          <w:rFonts w:eastAsia="Times New Roman" w:cstheme="minorHAnsi"/>
          <w:sz w:val="24"/>
          <w:szCs w:val="24"/>
        </w:rPr>
        <w:t>;</w:t>
      </w:r>
      <w:r w:rsidR="005A13A0" w:rsidRPr="004D6B8B">
        <w:rPr>
          <w:rFonts w:eastAsia="Times New Roman" w:cstheme="minorHAnsi"/>
          <w:sz w:val="24"/>
          <w:szCs w:val="24"/>
        </w:rPr>
        <w:t xml:space="preserve"> Pike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2010) describe stand-alone initiatives, but make observations and share experiences that offer useful pointers for learning.  Pike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(2010) considered the advantages and disadvantages of e-learning, concluding that</w:t>
      </w:r>
      <w:r w:rsidRPr="004D6B8B">
        <w:rPr>
          <w:rFonts w:eastAsia="Times New Roman" w:cstheme="minorHAnsi"/>
          <w:sz w:val="24"/>
          <w:szCs w:val="24"/>
        </w:rPr>
        <w:t xml:space="preserve"> it</w:t>
      </w:r>
      <w:r w:rsidR="005A13A0" w:rsidRPr="004D6B8B">
        <w:rPr>
          <w:rFonts w:eastAsia="Times New Roman" w:cstheme="minorHAnsi"/>
          <w:sz w:val="24"/>
          <w:szCs w:val="24"/>
        </w:rPr>
        <w:t xml:space="preserve"> could be effective for developing basic knowledge and had benefits around flexibility and costs. </w:t>
      </w:r>
      <w:r w:rsidR="00254F25" w:rsidRPr="004D6B8B">
        <w:rPr>
          <w:rFonts w:eastAsia="Times New Roman" w:cstheme="minorHAnsi"/>
          <w:sz w:val="24"/>
          <w:szCs w:val="24"/>
        </w:rPr>
        <w:t xml:space="preserve">They acknowledged disadvantages including lack of opportunity for discussion, poor digital literacy and inequality of access. The latter factors </w:t>
      </w:r>
      <w:r w:rsidRPr="004D6B8B">
        <w:rPr>
          <w:rFonts w:eastAsia="Times New Roman" w:cstheme="minorHAnsi"/>
          <w:sz w:val="24"/>
          <w:szCs w:val="24"/>
        </w:rPr>
        <w:t xml:space="preserve">are supported in a recent study in which </w:t>
      </w:r>
      <w:proofErr w:type="spellStart"/>
      <w:r w:rsidR="00254F25" w:rsidRPr="004D6B8B">
        <w:rPr>
          <w:rFonts w:eastAsia="Times New Roman" w:cstheme="minorHAnsi"/>
          <w:sz w:val="24"/>
          <w:szCs w:val="24"/>
        </w:rPr>
        <w:t>Manthorpe</w:t>
      </w:r>
      <w:proofErr w:type="spellEnd"/>
      <w:r w:rsidR="00254F25" w:rsidRPr="004D6B8B">
        <w:rPr>
          <w:rFonts w:eastAsia="Times New Roman" w:cstheme="minorHAnsi"/>
          <w:sz w:val="24"/>
          <w:szCs w:val="24"/>
        </w:rPr>
        <w:t xml:space="preserve"> </w:t>
      </w:r>
      <w:r w:rsidR="00DE01FE" w:rsidRPr="004D6B8B">
        <w:rPr>
          <w:rFonts w:eastAsia="Times New Roman" w:cstheme="minorHAnsi"/>
          <w:sz w:val="24"/>
          <w:szCs w:val="24"/>
        </w:rPr>
        <w:t>&amp;</w:t>
      </w:r>
      <w:r w:rsidR="00254F25" w:rsidRPr="004D6B8B">
        <w:rPr>
          <w:rFonts w:eastAsia="Times New Roman" w:cstheme="minorHAnsi"/>
          <w:sz w:val="24"/>
          <w:szCs w:val="24"/>
        </w:rPr>
        <w:t xml:space="preserve"> </w:t>
      </w:r>
      <w:proofErr w:type="spellStart"/>
      <w:r w:rsidR="00254F25" w:rsidRPr="004D6B8B">
        <w:rPr>
          <w:rFonts w:eastAsia="Times New Roman" w:cstheme="minorHAnsi"/>
          <w:sz w:val="24"/>
          <w:szCs w:val="24"/>
        </w:rPr>
        <w:t>Samsi</w:t>
      </w:r>
      <w:proofErr w:type="spellEnd"/>
      <w:r w:rsidR="00254F25" w:rsidRPr="004D6B8B">
        <w:rPr>
          <w:rFonts w:eastAsia="Times New Roman" w:cstheme="minorHAnsi"/>
          <w:sz w:val="24"/>
          <w:szCs w:val="24"/>
        </w:rPr>
        <w:t xml:space="preserve"> (2016)</w:t>
      </w:r>
      <w:r w:rsidR="006764A5" w:rsidRPr="004D6B8B">
        <w:rPr>
          <w:rFonts w:eastAsia="Times New Roman" w:cstheme="minorHAnsi"/>
          <w:sz w:val="24"/>
          <w:szCs w:val="24"/>
        </w:rPr>
        <w:t xml:space="preserve"> identified that</w:t>
      </w:r>
      <w:r w:rsidR="00254F25" w:rsidRPr="004D6B8B">
        <w:rPr>
          <w:rFonts w:eastAsia="Times New Roman" w:cstheme="minorHAnsi"/>
          <w:sz w:val="24"/>
          <w:szCs w:val="24"/>
        </w:rPr>
        <w:t xml:space="preserve"> care home staff had not accessed available online training</w:t>
      </w:r>
      <w:r w:rsidRPr="004D6B8B">
        <w:rPr>
          <w:rFonts w:eastAsia="Times New Roman" w:cstheme="minorHAnsi"/>
          <w:sz w:val="24"/>
          <w:szCs w:val="24"/>
        </w:rPr>
        <w:t xml:space="preserve">. </w:t>
      </w:r>
      <w:r w:rsidR="00CB7671" w:rsidRPr="004D6B8B">
        <w:rPr>
          <w:rFonts w:eastAsia="Times New Roman" w:cstheme="minorHAnsi"/>
          <w:sz w:val="24"/>
          <w:szCs w:val="24"/>
        </w:rPr>
        <w:t>C</w:t>
      </w:r>
      <w:r w:rsidRPr="004D6B8B">
        <w:rPr>
          <w:rFonts w:eastAsia="Times New Roman" w:cstheme="minorHAnsi"/>
          <w:sz w:val="24"/>
          <w:szCs w:val="24"/>
        </w:rPr>
        <w:t xml:space="preserve">onversely </w:t>
      </w:r>
      <w:r w:rsidR="00254F25" w:rsidRPr="004D6B8B">
        <w:rPr>
          <w:rFonts w:eastAsia="Times New Roman" w:cstheme="minorHAnsi"/>
          <w:sz w:val="24"/>
          <w:szCs w:val="24"/>
        </w:rPr>
        <w:t>Sc</w:t>
      </w:r>
      <w:r w:rsidR="009B0A82" w:rsidRPr="004D6B8B">
        <w:rPr>
          <w:rFonts w:eastAsia="Times New Roman" w:cstheme="minorHAnsi"/>
          <w:sz w:val="24"/>
          <w:szCs w:val="24"/>
        </w:rPr>
        <w:t>h</w:t>
      </w:r>
      <w:r w:rsidR="00254F25" w:rsidRPr="004D6B8B">
        <w:rPr>
          <w:rFonts w:eastAsia="Times New Roman" w:cstheme="minorHAnsi"/>
          <w:sz w:val="24"/>
          <w:szCs w:val="24"/>
        </w:rPr>
        <w:t>ofield et al</w:t>
      </w:r>
      <w:r w:rsidR="00DE01FE" w:rsidRPr="004D6B8B">
        <w:rPr>
          <w:rFonts w:eastAsia="Times New Roman" w:cstheme="minorHAnsi"/>
          <w:sz w:val="24"/>
          <w:szCs w:val="24"/>
        </w:rPr>
        <w:t>.</w:t>
      </w:r>
      <w:r w:rsidR="00254F25" w:rsidRPr="004D6B8B">
        <w:rPr>
          <w:rFonts w:eastAsia="Times New Roman" w:cstheme="minorHAnsi"/>
          <w:sz w:val="24"/>
          <w:szCs w:val="24"/>
        </w:rPr>
        <w:t xml:space="preserve"> (2012) found e-learning was effective for doctors and medical students.</w:t>
      </w:r>
      <w:r w:rsidR="00642249" w:rsidRPr="004D6B8B">
        <w:rPr>
          <w:rFonts w:eastAsia="Times New Roman" w:cstheme="minorHAnsi"/>
          <w:sz w:val="24"/>
          <w:szCs w:val="24"/>
        </w:rPr>
        <w:t xml:space="preserve"> These differences may reflect access to and familiarity with technology, as well as other factors including the life-stage and </w:t>
      </w:r>
      <w:r w:rsidR="00F80E3C" w:rsidRPr="004D6B8B">
        <w:rPr>
          <w:rFonts w:eastAsia="Times New Roman" w:cstheme="minorHAnsi"/>
          <w:sz w:val="24"/>
          <w:szCs w:val="24"/>
        </w:rPr>
        <w:t xml:space="preserve">family </w:t>
      </w:r>
      <w:r w:rsidR="00642249" w:rsidRPr="004D6B8B">
        <w:rPr>
          <w:rFonts w:eastAsia="Times New Roman" w:cstheme="minorHAnsi"/>
          <w:sz w:val="24"/>
          <w:szCs w:val="24"/>
        </w:rPr>
        <w:t>responsibilities</w:t>
      </w:r>
      <w:r w:rsidR="00F80E3C" w:rsidRPr="004D6B8B">
        <w:rPr>
          <w:rFonts w:eastAsia="Times New Roman" w:cstheme="minorHAnsi"/>
          <w:sz w:val="24"/>
          <w:szCs w:val="24"/>
        </w:rPr>
        <w:t xml:space="preserve"> </w:t>
      </w:r>
      <w:r w:rsidR="00642249" w:rsidRPr="004D6B8B">
        <w:rPr>
          <w:rFonts w:eastAsia="Times New Roman" w:cstheme="minorHAnsi"/>
          <w:sz w:val="24"/>
          <w:szCs w:val="24"/>
        </w:rPr>
        <w:t xml:space="preserve">of the participant groups and </w:t>
      </w:r>
      <w:r w:rsidR="00F80E3C" w:rsidRPr="004D6B8B">
        <w:rPr>
          <w:rFonts w:eastAsia="Times New Roman" w:cstheme="minorHAnsi"/>
          <w:sz w:val="24"/>
          <w:szCs w:val="24"/>
        </w:rPr>
        <w:t xml:space="preserve">the time they would therefore have free for independent learning. </w:t>
      </w:r>
      <w:r w:rsidR="00236291" w:rsidRPr="004D6B8B">
        <w:rPr>
          <w:rFonts w:eastAsia="Times New Roman" w:cstheme="minorHAnsi"/>
          <w:sz w:val="24"/>
          <w:szCs w:val="24"/>
        </w:rPr>
        <w:t xml:space="preserve"> </w:t>
      </w:r>
    </w:p>
    <w:p w14:paraId="33D85549" w14:textId="7D088718" w:rsidR="00254F25" w:rsidRPr="004D6B8B" w:rsidRDefault="00642249" w:rsidP="005A13A0">
      <w:pPr>
        <w:rPr>
          <w:rFonts w:eastAsia="Times New Roman" w:cstheme="minorHAnsi"/>
          <w:sz w:val="24"/>
          <w:szCs w:val="24"/>
        </w:rPr>
      </w:pPr>
      <w:r w:rsidRPr="004D6B8B">
        <w:rPr>
          <w:rFonts w:eastAsia="Times New Roman" w:cstheme="minorHAnsi"/>
          <w:sz w:val="24"/>
          <w:szCs w:val="24"/>
        </w:rPr>
        <w:t xml:space="preserve">Gough &amp; </w:t>
      </w:r>
      <w:proofErr w:type="spellStart"/>
      <w:r w:rsidRPr="004D6B8B">
        <w:rPr>
          <w:rFonts w:eastAsia="Times New Roman" w:cstheme="minorHAnsi"/>
          <w:sz w:val="24"/>
          <w:szCs w:val="24"/>
        </w:rPr>
        <w:t>Kerlin</w:t>
      </w:r>
      <w:proofErr w:type="spellEnd"/>
      <w:r w:rsidR="00C201AD" w:rsidRPr="004D6B8B">
        <w:rPr>
          <w:rFonts w:eastAsia="Times New Roman" w:cstheme="minorHAnsi"/>
          <w:sz w:val="24"/>
          <w:szCs w:val="24"/>
        </w:rPr>
        <w:t xml:space="preserve"> (20</w:t>
      </w:r>
      <w:r w:rsidRPr="004D6B8B">
        <w:rPr>
          <w:rFonts w:eastAsia="Times New Roman" w:cstheme="minorHAnsi"/>
          <w:sz w:val="24"/>
          <w:szCs w:val="24"/>
        </w:rPr>
        <w:t>12</w:t>
      </w:r>
      <w:r w:rsidR="00C201AD" w:rsidRPr="004D6B8B">
        <w:rPr>
          <w:rFonts w:eastAsia="Times New Roman" w:cstheme="minorHAnsi"/>
          <w:sz w:val="24"/>
          <w:szCs w:val="24"/>
        </w:rPr>
        <w:t xml:space="preserve">) suggest that training should involve real-life scenarios to assist practitioners in linking the legislation to their practice. </w:t>
      </w:r>
      <w:r w:rsidR="005A13A0" w:rsidRPr="004D6B8B">
        <w:rPr>
          <w:rFonts w:eastAsia="Times New Roman" w:cstheme="minorHAnsi"/>
          <w:sz w:val="24"/>
          <w:szCs w:val="24"/>
        </w:rPr>
        <w:t>Many of the papers described training in which the trainers had aimed to be creative, imaginative and challenging to engage the learners in working together or individually to solve problems using case-studies or scenarios (Lee-</w:t>
      </w:r>
      <w:r w:rsidR="005A13A0" w:rsidRPr="004D6B8B">
        <w:rPr>
          <w:rFonts w:eastAsia="Times New Roman" w:cstheme="minorHAnsi"/>
          <w:sz w:val="24"/>
          <w:szCs w:val="24"/>
        </w:rPr>
        <w:lastRenderedPageBreak/>
        <w:t>Foster</w:t>
      </w:r>
      <w:r w:rsidR="00DE01FE" w:rsidRPr="004D6B8B">
        <w:rPr>
          <w:rFonts w:eastAsia="Times New Roman" w:cstheme="minorHAnsi"/>
          <w:sz w:val="24"/>
          <w:szCs w:val="24"/>
        </w:rPr>
        <w:t>,</w:t>
      </w:r>
      <w:r w:rsidR="005A13A0" w:rsidRPr="004D6B8B">
        <w:rPr>
          <w:rFonts w:eastAsia="Times New Roman" w:cstheme="minorHAnsi"/>
          <w:sz w:val="24"/>
          <w:szCs w:val="24"/>
        </w:rPr>
        <w:t xml:space="preserve"> 2010</w:t>
      </w:r>
      <w:r w:rsidR="00DE01FE" w:rsidRPr="004D6B8B">
        <w:rPr>
          <w:rFonts w:eastAsia="Times New Roman" w:cstheme="minorHAnsi"/>
          <w:sz w:val="24"/>
          <w:szCs w:val="24"/>
        </w:rPr>
        <w:t>;</w:t>
      </w:r>
      <w:r w:rsidR="005A13A0" w:rsidRPr="004D6B8B">
        <w:rPr>
          <w:rFonts w:eastAsia="Times New Roman" w:cstheme="minorHAnsi"/>
          <w:sz w:val="24"/>
          <w:szCs w:val="24"/>
        </w:rPr>
        <w:t xml:space="preserve"> Pike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2010</w:t>
      </w:r>
      <w:r w:rsidR="00DE01FE" w:rsidRPr="004D6B8B">
        <w:rPr>
          <w:rFonts w:eastAsia="Times New Roman" w:cstheme="minorHAnsi"/>
          <w:sz w:val="24"/>
          <w:szCs w:val="24"/>
        </w:rPr>
        <w:t>;</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2013). </w:t>
      </w:r>
      <w:r w:rsidR="00C410E9" w:rsidRPr="004D6B8B">
        <w:rPr>
          <w:rFonts w:eastAsia="Times New Roman" w:cstheme="minorHAnsi"/>
          <w:sz w:val="24"/>
          <w:szCs w:val="24"/>
        </w:rPr>
        <w:t xml:space="preserve">For example, </w:t>
      </w:r>
      <w:r w:rsidR="00236291" w:rsidRPr="004D6B8B">
        <w:rPr>
          <w:rFonts w:eastAsia="Times New Roman" w:cstheme="minorHAnsi"/>
          <w:sz w:val="24"/>
          <w:szCs w:val="24"/>
        </w:rPr>
        <w:t xml:space="preserve">Lee-Foster (2010) developed a toolkit which participants applied to a real-life scenario drawn from their own practice and then discussed in a written assignment. </w:t>
      </w:r>
    </w:p>
    <w:p w14:paraId="79EFA211" w14:textId="010847CA" w:rsidR="006764A5" w:rsidRPr="004D6B8B" w:rsidRDefault="00C201AD" w:rsidP="005A13A0">
      <w:pPr>
        <w:rPr>
          <w:rFonts w:eastAsia="Times New Roman" w:cstheme="minorHAnsi"/>
          <w:sz w:val="24"/>
          <w:szCs w:val="24"/>
        </w:rPr>
      </w:pPr>
      <w:r w:rsidRPr="004D6B8B">
        <w:rPr>
          <w:rFonts w:eastAsia="Times New Roman" w:cstheme="minorHAnsi"/>
          <w:sz w:val="24"/>
          <w:szCs w:val="24"/>
        </w:rPr>
        <w:t xml:space="preserve">MCA training is not mandatory in all workplaces and this, together with its ‘stand-alone’ presentation may </w:t>
      </w:r>
      <w:r w:rsidR="006764A5" w:rsidRPr="004D6B8B">
        <w:rPr>
          <w:rFonts w:eastAsia="Times New Roman" w:cstheme="minorHAnsi"/>
          <w:sz w:val="24"/>
          <w:szCs w:val="24"/>
        </w:rPr>
        <w:t xml:space="preserve">lead to an impression that the training is not </w:t>
      </w:r>
      <w:r w:rsidR="000D15AD" w:rsidRPr="004D6B8B">
        <w:rPr>
          <w:rFonts w:eastAsia="Times New Roman" w:cstheme="minorHAnsi"/>
          <w:sz w:val="24"/>
          <w:szCs w:val="24"/>
        </w:rPr>
        <w:t>important</w:t>
      </w:r>
      <w:r w:rsidR="006764A5" w:rsidRPr="004D6B8B">
        <w:rPr>
          <w:rFonts w:eastAsia="Times New Roman" w:cstheme="minorHAnsi"/>
          <w:sz w:val="24"/>
          <w:szCs w:val="24"/>
        </w:rPr>
        <w:t xml:space="preserve"> (</w:t>
      </w:r>
      <w:r w:rsidR="00035BE1" w:rsidRPr="004D6B8B">
        <w:rPr>
          <w:rFonts w:eastAsia="Times New Roman" w:cstheme="minorHAnsi"/>
          <w:sz w:val="24"/>
          <w:szCs w:val="24"/>
        </w:rPr>
        <w:t xml:space="preserve">Gough &amp; </w:t>
      </w:r>
      <w:proofErr w:type="spellStart"/>
      <w:r w:rsidR="00035BE1" w:rsidRPr="004D6B8B">
        <w:rPr>
          <w:rFonts w:eastAsia="Times New Roman" w:cstheme="minorHAnsi"/>
          <w:sz w:val="24"/>
          <w:szCs w:val="24"/>
        </w:rPr>
        <w:t>Kerlin</w:t>
      </w:r>
      <w:proofErr w:type="spellEnd"/>
      <w:r w:rsidR="00035BE1" w:rsidRPr="004D6B8B">
        <w:rPr>
          <w:rFonts w:eastAsia="Times New Roman" w:cstheme="minorHAnsi"/>
          <w:sz w:val="24"/>
          <w:szCs w:val="24"/>
        </w:rPr>
        <w:t xml:space="preserve"> 2012, </w:t>
      </w:r>
      <w:proofErr w:type="spellStart"/>
      <w:r w:rsidR="00035BE1" w:rsidRPr="004D6B8B">
        <w:rPr>
          <w:rFonts w:eastAsia="Times New Roman" w:cstheme="minorHAnsi"/>
          <w:sz w:val="24"/>
          <w:szCs w:val="24"/>
        </w:rPr>
        <w:t>Phair</w:t>
      </w:r>
      <w:proofErr w:type="spellEnd"/>
      <w:r w:rsidR="00035BE1" w:rsidRPr="004D6B8B">
        <w:rPr>
          <w:rFonts w:eastAsia="Times New Roman" w:cstheme="minorHAnsi"/>
          <w:sz w:val="24"/>
          <w:szCs w:val="24"/>
        </w:rPr>
        <w:t xml:space="preserve"> &amp; </w:t>
      </w:r>
      <w:proofErr w:type="spellStart"/>
      <w:r w:rsidR="00035BE1" w:rsidRPr="004D6B8B">
        <w:rPr>
          <w:rFonts w:eastAsia="Times New Roman" w:cstheme="minorHAnsi"/>
          <w:sz w:val="24"/>
          <w:szCs w:val="24"/>
        </w:rPr>
        <w:t>Manthorpe</w:t>
      </w:r>
      <w:proofErr w:type="spellEnd"/>
      <w:r w:rsidR="00035BE1" w:rsidRPr="004D6B8B">
        <w:rPr>
          <w:rFonts w:eastAsia="Times New Roman" w:cstheme="minorHAnsi"/>
          <w:sz w:val="24"/>
          <w:szCs w:val="24"/>
        </w:rPr>
        <w:t xml:space="preserve">, </w:t>
      </w:r>
      <w:proofErr w:type="gramStart"/>
      <w:r w:rsidR="00035BE1" w:rsidRPr="004D6B8B">
        <w:rPr>
          <w:rFonts w:eastAsia="Times New Roman" w:cstheme="minorHAnsi"/>
          <w:sz w:val="24"/>
          <w:szCs w:val="24"/>
        </w:rPr>
        <w:t xml:space="preserve">2012 </w:t>
      </w:r>
      <w:r w:rsidR="006764A5" w:rsidRPr="004D6B8B">
        <w:rPr>
          <w:rFonts w:eastAsia="Times New Roman" w:cstheme="minorHAnsi"/>
          <w:sz w:val="24"/>
          <w:szCs w:val="24"/>
        </w:rPr>
        <w:t>)</w:t>
      </w:r>
      <w:proofErr w:type="gramEnd"/>
      <w:r w:rsidR="006764A5" w:rsidRPr="004D6B8B">
        <w:rPr>
          <w:rFonts w:eastAsia="Times New Roman" w:cstheme="minorHAnsi"/>
          <w:sz w:val="24"/>
          <w:szCs w:val="24"/>
        </w:rPr>
        <w:t>. However, many of the studies reported that the</w:t>
      </w:r>
      <w:r w:rsidR="005A13A0" w:rsidRPr="004D6B8B">
        <w:rPr>
          <w:rFonts w:eastAsia="Times New Roman" w:cstheme="minorHAnsi"/>
          <w:sz w:val="24"/>
          <w:szCs w:val="24"/>
        </w:rPr>
        <w:t xml:space="preserve"> MCA was taught in conjunction with related topics, including communication (Lee-Foster</w:t>
      </w:r>
      <w:r w:rsidR="00DE01FE" w:rsidRPr="004D6B8B">
        <w:rPr>
          <w:rFonts w:eastAsia="Times New Roman" w:cstheme="minorHAnsi"/>
          <w:sz w:val="24"/>
          <w:szCs w:val="24"/>
        </w:rPr>
        <w:t>,</w:t>
      </w:r>
      <w:r w:rsidR="005A13A0" w:rsidRPr="004D6B8B">
        <w:rPr>
          <w:rFonts w:eastAsia="Times New Roman" w:cstheme="minorHAnsi"/>
          <w:sz w:val="24"/>
          <w:szCs w:val="24"/>
        </w:rPr>
        <w:t xml:space="preserve"> 2010), record-keeping and consent (</w:t>
      </w:r>
      <w:proofErr w:type="spellStart"/>
      <w:r w:rsidR="005A13A0" w:rsidRPr="004D6B8B">
        <w:rPr>
          <w:rFonts w:eastAsia="Times New Roman" w:cstheme="minorHAnsi"/>
          <w:sz w:val="24"/>
          <w:szCs w:val="24"/>
        </w:rPr>
        <w:t>Phair</w:t>
      </w:r>
      <w:proofErr w:type="spellEnd"/>
      <w:r w:rsidR="00DE01FE" w:rsidRPr="004D6B8B">
        <w:rPr>
          <w:rFonts w:eastAsia="Times New Roman" w:cstheme="minorHAnsi"/>
          <w:sz w:val="24"/>
          <w:szCs w:val="24"/>
        </w:rPr>
        <w:t xml:space="preserve"> &amp;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Manthorpe</w:t>
      </w:r>
      <w:proofErr w:type="spellEnd"/>
      <w:r w:rsidR="00DE01FE" w:rsidRPr="004D6B8B">
        <w:rPr>
          <w:rFonts w:eastAsia="Times New Roman" w:cstheme="minorHAnsi"/>
          <w:sz w:val="24"/>
          <w:szCs w:val="24"/>
        </w:rPr>
        <w:t>,</w:t>
      </w:r>
      <w:r w:rsidR="005A13A0" w:rsidRPr="004D6B8B">
        <w:rPr>
          <w:rFonts w:eastAsia="Times New Roman" w:cstheme="minorHAnsi"/>
          <w:sz w:val="24"/>
          <w:szCs w:val="24"/>
        </w:rPr>
        <w:t xml:space="preserve"> 2012</w:t>
      </w:r>
      <w:r w:rsidR="00DE01FE" w:rsidRPr="004D6B8B">
        <w:rPr>
          <w:rFonts w:eastAsia="Times New Roman" w:cstheme="minorHAnsi"/>
          <w:sz w:val="24"/>
          <w:szCs w:val="24"/>
        </w:rPr>
        <w:t>;</w:t>
      </w:r>
      <w:r w:rsidR="005A13A0" w:rsidRPr="004D6B8B">
        <w:rPr>
          <w:rFonts w:eastAsia="Times New Roman" w:cstheme="minorHAnsi"/>
          <w:sz w:val="24"/>
          <w:szCs w:val="24"/>
        </w:rPr>
        <w:t xml:space="preserve"> Marshall </w:t>
      </w:r>
      <w:r w:rsidR="00DE01FE" w:rsidRPr="004D6B8B">
        <w:rPr>
          <w:rFonts w:eastAsia="Times New Roman" w:cstheme="minorHAnsi"/>
          <w:sz w:val="24"/>
          <w:szCs w:val="24"/>
        </w:rPr>
        <w:t>&amp;</w:t>
      </w:r>
      <w:r w:rsidR="005A13A0" w:rsidRPr="004D6B8B">
        <w:rPr>
          <w:rFonts w:eastAsia="Times New Roman" w:cstheme="minorHAnsi"/>
          <w:sz w:val="24"/>
          <w:szCs w:val="24"/>
        </w:rPr>
        <w:t xml:space="preserve"> Sprung</w:t>
      </w:r>
      <w:r w:rsidR="00DE01FE" w:rsidRPr="004D6B8B">
        <w:rPr>
          <w:rFonts w:eastAsia="Times New Roman" w:cstheme="minorHAnsi"/>
          <w:sz w:val="24"/>
          <w:szCs w:val="24"/>
        </w:rPr>
        <w:t>,</w:t>
      </w:r>
      <w:r w:rsidR="005A13A0" w:rsidRPr="004D6B8B">
        <w:rPr>
          <w:rFonts w:eastAsia="Times New Roman" w:cstheme="minorHAnsi"/>
          <w:sz w:val="24"/>
          <w:szCs w:val="24"/>
        </w:rPr>
        <w:t xml:space="preserve"> 2016b), human rights, equality, diversity and safeguarding (Pike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2010). </w:t>
      </w:r>
      <w:r w:rsidR="006764A5" w:rsidRPr="004D6B8B">
        <w:rPr>
          <w:rFonts w:eastAsia="Times New Roman" w:cstheme="minorHAnsi"/>
          <w:sz w:val="24"/>
          <w:szCs w:val="24"/>
        </w:rPr>
        <w:t xml:space="preserve">Combining topics aided participants in understanding connections between the various aspects of their practice (Gough </w:t>
      </w:r>
      <w:r w:rsidR="00DE01FE" w:rsidRPr="004D6B8B">
        <w:rPr>
          <w:rFonts w:eastAsia="Times New Roman" w:cstheme="minorHAnsi"/>
          <w:sz w:val="24"/>
          <w:szCs w:val="24"/>
        </w:rPr>
        <w:t>&amp;</w:t>
      </w:r>
      <w:r w:rsidR="006764A5" w:rsidRPr="004D6B8B">
        <w:rPr>
          <w:rFonts w:eastAsia="Times New Roman" w:cstheme="minorHAnsi"/>
          <w:sz w:val="24"/>
          <w:szCs w:val="24"/>
        </w:rPr>
        <w:t xml:space="preserve"> </w:t>
      </w:r>
      <w:proofErr w:type="spellStart"/>
      <w:r w:rsidR="006764A5" w:rsidRPr="004D6B8B">
        <w:rPr>
          <w:rFonts w:eastAsia="Times New Roman" w:cstheme="minorHAnsi"/>
          <w:sz w:val="24"/>
          <w:szCs w:val="24"/>
        </w:rPr>
        <w:t>Kerlin</w:t>
      </w:r>
      <w:proofErr w:type="spellEnd"/>
      <w:r w:rsidR="00DE01FE" w:rsidRPr="004D6B8B">
        <w:rPr>
          <w:rFonts w:eastAsia="Times New Roman" w:cstheme="minorHAnsi"/>
          <w:sz w:val="24"/>
          <w:szCs w:val="24"/>
        </w:rPr>
        <w:t>,</w:t>
      </w:r>
      <w:r w:rsidR="006764A5" w:rsidRPr="004D6B8B">
        <w:rPr>
          <w:rFonts w:eastAsia="Times New Roman" w:cstheme="minorHAnsi"/>
          <w:sz w:val="24"/>
          <w:szCs w:val="24"/>
        </w:rPr>
        <w:t xml:space="preserve"> 2012), but perceptions differ and others felt </w:t>
      </w:r>
      <w:r w:rsidR="005A13A0" w:rsidRPr="004D6B8B">
        <w:rPr>
          <w:rFonts w:eastAsia="Times New Roman" w:cstheme="minorHAnsi"/>
          <w:sz w:val="24"/>
          <w:szCs w:val="24"/>
        </w:rPr>
        <w:t>that MCA training had, unhelpfully, been ‘bolted on’ to other topics (</w:t>
      </w:r>
      <w:proofErr w:type="spellStart"/>
      <w:r w:rsidR="005A13A0" w:rsidRPr="004D6B8B">
        <w:rPr>
          <w:rFonts w:eastAsia="Times New Roman" w:cstheme="minorHAnsi"/>
          <w:sz w:val="24"/>
          <w:szCs w:val="24"/>
        </w:rPr>
        <w:t>Phair</w:t>
      </w:r>
      <w:proofErr w:type="spellEnd"/>
      <w:r w:rsidR="005A13A0" w:rsidRPr="004D6B8B">
        <w:rPr>
          <w:rFonts w:eastAsia="Times New Roman" w:cstheme="minorHAnsi"/>
          <w:sz w:val="24"/>
          <w:szCs w:val="24"/>
        </w:rPr>
        <w:t xml:space="preserve"> </w:t>
      </w:r>
      <w:r w:rsidR="00DE01FE" w:rsidRPr="004D6B8B">
        <w:rPr>
          <w:rFonts w:eastAsia="Times New Roman" w:cstheme="minorHAnsi"/>
          <w:sz w:val="24"/>
          <w:szCs w:val="24"/>
        </w:rPr>
        <w:t>&amp;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Manthorpe</w:t>
      </w:r>
      <w:proofErr w:type="spellEnd"/>
      <w:r w:rsidR="005A13A0" w:rsidRPr="004D6B8B">
        <w:rPr>
          <w:rFonts w:eastAsia="Times New Roman" w:cstheme="minorHAnsi"/>
          <w:sz w:val="24"/>
          <w:szCs w:val="24"/>
        </w:rPr>
        <w:t xml:space="preserve">, 2012). </w:t>
      </w:r>
    </w:p>
    <w:p w14:paraId="040C240E" w14:textId="2DB3E049" w:rsidR="002325CF" w:rsidRPr="004D6B8B" w:rsidRDefault="005A13A0" w:rsidP="005A13A0">
      <w:pPr>
        <w:rPr>
          <w:rFonts w:eastAsia="Times New Roman" w:cstheme="minorHAnsi"/>
          <w:sz w:val="24"/>
          <w:szCs w:val="24"/>
        </w:rPr>
      </w:pPr>
      <w:r w:rsidRPr="004D6B8B">
        <w:rPr>
          <w:rFonts w:eastAsia="Times New Roman" w:cstheme="minorHAnsi"/>
          <w:sz w:val="24"/>
          <w:szCs w:val="24"/>
        </w:rPr>
        <w:t xml:space="preserve">Some </w:t>
      </w:r>
      <w:proofErr w:type="spellStart"/>
      <w:r w:rsidRPr="004D6B8B">
        <w:rPr>
          <w:rFonts w:eastAsia="Times New Roman" w:cstheme="minorHAnsi"/>
          <w:sz w:val="24"/>
          <w:szCs w:val="24"/>
        </w:rPr>
        <w:t>programmes</w:t>
      </w:r>
      <w:proofErr w:type="spellEnd"/>
      <w:r w:rsidRPr="004D6B8B">
        <w:rPr>
          <w:rFonts w:eastAsia="Times New Roman" w:cstheme="minorHAnsi"/>
          <w:sz w:val="24"/>
          <w:szCs w:val="24"/>
        </w:rPr>
        <w:t xml:space="preserve"> used a ‘cascade’ model, expecting trainees to then train colleagues (or at least influence their practice) and so embed the learning among their workplace teams (Gough </w:t>
      </w:r>
      <w:r w:rsidR="00DE01FE" w:rsidRPr="004D6B8B">
        <w:rPr>
          <w:rFonts w:eastAsia="Times New Roman" w:cstheme="minorHAnsi"/>
          <w:sz w:val="24"/>
          <w:szCs w:val="24"/>
        </w:rPr>
        <w:t>&amp;</w:t>
      </w:r>
      <w:r w:rsidRPr="004D6B8B">
        <w:rPr>
          <w:rFonts w:eastAsia="Times New Roman" w:cstheme="minorHAnsi"/>
          <w:sz w:val="24"/>
          <w:szCs w:val="24"/>
        </w:rPr>
        <w:t xml:space="preserve"> </w:t>
      </w:r>
      <w:proofErr w:type="spellStart"/>
      <w:r w:rsidRPr="004D6B8B">
        <w:rPr>
          <w:rFonts w:eastAsia="Times New Roman" w:cstheme="minorHAnsi"/>
          <w:sz w:val="24"/>
          <w:szCs w:val="24"/>
        </w:rPr>
        <w:t>Kerlin</w:t>
      </w:r>
      <w:proofErr w:type="spellEnd"/>
      <w:r w:rsidR="00DE01FE" w:rsidRPr="004D6B8B">
        <w:rPr>
          <w:rFonts w:eastAsia="Times New Roman" w:cstheme="minorHAnsi"/>
          <w:sz w:val="24"/>
          <w:szCs w:val="24"/>
        </w:rPr>
        <w:t>,</w:t>
      </w:r>
      <w:r w:rsidRPr="004D6B8B">
        <w:rPr>
          <w:rFonts w:eastAsia="Times New Roman" w:cstheme="minorHAnsi"/>
          <w:sz w:val="24"/>
          <w:szCs w:val="24"/>
        </w:rPr>
        <w:t xml:space="preserve"> 2012), thus </w:t>
      </w:r>
      <w:proofErr w:type="spellStart"/>
      <w:r w:rsidRPr="004D6B8B">
        <w:rPr>
          <w:rFonts w:eastAsia="Times New Roman" w:cstheme="minorHAnsi"/>
          <w:sz w:val="24"/>
          <w:szCs w:val="24"/>
        </w:rPr>
        <w:t>minimising</w:t>
      </w:r>
      <w:proofErr w:type="spellEnd"/>
      <w:r w:rsidRPr="004D6B8B">
        <w:rPr>
          <w:rFonts w:eastAsia="Times New Roman" w:cstheme="minorHAnsi"/>
          <w:sz w:val="24"/>
          <w:szCs w:val="24"/>
        </w:rPr>
        <w:t xml:space="preserve"> costs of both training and the expense associated with providing replacements to fulfill trainees’ roles in the workplace during their absence. </w:t>
      </w:r>
      <w:r w:rsidR="009562B5" w:rsidRPr="004D6B8B">
        <w:rPr>
          <w:rFonts w:eastAsia="Times New Roman" w:cstheme="minorHAnsi"/>
          <w:sz w:val="24"/>
          <w:szCs w:val="24"/>
        </w:rPr>
        <w:t xml:space="preserve"> </w:t>
      </w:r>
      <w:proofErr w:type="spellStart"/>
      <w:r w:rsidR="009562B5" w:rsidRPr="004D6B8B">
        <w:rPr>
          <w:rFonts w:eastAsia="Times New Roman" w:cstheme="minorHAnsi"/>
          <w:sz w:val="24"/>
          <w:szCs w:val="24"/>
        </w:rPr>
        <w:t>Manthorpe</w:t>
      </w:r>
      <w:proofErr w:type="spellEnd"/>
      <w:r w:rsidR="009562B5" w:rsidRPr="004D6B8B">
        <w:rPr>
          <w:rFonts w:eastAsia="Times New Roman" w:cstheme="minorHAnsi"/>
          <w:sz w:val="24"/>
          <w:szCs w:val="24"/>
        </w:rPr>
        <w:t xml:space="preserve"> </w:t>
      </w:r>
      <w:r w:rsidR="00DE01FE" w:rsidRPr="004D6B8B">
        <w:rPr>
          <w:rFonts w:eastAsia="Times New Roman" w:cstheme="minorHAnsi"/>
          <w:sz w:val="24"/>
          <w:szCs w:val="24"/>
        </w:rPr>
        <w:t>&amp;</w:t>
      </w:r>
      <w:r w:rsidR="009562B5" w:rsidRPr="004D6B8B">
        <w:rPr>
          <w:rFonts w:eastAsia="Times New Roman" w:cstheme="minorHAnsi"/>
          <w:sz w:val="24"/>
          <w:szCs w:val="24"/>
        </w:rPr>
        <w:t xml:space="preserve"> </w:t>
      </w:r>
      <w:proofErr w:type="spellStart"/>
      <w:r w:rsidR="009562B5" w:rsidRPr="004D6B8B">
        <w:rPr>
          <w:rFonts w:eastAsia="Times New Roman" w:cstheme="minorHAnsi"/>
          <w:sz w:val="24"/>
          <w:szCs w:val="24"/>
        </w:rPr>
        <w:t>Samsi</w:t>
      </w:r>
      <w:proofErr w:type="spellEnd"/>
      <w:r w:rsidR="009562B5" w:rsidRPr="004D6B8B">
        <w:rPr>
          <w:rFonts w:eastAsia="Times New Roman" w:cstheme="minorHAnsi"/>
          <w:sz w:val="24"/>
          <w:szCs w:val="24"/>
        </w:rPr>
        <w:t xml:space="preserve"> (2016) </w:t>
      </w:r>
      <w:r w:rsidR="00A34246" w:rsidRPr="004D6B8B">
        <w:rPr>
          <w:rFonts w:eastAsia="Times New Roman" w:cstheme="minorHAnsi"/>
          <w:sz w:val="24"/>
          <w:szCs w:val="24"/>
        </w:rPr>
        <w:t>imply</w:t>
      </w:r>
      <w:r w:rsidR="009562B5" w:rsidRPr="004D6B8B">
        <w:rPr>
          <w:rFonts w:eastAsia="Times New Roman" w:cstheme="minorHAnsi"/>
          <w:sz w:val="24"/>
          <w:szCs w:val="24"/>
        </w:rPr>
        <w:t xml:space="preserve"> that a cascade model is congruent in workplaces with high staff turnover and hierarchical cultures. Gough </w:t>
      </w:r>
      <w:r w:rsidR="00DE01FE" w:rsidRPr="004D6B8B">
        <w:rPr>
          <w:rFonts w:eastAsia="Times New Roman" w:cstheme="minorHAnsi"/>
          <w:sz w:val="24"/>
          <w:szCs w:val="24"/>
        </w:rPr>
        <w:t>&amp;</w:t>
      </w:r>
      <w:r w:rsidR="009562B5" w:rsidRPr="004D6B8B">
        <w:rPr>
          <w:rFonts w:eastAsia="Times New Roman" w:cstheme="minorHAnsi"/>
          <w:sz w:val="24"/>
          <w:szCs w:val="24"/>
        </w:rPr>
        <w:t xml:space="preserve"> </w:t>
      </w:r>
      <w:proofErr w:type="spellStart"/>
      <w:r w:rsidR="009562B5" w:rsidRPr="004D6B8B">
        <w:rPr>
          <w:rFonts w:eastAsia="Times New Roman" w:cstheme="minorHAnsi"/>
          <w:sz w:val="24"/>
          <w:szCs w:val="24"/>
        </w:rPr>
        <w:t>Kerlin</w:t>
      </w:r>
      <w:proofErr w:type="spellEnd"/>
      <w:r w:rsidR="009562B5" w:rsidRPr="004D6B8B">
        <w:rPr>
          <w:rFonts w:eastAsia="Times New Roman" w:cstheme="minorHAnsi"/>
          <w:sz w:val="24"/>
          <w:szCs w:val="24"/>
        </w:rPr>
        <w:t xml:space="preserve"> (2012) con</w:t>
      </w:r>
      <w:r w:rsidR="00A34246" w:rsidRPr="004D6B8B">
        <w:rPr>
          <w:rFonts w:eastAsia="Times New Roman" w:cstheme="minorHAnsi"/>
          <w:sz w:val="24"/>
          <w:szCs w:val="24"/>
        </w:rPr>
        <w:t>cluded</w:t>
      </w:r>
      <w:r w:rsidR="009562B5" w:rsidRPr="004D6B8B">
        <w:rPr>
          <w:rFonts w:eastAsia="Times New Roman" w:cstheme="minorHAnsi"/>
          <w:sz w:val="24"/>
          <w:szCs w:val="24"/>
        </w:rPr>
        <w:t xml:space="preserve"> a top-down model </w:t>
      </w:r>
      <w:r w:rsidR="00A34246" w:rsidRPr="004D6B8B">
        <w:rPr>
          <w:rFonts w:eastAsia="Times New Roman" w:cstheme="minorHAnsi"/>
          <w:sz w:val="24"/>
          <w:szCs w:val="24"/>
        </w:rPr>
        <w:t>is</w:t>
      </w:r>
      <w:r w:rsidR="009562B5" w:rsidRPr="004D6B8B">
        <w:rPr>
          <w:rFonts w:eastAsia="Times New Roman" w:cstheme="minorHAnsi"/>
          <w:sz w:val="24"/>
          <w:szCs w:val="24"/>
        </w:rPr>
        <w:t xml:space="preserve"> appropriate. However, the success of this approach is dependent on relevant staff feeling confident in sharing their knowledge.   </w:t>
      </w:r>
      <w:r w:rsidR="002325CF" w:rsidRPr="004D6B8B">
        <w:rPr>
          <w:rFonts w:eastAsia="Times New Roman" w:cstheme="minorHAnsi"/>
          <w:sz w:val="24"/>
          <w:szCs w:val="24"/>
        </w:rPr>
        <w:t>S</w:t>
      </w:r>
      <w:r w:rsidR="009562B5" w:rsidRPr="004D6B8B">
        <w:rPr>
          <w:rFonts w:eastAsia="Times New Roman" w:cstheme="minorHAnsi"/>
          <w:sz w:val="24"/>
          <w:szCs w:val="24"/>
        </w:rPr>
        <w:t xml:space="preserve">enior staff were not </w:t>
      </w:r>
      <w:r w:rsidR="002325CF" w:rsidRPr="004D6B8B">
        <w:rPr>
          <w:rFonts w:eastAsia="Times New Roman" w:cstheme="minorHAnsi"/>
          <w:sz w:val="24"/>
          <w:szCs w:val="24"/>
        </w:rPr>
        <w:t xml:space="preserve">always </w:t>
      </w:r>
      <w:r w:rsidR="009562B5" w:rsidRPr="004D6B8B">
        <w:rPr>
          <w:rFonts w:eastAsia="Times New Roman" w:cstheme="minorHAnsi"/>
          <w:sz w:val="24"/>
          <w:szCs w:val="24"/>
        </w:rPr>
        <w:t>more knowledgeable on the topic than those they supervised (</w:t>
      </w:r>
      <w:proofErr w:type="spellStart"/>
      <w:r w:rsidR="009562B5" w:rsidRPr="004D6B8B">
        <w:rPr>
          <w:rFonts w:eastAsia="Times New Roman" w:cstheme="minorHAnsi"/>
          <w:sz w:val="24"/>
          <w:szCs w:val="24"/>
        </w:rPr>
        <w:t>Phair</w:t>
      </w:r>
      <w:proofErr w:type="spellEnd"/>
      <w:r w:rsidR="009562B5" w:rsidRPr="004D6B8B">
        <w:rPr>
          <w:rFonts w:eastAsia="Times New Roman" w:cstheme="minorHAnsi"/>
          <w:sz w:val="24"/>
          <w:szCs w:val="24"/>
        </w:rPr>
        <w:t xml:space="preserve"> </w:t>
      </w:r>
      <w:r w:rsidR="00DE01FE" w:rsidRPr="004D6B8B">
        <w:rPr>
          <w:rFonts w:eastAsia="Times New Roman" w:cstheme="minorHAnsi"/>
          <w:sz w:val="24"/>
          <w:szCs w:val="24"/>
        </w:rPr>
        <w:t>&amp;</w:t>
      </w:r>
      <w:r w:rsidR="009562B5" w:rsidRPr="004D6B8B">
        <w:rPr>
          <w:rFonts w:eastAsia="Times New Roman" w:cstheme="minorHAnsi"/>
          <w:sz w:val="24"/>
          <w:szCs w:val="24"/>
        </w:rPr>
        <w:t xml:space="preserve"> </w:t>
      </w:r>
      <w:proofErr w:type="spellStart"/>
      <w:r w:rsidR="009562B5" w:rsidRPr="004D6B8B">
        <w:rPr>
          <w:rFonts w:eastAsia="Times New Roman" w:cstheme="minorHAnsi"/>
          <w:sz w:val="24"/>
          <w:szCs w:val="24"/>
        </w:rPr>
        <w:t>Manthorpe</w:t>
      </w:r>
      <w:proofErr w:type="spellEnd"/>
      <w:r w:rsidR="009562B5" w:rsidRPr="004D6B8B">
        <w:rPr>
          <w:rFonts w:eastAsia="Times New Roman" w:cstheme="minorHAnsi"/>
          <w:sz w:val="24"/>
          <w:szCs w:val="24"/>
        </w:rPr>
        <w:t xml:space="preserve"> 2012</w:t>
      </w:r>
      <w:r w:rsidR="00DE01FE" w:rsidRPr="004D6B8B">
        <w:rPr>
          <w:rFonts w:eastAsia="Times New Roman" w:cstheme="minorHAnsi"/>
          <w:sz w:val="24"/>
          <w:szCs w:val="24"/>
        </w:rPr>
        <w:t>;</w:t>
      </w:r>
      <w:r w:rsidR="002325CF" w:rsidRPr="004D6B8B">
        <w:rPr>
          <w:rFonts w:eastAsia="Times New Roman" w:cstheme="minorHAnsi"/>
          <w:sz w:val="24"/>
          <w:szCs w:val="24"/>
        </w:rPr>
        <w:t xml:space="preserve"> Marshall </w:t>
      </w:r>
      <w:r w:rsidR="00DE01FE" w:rsidRPr="004D6B8B">
        <w:rPr>
          <w:rFonts w:eastAsia="Times New Roman" w:cstheme="minorHAnsi"/>
          <w:sz w:val="24"/>
          <w:szCs w:val="24"/>
        </w:rPr>
        <w:t>&amp;</w:t>
      </w:r>
      <w:r w:rsidR="002325CF" w:rsidRPr="004D6B8B">
        <w:rPr>
          <w:rFonts w:eastAsia="Times New Roman" w:cstheme="minorHAnsi"/>
          <w:sz w:val="24"/>
          <w:szCs w:val="24"/>
        </w:rPr>
        <w:t xml:space="preserve"> Sprung</w:t>
      </w:r>
      <w:r w:rsidR="00DE01FE" w:rsidRPr="004D6B8B">
        <w:rPr>
          <w:rFonts w:eastAsia="Times New Roman" w:cstheme="minorHAnsi"/>
          <w:sz w:val="24"/>
          <w:szCs w:val="24"/>
        </w:rPr>
        <w:t>,</w:t>
      </w:r>
      <w:r w:rsidR="002325CF" w:rsidRPr="004D6B8B">
        <w:rPr>
          <w:rFonts w:eastAsia="Times New Roman" w:cstheme="minorHAnsi"/>
          <w:sz w:val="24"/>
          <w:szCs w:val="24"/>
        </w:rPr>
        <w:t xml:space="preserve"> 2016b</w:t>
      </w:r>
      <w:r w:rsidR="009562B5" w:rsidRPr="004D6B8B">
        <w:rPr>
          <w:rFonts w:eastAsia="Times New Roman" w:cstheme="minorHAnsi"/>
          <w:sz w:val="24"/>
          <w:szCs w:val="24"/>
        </w:rPr>
        <w:t>) and</w:t>
      </w:r>
      <w:r w:rsidR="000D15AD" w:rsidRPr="004D6B8B">
        <w:rPr>
          <w:rFonts w:eastAsia="Times New Roman" w:cstheme="minorHAnsi"/>
          <w:sz w:val="24"/>
          <w:szCs w:val="24"/>
        </w:rPr>
        <w:t xml:space="preserve"> under-confident practitioners were concerned about taking on these responsibilities</w:t>
      </w:r>
      <w:r w:rsidR="00886DC5" w:rsidRPr="004D6B8B">
        <w:rPr>
          <w:rFonts w:eastAsia="Times New Roman" w:cstheme="minorHAnsi"/>
          <w:sz w:val="24"/>
          <w:szCs w:val="24"/>
        </w:rPr>
        <w:t xml:space="preserve"> (</w:t>
      </w:r>
      <w:proofErr w:type="spellStart"/>
      <w:r w:rsidR="00886DC5" w:rsidRPr="004D6B8B">
        <w:rPr>
          <w:rFonts w:eastAsia="Times New Roman" w:cstheme="minorHAnsi"/>
          <w:sz w:val="24"/>
          <w:szCs w:val="24"/>
        </w:rPr>
        <w:t>Manthorpe</w:t>
      </w:r>
      <w:proofErr w:type="spellEnd"/>
      <w:r w:rsidR="00886DC5" w:rsidRPr="004D6B8B">
        <w:rPr>
          <w:rFonts w:eastAsia="Times New Roman" w:cstheme="minorHAnsi"/>
          <w:sz w:val="24"/>
          <w:szCs w:val="24"/>
        </w:rPr>
        <w:t xml:space="preserve"> et al</w:t>
      </w:r>
      <w:r w:rsidR="00DE01FE" w:rsidRPr="004D6B8B">
        <w:rPr>
          <w:rFonts w:eastAsia="Times New Roman" w:cstheme="minorHAnsi"/>
          <w:sz w:val="24"/>
          <w:szCs w:val="24"/>
        </w:rPr>
        <w:t>.,</w:t>
      </w:r>
      <w:r w:rsidR="00886DC5" w:rsidRPr="004D6B8B">
        <w:rPr>
          <w:rFonts w:eastAsia="Times New Roman" w:cstheme="minorHAnsi"/>
          <w:sz w:val="24"/>
          <w:szCs w:val="24"/>
        </w:rPr>
        <w:t xml:space="preserve"> 2009)</w:t>
      </w:r>
      <w:r w:rsidR="000D15AD" w:rsidRPr="004D6B8B">
        <w:rPr>
          <w:rFonts w:eastAsia="Times New Roman" w:cstheme="minorHAnsi"/>
          <w:sz w:val="24"/>
          <w:szCs w:val="24"/>
        </w:rPr>
        <w:t xml:space="preserve">. </w:t>
      </w:r>
      <w:r w:rsidR="00886DC5" w:rsidRPr="004D6B8B">
        <w:rPr>
          <w:rFonts w:eastAsia="Times New Roman" w:cstheme="minorHAnsi"/>
          <w:sz w:val="24"/>
          <w:szCs w:val="24"/>
        </w:rPr>
        <w:t xml:space="preserve">This </w:t>
      </w:r>
      <w:r w:rsidR="00926C64" w:rsidRPr="004D6B8B">
        <w:rPr>
          <w:rFonts w:eastAsia="Times New Roman" w:cstheme="minorHAnsi"/>
          <w:sz w:val="24"/>
          <w:szCs w:val="24"/>
        </w:rPr>
        <w:t>may</w:t>
      </w:r>
      <w:r w:rsidR="00886DC5" w:rsidRPr="004D6B8B">
        <w:rPr>
          <w:rFonts w:eastAsia="Times New Roman" w:cstheme="minorHAnsi"/>
          <w:sz w:val="24"/>
          <w:szCs w:val="24"/>
        </w:rPr>
        <w:t xml:space="preserve"> have changed over time</w:t>
      </w:r>
      <w:r w:rsidR="009C2EC4" w:rsidRPr="004D6B8B">
        <w:rPr>
          <w:rFonts w:eastAsia="Times New Roman" w:cstheme="minorHAnsi"/>
          <w:sz w:val="24"/>
          <w:szCs w:val="24"/>
        </w:rPr>
        <w:t xml:space="preserve"> and vary across professions</w:t>
      </w:r>
      <w:r w:rsidR="00886DC5" w:rsidRPr="004D6B8B">
        <w:rPr>
          <w:rFonts w:eastAsia="Times New Roman" w:cstheme="minorHAnsi"/>
          <w:sz w:val="24"/>
          <w:szCs w:val="24"/>
        </w:rPr>
        <w:t>; speech and language therapists</w:t>
      </w:r>
      <w:r w:rsidR="002325CF" w:rsidRPr="004D6B8B">
        <w:rPr>
          <w:rFonts w:eastAsia="Times New Roman" w:cstheme="minorHAnsi"/>
          <w:sz w:val="24"/>
          <w:szCs w:val="24"/>
        </w:rPr>
        <w:t xml:space="preserve">, for example, </w:t>
      </w:r>
      <w:r w:rsidR="00886DC5" w:rsidRPr="004D6B8B">
        <w:rPr>
          <w:rFonts w:eastAsia="Times New Roman" w:cstheme="minorHAnsi"/>
          <w:sz w:val="24"/>
          <w:szCs w:val="24"/>
        </w:rPr>
        <w:t>were keen to share their expertise (McCormick et al</w:t>
      </w:r>
      <w:r w:rsidR="00DE01FE" w:rsidRPr="004D6B8B">
        <w:rPr>
          <w:rFonts w:eastAsia="Times New Roman" w:cstheme="minorHAnsi"/>
          <w:sz w:val="24"/>
          <w:szCs w:val="24"/>
        </w:rPr>
        <w:t>.,</w:t>
      </w:r>
      <w:r w:rsidR="00886DC5" w:rsidRPr="004D6B8B">
        <w:rPr>
          <w:rFonts w:eastAsia="Times New Roman" w:cstheme="minorHAnsi"/>
          <w:sz w:val="24"/>
          <w:szCs w:val="24"/>
        </w:rPr>
        <w:t xml:space="preserve"> 2017</w:t>
      </w:r>
      <w:r w:rsidR="008E5DBA" w:rsidRPr="004D6B8B">
        <w:rPr>
          <w:rFonts w:eastAsia="Times New Roman" w:cstheme="minorHAnsi"/>
          <w:sz w:val="24"/>
          <w:szCs w:val="24"/>
        </w:rPr>
        <w:t>)</w:t>
      </w:r>
      <w:r w:rsidR="00DC5BEF" w:rsidRPr="004D6B8B">
        <w:rPr>
          <w:rFonts w:eastAsia="Times New Roman" w:cstheme="minorHAnsi"/>
          <w:sz w:val="24"/>
          <w:szCs w:val="24"/>
        </w:rPr>
        <w:t xml:space="preserve"> and student SLT peer trainers received positive feedback (Bose &amp; </w:t>
      </w:r>
      <w:proofErr w:type="spellStart"/>
      <w:r w:rsidR="00DC5BEF" w:rsidRPr="004D6B8B">
        <w:rPr>
          <w:rFonts w:eastAsia="Times New Roman" w:cstheme="minorHAnsi"/>
          <w:sz w:val="24"/>
          <w:szCs w:val="24"/>
        </w:rPr>
        <w:t>McFiggans</w:t>
      </w:r>
      <w:proofErr w:type="spellEnd"/>
      <w:r w:rsidR="00DC5BEF" w:rsidRPr="004D6B8B">
        <w:rPr>
          <w:rFonts w:eastAsia="Times New Roman" w:cstheme="minorHAnsi"/>
          <w:sz w:val="24"/>
          <w:szCs w:val="24"/>
        </w:rPr>
        <w:t xml:space="preserve"> 2019)</w:t>
      </w:r>
      <w:r w:rsidR="008E5DBA" w:rsidRPr="004D6B8B">
        <w:rPr>
          <w:rFonts w:eastAsia="Times New Roman" w:cstheme="minorHAnsi"/>
          <w:sz w:val="24"/>
          <w:szCs w:val="24"/>
        </w:rPr>
        <w:t>.</w:t>
      </w:r>
      <w:r w:rsidR="002C1503" w:rsidRPr="004D6B8B">
        <w:rPr>
          <w:rFonts w:eastAsia="Times New Roman" w:cstheme="minorHAnsi"/>
          <w:sz w:val="24"/>
          <w:szCs w:val="24"/>
        </w:rPr>
        <w:t xml:space="preserve"> Therefore</w:t>
      </w:r>
      <w:r w:rsidR="009C2EC4" w:rsidRPr="004D6B8B">
        <w:rPr>
          <w:rFonts w:eastAsia="Times New Roman" w:cstheme="minorHAnsi"/>
          <w:sz w:val="24"/>
          <w:szCs w:val="24"/>
        </w:rPr>
        <w:t>,</w:t>
      </w:r>
      <w:r w:rsidR="002C1503" w:rsidRPr="004D6B8B">
        <w:rPr>
          <w:rFonts w:eastAsia="Times New Roman" w:cstheme="minorHAnsi"/>
          <w:sz w:val="24"/>
          <w:szCs w:val="24"/>
        </w:rPr>
        <w:t xml:space="preserve"> it seems that knowledge transfer is dependent not only on competent, confident sharers of knowledge, but also the opportunity for those with knowledge to be heard.</w:t>
      </w:r>
    </w:p>
    <w:p w14:paraId="71BECC2A" w14:textId="7A135B0E" w:rsidR="005A13A0" w:rsidRPr="004D6B8B" w:rsidRDefault="005A13A0" w:rsidP="005A13A0">
      <w:pPr>
        <w:rPr>
          <w:rFonts w:eastAsia="Times New Roman" w:cstheme="minorHAnsi"/>
          <w:b/>
          <w:bCs/>
          <w:sz w:val="24"/>
          <w:szCs w:val="24"/>
        </w:rPr>
      </w:pPr>
    </w:p>
    <w:p w14:paraId="365DA89D" w14:textId="61B5251B" w:rsidR="005A13A0" w:rsidRPr="004D6B8B" w:rsidRDefault="005A13A0" w:rsidP="005A13A0">
      <w:pPr>
        <w:rPr>
          <w:rFonts w:eastAsia="Times New Roman" w:cstheme="minorHAnsi"/>
          <w:b/>
          <w:bCs/>
          <w:i/>
          <w:sz w:val="24"/>
          <w:szCs w:val="24"/>
        </w:rPr>
      </w:pPr>
      <w:r w:rsidRPr="004D6B8B">
        <w:rPr>
          <w:rFonts w:eastAsia="Times New Roman" w:cstheme="minorHAnsi"/>
          <w:b/>
          <w:bCs/>
          <w:i/>
          <w:sz w:val="24"/>
          <w:szCs w:val="24"/>
        </w:rPr>
        <w:t>Theme 2: Problems in changing practice post-training</w:t>
      </w:r>
    </w:p>
    <w:p w14:paraId="421A5611" w14:textId="3FC4AE37" w:rsidR="005A13A0" w:rsidRPr="004D6B8B" w:rsidRDefault="005A13A0" w:rsidP="005A13A0">
      <w:pPr>
        <w:rPr>
          <w:rFonts w:eastAsia="Times New Roman" w:cstheme="minorHAnsi"/>
          <w:sz w:val="24"/>
          <w:szCs w:val="24"/>
        </w:rPr>
      </w:pPr>
      <w:r w:rsidRPr="004D6B8B">
        <w:rPr>
          <w:rFonts w:eastAsia="Times New Roman" w:cstheme="minorHAnsi"/>
          <w:sz w:val="24"/>
          <w:szCs w:val="24"/>
        </w:rPr>
        <w:t>Challenges in changing and sustaining change in practice were widely identified (Lee-Foster</w:t>
      </w:r>
      <w:r w:rsidR="00DE01FE" w:rsidRPr="004D6B8B">
        <w:rPr>
          <w:rFonts w:eastAsia="Times New Roman" w:cstheme="minorHAnsi"/>
          <w:sz w:val="24"/>
          <w:szCs w:val="24"/>
        </w:rPr>
        <w:t>,</w:t>
      </w:r>
      <w:r w:rsidRPr="004D6B8B">
        <w:rPr>
          <w:rFonts w:eastAsia="Times New Roman" w:cstheme="minorHAnsi"/>
          <w:sz w:val="24"/>
          <w:szCs w:val="24"/>
        </w:rPr>
        <w:t xml:space="preserve"> 2010</w:t>
      </w:r>
      <w:r w:rsidR="00DE01FE" w:rsidRPr="004D6B8B">
        <w:rPr>
          <w:rFonts w:eastAsia="Times New Roman" w:cstheme="minorHAnsi"/>
          <w:sz w:val="24"/>
          <w:szCs w:val="24"/>
        </w:rPr>
        <w:t>;</w:t>
      </w:r>
      <w:r w:rsidRPr="004D6B8B">
        <w:rPr>
          <w:rFonts w:eastAsia="Times New Roman" w:cstheme="minorHAnsi"/>
          <w:sz w:val="24"/>
          <w:szCs w:val="24"/>
        </w:rPr>
        <w:t xml:space="preserve"> Schofield et al</w:t>
      </w:r>
      <w:r w:rsidR="00DE01FE" w:rsidRPr="004D6B8B">
        <w:rPr>
          <w:rFonts w:eastAsia="Times New Roman" w:cstheme="minorHAnsi"/>
          <w:sz w:val="24"/>
          <w:szCs w:val="24"/>
        </w:rPr>
        <w:t>.,</w:t>
      </w:r>
      <w:r w:rsidRPr="004D6B8B">
        <w:rPr>
          <w:rFonts w:eastAsia="Times New Roman" w:cstheme="minorHAnsi"/>
          <w:sz w:val="24"/>
          <w:szCs w:val="24"/>
        </w:rPr>
        <w:t xml:space="preserve"> 2012</w:t>
      </w:r>
      <w:r w:rsidR="00DE01FE" w:rsidRPr="004D6B8B">
        <w:rPr>
          <w:rFonts w:eastAsia="Times New Roman" w:cstheme="minorHAnsi"/>
          <w:sz w:val="24"/>
          <w:szCs w:val="24"/>
        </w:rPr>
        <w:t>;</w:t>
      </w:r>
      <w:r w:rsidR="00952B31" w:rsidRPr="004D6B8B">
        <w:rPr>
          <w:rFonts w:eastAsia="Times New Roman" w:cstheme="minorHAnsi"/>
          <w:sz w:val="24"/>
          <w:szCs w:val="24"/>
        </w:rPr>
        <w:t xml:space="preserve"> </w:t>
      </w:r>
      <w:proofErr w:type="spellStart"/>
      <w:r w:rsidR="00952B31" w:rsidRPr="004D6B8B">
        <w:rPr>
          <w:rFonts w:eastAsia="Times New Roman" w:cstheme="minorHAnsi"/>
          <w:sz w:val="24"/>
          <w:szCs w:val="24"/>
        </w:rPr>
        <w:t>Hisliff</w:t>
      </w:r>
      <w:proofErr w:type="spellEnd"/>
      <w:r w:rsidR="00952B31" w:rsidRPr="004D6B8B">
        <w:rPr>
          <w:rFonts w:eastAsia="Times New Roman" w:cstheme="minorHAnsi"/>
          <w:sz w:val="24"/>
          <w:szCs w:val="24"/>
        </w:rPr>
        <w:t>-Smith et al</w:t>
      </w:r>
      <w:r w:rsidR="00DE01FE" w:rsidRPr="004D6B8B">
        <w:rPr>
          <w:rFonts w:eastAsia="Times New Roman" w:cstheme="minorHAnsi"/>
          <w:sz w:val="24"/>
          <w:szCs w:val="24"/>
        </w:rPr>
        <w:t>.,</w:t>
      </w:r>
      <w:r w:rsidR="00952B31" w:rsidRPr="004D6B8B">
        <w:rPr>
          <w:rFonts w:eastAsia="Times New Roman" w:cstheme="minorHAnsi"/>
          <w:sz w:val="24"/>
          <w:szCs w:val="24"/>
        </w:rPr>
        <w:t xml:space="preserve"> 2015</w:t>
      </w:r>
      <w:r w:rsidRPr="004D6B8B">
        <w:rPr>
          <w:rFonts w:eastAsia="Times New Roman" w:cstheme="minorHAnsi"/>
          <w:sz w:val="24"/>
          <w:szCs w:val="24"/>
        </w:rPr>
        <w:t>) and some considered mechanism</w:t>
      </w:r>
      <w:r w:rsidR="008E5DBA" w:rsidRPr="004D6B8B">
        <w:rPr>
          <w:rFonts w:eastAsia="Times New Roman" w:cstheme="minorHAnsi"/>
          <w:sz w:val="24"/>
          <w:szCs w:val="24"/>
        </w:rPr>
        <w:t>s</w:t>
      </w:r>
      <w:r w:rsidRPr="004D6B8B">
        <w:rPr>
          <w:rFonts w:eastAsia="Times New Roman" w:cstheme="minorHAnsi"/>
          <w:sz w:val="24"/>
          <w:szCs w:val="24"/>
        </w:rPr>
        <w:t xml:space="preserve"> for knowledge transfer. </w:t>
      </w:r>
      <w:r w:rsidR="00A11C01" w:rsidRPr="004D6B8B">
        <w:rPr>
          <w:rFonts w:eastAsia="Times New Roman" w:cstheme="minorHAnsi"/>
          <w:sz w:val="24"/>
          <w:szCs w:val="24"/>
        </w:rPr>
        <w:t xml:space="preserve">Two case studies demonstrated how training with follow-up activities designed to promote application in practice can be effective. </w:t>
      </w:r>
      <w:r w:rsidRPr="004D6B8B">
        <w:rPr>
          <w:rFonts w:eastAsia="Times New Roman" w:cstheme="minorHAnsi"/>
          <w:sz w:val="24"/>
          <w:szCs w:val="24"/>
        </w:rPr>
        <w:t>Pike et al</w:t>
      </w:r>
      <w:r w:rsidR="00DE01FE" w:rsidRPr="004D6B8B">
        <w:rPr>
          <w:rFonts w:eastAsia="Times New Roman" w:cstheme="minorHAnsi"/>
          <w:sz w:val="24"/>
          <w:szCs w:val="24"/>
        </w:rPr>
        <w:t>.</w:t>
      </w:r>
      <w:r w:rsidRPr="004D6B8B">
        <w:rPr>
          <w:rFonts w:eastAsia="Times New Roman" w:cstheme="minorHAnsi"/>
          <w:sz w:val="24"/>
          <w:szCs w:val="24"/>
        </w:rPr>
        <w:t xml:space="preserve"> (2010) identified difficulties with transferring safeguarding</w:t>
      </w:r>
      <w:r w:rsidR="00E66426" w:rsidRPr="004D6B8B">
        <w:rPr>
          <w:rFonts w:eastAsia="Times New Roman" w:cstheme="minorHAnsi"/>
          <w:sz w:val="24"/>
          <w:szCs w:val="24"/>
        </w:rPr>
        <w:t xml:space="preserve"> (procedures for the protection of people considered to be at risk)</w:t>
      </w:r>
      <w:r w:rsidRPr="004D6B8B">
        <w:rPr>
          <w:rFonts w:eastAsia="Times New Roman" w:cstheme="minorHAnsi"/>
          <w:sz w:val="24"/>
          <w:szCs w:val="24"/>
        </w:rPr>
        <w:t xml:space="preserve"> learning into practice pre-MCA and applied anticipatory strategies when planning </w:t>
      </w:r>
      <w:r w:rsidRPr="004D6B8B">
        <w:rPr>
          <w:rFonts w:eastAsia="Times New Roman" w:cstheme="minorHAnsi"/>
          <w:sz w:val="24"/>
          <w:szCs w:val="24"/>
        </w:rPr>
        <w:lastRenderedPageBreak/>
        <w:t xml:space="preserve">MCA training.  They highlighted concerns about the need for a facilitated experiential approach involving challenge of existing values and beliefs to promote reflection and enhance transfer of learning to practice. They integrated MCA training with safeguarding and human rights training to improve transferability and relevance for staff. Further steps to promote knowledge transfer included explicitly addressing the issue during training and encouraging completion of learning logs. </w:t>
      </w:r>
      <w:r w:rsidR="00E66426" w:rsidRPr="004D6B8B">
        <w:rPr>
          <w:rFonts w:eastAsia="Times New Roman" w:cstheme="minorHAnsi"/>
          <w:sz w:val="24"/>
          <w:szCs w:val="24"/>
        </w:rPr>
        <w:t xml:space="preserve">These were designed to promote commitment to practice change and to focus conversations with supervisors. </w:t>
      </w:r>
      <w:r w:rsidR="00780522" w:rsidRPr="004D6B8B">
        <w:rPr>
          <w:rFonts w:eastAsia="Times New Roman" w:cstheme="minorHAnsi"/>
          <w:sz w:val="24"/>
          <w:szCs w:val="24"/>
        </w:rPr>
        <w:t>Pike et al</w:t>
      </w:r>
      <w:r w:rsidR="00DE01FE" w:rsidRPr="004D6B8B">
        <w:rPr>
          <w:rFonts w:eastAsia="Times New Roman" w:cstheme="minorHAnsi"/>
          <w:sz w:val="24"/>
          <w:szCs w:val="24"/>
        </w:rPr>
        <w:t>.</w:t>
      </w:r>
      <w:r w:rsidR="00780522" w:rsidRPr="004D6B8B">
        <w:rPr>
          <w:rFonts w:eastAsia="Times New Roman" w:cstheme="minorHAnsi"/>
          <w:sz w:val="24"/>
          <w:szCs w:val="24"/>
        </w:rPr>
        <w:t xml:space="preserve"> (2010)</w:t>
      </w:r>
      <w:r w:rsidRPr="004D6B8B">
        <w:rPr>
          <w:rFonts w:eastAsia="Times New Roman" w:cstheme="minorHAnsi"/>
          <w:sz w:val="24"/>
          <w:szCs w:val="24"/>
        </w:rPr>
        <w:t xml:space="preserve"> outlined the evidence, values and policy rationale behind a training approach yet to be evaluated. Learning transfer was successfully achieved using an assignment set post-training, together with a ‘tool-kit’ (Lee-Foster, 2010). </w:t>
      </w:r>
      <w:r w:rsidR="00A11C01" w:rsidRPr="004D6B8B">
        <w:rPr>
          <w:rFonts w:eastAsia="Times New Roman" w:cstheme="minorHAnsi"/>
          <w:sz w:val="24"/>
          <w:szCs w:val="24"/>
        </w:rPr>
        <w:t xml:space="preserve">These accounts offered detailed information on training design and suggested that training should be viewed as part of a process, embedded into </w:t>
      </w:r>
      <w:proofErr w:type="spellStart"/>
      <w:r w:rsidR="00A11C01" w:rsidRPr="004D6B8B">
        <w:rPr>
          <w:rFonts w:eastAsia="Times New Roman" w:cstheme="minorHAnsi"/>
          <w:sz w:val="24"/>
          <w:szCs w:val="24"/>
        </w:rPr>
        <w:t>organisations</w:t>
      </w:r>
      <w:proofErr w:type="spellEnd"/>
      <w:r w:rsidR="00A11C01" w:rsidRPr="004D6B8B">
        <w:rPr>
          <w:rFonts w:eastAsia="Times New Roman" w:cstheme="minorHAnsi"/>
          <w:sz w:val="24"/>
          <w:szCs w:val="24"/>
        </w:rPr>
        <w:t xml:space="preserve">. While outcomes appeared positive, the </w:t>
      </w:r>
      <w:r w:rsidR="00C410E9" w:rsidRPr="004D6B8B">
        <w:rPr>
          <w:rFonts w:eastAsia="Times New Roman" w:cstheme="minorHAnsi"/>
          <w:sz w:val="24"/>
          <w:szCs w:val="24"/>
        </w:rPr>
        <w:t xml:space="preserve">information on research methods was </w:t>
      </w:r>
      <w:r w:rsidR="00B160AC" w:rsidRPr="004D6B8B">
        <w:rPr>
          <w:rFonts w:eastAsia="Times New Roman" w:cstheme="minorHAnsi"/>
          <w:sz w:val="24"/>
          <w:szCs w:val="24"/>
        </w:rPr>
        <w:t xml:space="preserve">limited </w:t>
      </w:r>
      <w:r w:rsidR="00A11C01" w:rsidRPr="004D6B8B">
        <w:rPr>
          <w:rFonts w:eastAsia="Times New Roman" w:cstheme="minorHAnsi"/>
          <w:sz w:val="24"/>
          <w:szCs w:val="24"/>
        </w:rPr>
        <w:t xml:space="preserve">and there is potential for bias in researchers </w:t>
      </w:r>
      <w:r w:rsidR="00780522" w:rsidRPr="004D6B8B">
        <w:rPr>
          <w:rFonts w:eastAsia="Times New Roman" w:cstheme="minorHAnsi"/>
          <w:sz w:val="24"/>
          <w:szCs w:val="24"/>
        </w:rPr>
        <w:t>evaluating</w:t>
      </w:r>
      <w:r w:rsidR="00A11C01" w:rsidRPr="004D6B8B">
        <w:rPr>
          <w:rFonts w:eastAsia="Times New Roman" w:cstheme="minorHAnsi"/>
          <w:sz w:val="24"/>
          <w:szCs w:val="24"/>
        </w:rPr>
        <w:t xml:space="preserve"> the work of their own teams.</w:t>
      </w:r>
    </w:p>
    <w:p w14:paraId="0764AB83" w14:textId="04D83445" w:rsidR="005A13A0" w:rsidRPr="004D6B8B" w:rsidRDefault="005A13A0" w:rsidP="005A13A0">
      <w:pPr>
        <w:rPr>
          <w:rFonts w:eastAsia="Times New Roman" w:cstheme="minorHAnsi"/>
          <w:sz w:val="24"/>
          <w:szCs w:val="24"/>
        </w:rPr>
      </w:pPr>
      <w:r w:rsidRPr="004D6B8B">
        <w:rPr>
          <w:rFonts w:eastAsia="Times New Roman" w:cstheme="minorHAnsi"/>
          <w:sz w:val="24"/>
          <w:szCs w:val="24"/>
        </w:rPr>
        <w:t>Noting the tentative and perhaps temporary nature of improvements in knowledge and confidence, many authors included recommendations for further strategies aimed towards ensuring application of learning, including clinical supervision (Schofield et al</w:t>
      </w:r>
      <w:r w:rsidR="00DE01FE" w:rsidRPr="004D6B8B">
        <w:rPr>
          <w:rFonts w:eastAsia="Times New Roman" w:cstheme="minorHAnsi"/>
          <w:sz w:val="24"/>
          <w:szCs w:val="24"/>
        </w:rPr>
        <w:t>.,</w:t>
      </w:r>
      <w:r w:rsidRPr="004D6B8B">
        <w:rPr>
          <w:rFonts w:eastAsia="Times New Roman" w:cstheme="minorHAnsi"/>
          <w:sz w:val="24"/>
          <w:szCs w:val="24"/>
        </w:rPr>
        <w:t xml:space="preserve"> 2012</w:t>
      </w:r>
      <w:r w:rsidR="00DE01FE" w:rsidRPr="004D6B8B">
        <w:rPr>
          <w:rFonts w:eastAsia="Times New Roman" w:cstheme="minorHAnsi"/>
          <w:sz w:val="24"/>
          <w:szCs w:val="24"/>
        </w:rPr>
        <w:t>;</w:t>
      </w:r>
      <w:r w:rsidRPr="004D6B8B">
        <w:rPr>
          <w:rFonts w:eastAsia="Times New Roman" w:cstheme="minorHAnsi"/>
          <w:sz w:val="24"/>
          <w:szCs w:val="24"/>
        </w:rPr>
        <w:t xml:space="preserve"> Gough </w:t>
      </w:r>
      <w:r w:rsidR="00DE01FE" w:rsidRPr="004D6B8B">
        <w:rPr>
          <w:rFonts w:eastAsia="Times New Roman" w:cstheme="minorHAnsi"/>
          <w:sz w:val="24"/>
          <w:szCs w:val="24"/>
        </w:rPr>
        <w:t>&amp;</w:t>
      </w:r>
      <w:r w:rsidRPr="004D6B8B">
        <w:rPr>
          <w:rFonts w:eastAsia="Times New Roman" w:cstheme="minorHAnsi"/>
          <w:sz w:val="24"/>
          <w:szCs w:val="24"/>
        </w:rPr>
        <w:t xml:space="preserve"> </w:t>
      </w:r>
      <w:proofErr w:type="spellStart"/>
      <w:r w:rsidRPr="004D6B8B">
        <w:rPr>
          <w:rFonts w:eastAsia="Times New Roman" w:cstheme="minorHAnsi"/>
          <w:sz w:val="24"/>
          <w:szCs w:val="24"/>
        </w:rPr>
        <w:t>Kerlin</w:t>
      </w:r>
      <w:proofErr w:type="spellEnd"/>
      <w:r w:rsidR="00DE01FE" w:rsidRPr="004D6B8B">
        <w:rPr>
          <w:rFonts w:eastAsia="Times New Roman" w:cstheme="minorHAnsi"/>
          <w:sz w:val="24"/>
          <w:szCs w:val="24"/>
        </w:rPr>
        <w:t>,</w:t>
      </w:r>
      <w:r w:rsidRPr="004D6B8B">
        <w:rPr>
          <w:rFonts w:eastAsia="Times New Roman" w:cstheme="minorHAnsi"/>
          <w:sz w:val="24"/>
          <w:szCs w:val="24"/>
        </w:rPr>
        <w:t xml:space="preserve"> 2012)</w:t>
      </w:r>
      <w:r w:rsidR="009B0A82" w:rsidRPr="004D6B8B">
        <w:rPr>
          <w:rFonts w:eastAsia="Times New Roman" w:cstheme="minorHAnsi"/>
          <w:sz w:val="24"/>
          <w:szCs w:val="24"/>
        </w:rPr>
        <w:t>,</w:t>
      </w:r>
      <w:r w:rsidRPr="004D6B8B">
        <w:rPr>
          <w:rFonts w:eastAsia="Times New Roman" w:cstheme="minorHAnsi"/>
          <w:sz w:val="24"/>
          <w:szCs w:val="24"/>
        </w:rPr>
        <w:t xml:space="preserve"> supported follow-up with managers (Gough</w:t>
      </w:r>
      <w:r w:rsidR="00DE01FE" w:rsidRPr="004D6B8B">
        <w:rPr>
          <w:rFonts w:eastAsia="Times New Roman" w:cstheme="minorHAnsi"/>
          <w:sz w:val="24"/>
          <w:szCs w:val="24"/>
        </w:rPr>
        <w:t xml:space="preserve"> &amp;</w:t>
      </w:r>
      <w:r w:rsidRPr="004D6B8B">
        <w:rPr>
          <w:rFonts w:eastAsia="Times New Roman" w:cstheme="minorHAnsi"/>
          <w:sz w:val="24"/>
          <w:szCs w:val="24"/>
        </w:rPr>
        <w:t xml:space="preserve"> </w:t>
      </w:r>
      <w:proofErr w:type="spellStart"/>
      <w:r w:rsidRPr="004D6B8B">
        <w:rPr>
          <w:rFonts w:eastAsia="Times New Roman" w:cstheme="minorHAnsi"/>
          <w:sz w:val="24"/>
          <w:szCs w:val="24"/>
        </w:rPr>
        <w:t>Kerlin</w:t>
      </w:r>
      <w:proofErr w:type="spellEnd"/>
      <w:r w:rsidR="00DE01FE" w:rsidRPr="004D6B8B">
        <w:rPr>
          <w:rFonts w:eastAsia="Times New Roman" w:cstheme="minorHAnsi"/>
          <w:sz w:val="24"/>
          <w:szCs w:val="24"/>
        </w:rPr>
        <w:t>,</w:t>
      </w:r>
      <w:r w:rsidRPr="004D6B8B">
        <w:rPr>
          <w:rFonts w:eastAsia="Times New Roman" w:cstheme="minorHAnsi"/>
          <w:sz w:val="24"/>
          <w:szCs w:val="24"/>
        </w:rPr>
        <w:t xml:space="preserve"> 2012), in-house experts or ‘champions’ to provide MCA guidance in practice (</w:t>
      </w:r>
      <w:proofErr w:type="spellStart"/>
      <w:r w:rsidRPr="004D6B8B">
        <w:rPr>
          <w:rFonts w:eastAsia="Times New Roman" w:cstheme="minorHAnsi"/>
          <w:sz w:val="24"/>
          <w:szCs w:val="24"/>
        </w:rPr>
        <w:t>Willner</w:t>
      </w:r>
      <w:proofErr w:type="spellEnd"/>
      <w:r w:rsidRPr="004D6B8B">
        <w:rPr>
          <w:rFonts w:eastAsia="Times New Roman" w:cstheme="minorHAnsi"/>
          <w:sz w:val="24"/>
          <w:szCs w:val="24"/>
        </w:rPr>
        <w:t xml:space="preserve"> et al</w:t>
      </w:r>
      <w:r w:rsidR="00DE01FE" w:rsidRPr="004D6B8B">
        <w:rPr>
          <w:rFonts w:eastAsia="Times New Roman" w:cstheme="minorHAnsi"/>
          <w:sz w:val="24"/>
          <w:szCs w:val="24"/>
        </w:rPr>
        <w:t>.,</w:t>
      </w:r>
      <w:r w:rsidRPr="004D6B8B">
        <w:rPr>
          <w:rFonts w:eastAsia="Times New Roman" w:cstheme="minorHAnsi"/>
          <w:sz w:val="24"/>
          <w:szCs w:val="24"/>
        </w:rPr>
        <w:t xml:space="preserve"> 2013), team meetings (Gough </w:t>
      </w:r>
      <w:r w:rsidR="00DE01FE" w:rsidRPr="004D6B8B">
        <w:rPr>
          <w:rFonts w:eastAsia="Times New Roman" w:cstheme="minorHAnsi"/>
          <w:sz w:val="24"/>
          <w:szCs w:val="24"/>
        </w:rPr>
        <w:t>&amp;</w:t>
      </w:r>
      <w:r w:rsidRPr="004D6B8B">
        <w:rPr>
          <w:rFonts w:eastAsia="Times New Roman" w:cstheme="minorHAnsi"/>
          <w:sz w:val="24"/>
          <w:szCs w:val="24"/>
        </w:rPr>
        <w:t xml:space="preserve"> </w:t>
      </w:r>
      <w:proofErr w:type="spellStart"/>
      <w:r w:rsidRPr="004D6B8B">
        <w:rPr>
          <w:rFonts w:eastAsia="Times New Roman" w:cstheme="minorHAnsi"/>
          <w:sz w:val="24"/>
          <w:szCs w:val="24"/>
        </w:rPr>
        <w:t>Kerlin</w:t>
      </w:r>
      <w:proofErr w:type="spellEnd"/>
      <w:r w:rsidR="00DE01FE" w:rsidRPr="004D6B8B">
        <w:rPr>
          <w:rFonts w:eastAsia="Times New Roman" w:cstheme="minorHAnsi"/>
          <w:sz w:val="24"/>
          <w:szCs w:val="24"/>
        </w:rPr>
        <w:t>,</w:t>
      </w:r>
      <w:r w:rsidRPr="004D6B8B">
        <w:rPr>
          <w:rFonts w:eastAsia="Times New Roman" w:cstheme="minorHAnsi"/>
          <w:sz w:val="24"/>
          <w:szCs w:val="24"/>
        </w:rPr>
        <w:t xml:space="preserve"> 2012) and more training (</w:t>
      </w:r>
      <w:proofErr w:type="spellStart"/>
      <w:r w:rsidRPr="004D6B8B">
        <w:rPr>
          <w:rFonts w:eastAsia="Times New Roman" w:cstheme="minorHAnsi"/>
          <w:sz w:val="24"/>
          <w:szCs w:val="24"/>
        </w:rPr>
        <w:t>Phair</w:t>
      </w:r>
      <w:proofErr w:type="spellEnd"/>
      <w:r w:rsidRPr="004D6B8B">
        <w:rPr>
          <w:rFonts w:eastAsia="Times New Roman" w:cstheme="minorHAnsi"/>
          <w:sz w:val="24"/>
          <w:szCs w:val="24"/>
        </w:rPr>
        <w:t xml:space="preserve"> </w:t>
      </w:r>
      <w:r w:rsidR="00DE01FE" w:rsidRPr="004D6B8B">
        <w:rPr>
          <w:rFonts w:eastAsia="Times New Roman" w:cstheme="minorHAnsi"/>
          <w:sz w:val="24"/>
          <w:szCs w:val="24"/>
        </w:rPr>
        <w:t>&amp;</w:t>
      </w:r>
      <w:r w:rsidRPr="004D6B8B">
        <w:rPr>
          <w:rFonts w:eastAsia="Times New Roman" w:cstheme="minorHAnsi"/>
          <w:sz w:val="24"/>
          <w:szCs w:val="24"/>
        </w:rPr>
        <w:t xml:space="preserve"> </w:t>
      </w:r>
      <w:proofErr w:type="spellStart"/>
      <w:r w:rsidRPr="004D6B8B">
        <w:rPr>
          <w:rFonts w:eastAsia="Times New Roman" w:cstheme="minorHAnsi"/>
          <w:sz w:val="24"/>
          <w:szCs w:val="24"/>
        </w:rPr>
        <w:t>Manthorpe</w:t>
      </w:r>
      <w:proofErr w:type="spellEnd"/>
      <w:r w:rsidR="00DE01FE" w:rsidRPr="004D6B8B">
        <w:rPr>
          <w:rFonts w:eastAsia="Times New Roman" w:cstheme="minorHAnsi"/>
          <w:sz w:val="24"/>
          <w:szCs w:val="24"/>
        </w:rPr>
        <w:t>,</w:t>
      </w:r>
      <w:r w:rsidRPr="004D6B8B">
        <w:rPr>
          <w:rFonts w:eastAsia="Times New Roman" w:cstheme="minorHAnsi"/>
          <w:sz w:val="24"/>
          <w:szCs w:val="24"/>
        </w:rPr>
        <w:t xml:space="preserve"> 2012</w:t>
      </w:r>
      <w:r w:rsidR="00DE01FE" w:rsidRPr="004D6B8B">
        <w:rPr>
          <w:rFonts w:eastAsia="Times New Roman" w:cstheme="minorHAnsi"/>
          <w:sz w:val="24"/>
          <w:szCs w:val="24"/>
        </w:rPr>
        <w:t>;</w:t>
      </w:r>
      <w:r w:rsidRPr="004D6B8B">
        <w:rPr>
          <w:rFonts w:eastAsia="Times New Roman" w:cstheme="minorHAnsi"/>
          <w:sz w:val="24"/>
          <w:szCs w:val="24"/>
        </w:rPr>
        <w:t xml:space="preserve"> Marshall </w:t>
      </w:r>
      <w:r w:rsidR="00DE01FE" w:rsidRPr="004D6B8B">
        <w:rPr>
          <w:rFonts w:eastAsia="Times New Roman" w:cstheme="minorHAnsi"/>
          <w:sz w:val="24"/>
          <w:szCs w:val="24"/>
        </w:rPr>
        <w:t>&amp;</w:t>
      </w:r>
      <w:r w:rsidRPr="004D6B8B">
        <w:rPr>
          <w:rFonts w:eastAsia="Times New Roman" w:cstheme="minorHAnsi"/>
          <w:sz w:val="24"/>
          <w:szCs w:val="24"/>
        </w:rPr>
        <w:t xml:space="preserve"> Sprung</w:t>
      </w:r>
      <w:r w:rsidR="00DE01FE" w:rsidRPr="004D6B8B">
        <w:rPr>
          <w:rFonts w:eastAsia="Times New Roman" w:cstheme="minorHAnsi"/>
          <w:sz w:val="24"/>
          <w:szCs w:val="24"/>
        </w:rPr>
        <w:t>,</w:t>
      </w:r>
      <w:r w:rsidRPr="004D6B8B">
        <w:rPr>
          <w:rFonts w:eastAsia="Times New Roman" w:cstheme="minorHAnsi"/>
          <w:sz w:val="24"/>
          <w:szCs w:val="24"/>
        </w:rPr>
        <w:t xml:space="preserve"> 2016b). </w:t>
      </w:r>
      <w:bookmarkStart w:id="6" w:name="_Hlk15389103"/>
      <w:proofErr w:type="spellStart"/>
      <w:r w:rsidRPr="004D6B8B">
        <w:rPr>
          <w:rFonts w:eastAsia="Times New Roman" w:cstheme="minorHAnsi"/>
          <w:sz w:val="24"/>
          <w:szCs w:val="24"/>
        </w:rPr>
        <w:t>Phair</w:t>
      </w:r>
      <w:proofErr w:type="spellEnd"/>
      <w:r w:rsidRPr="004D6B8B">
        <w:rPr>
          <w:rFonts w:eastAsia="Times New Roman" w:cstheme="minorHAnsi"/>
          <w:sz w:val="24"/>
          <w:szCs w:val="24"/>
        </w:rPr>
        <w:t xml:space="preserve"> </w:t>
      </w:r>
      <w:r w:rsidR="00DE01FE" w:rsidRPr="004D6B8B">
        <w:rPr>
          <w:rFonts w:eastAsia="Times New Roman" w:cstheme="minorHAnsi"/>
          <w:sz w:val="24"/>
          <w:szCs w:val="24"/>
        </w:rPr>
        <w:t>&amp;</w:t>
      </w:r>
      <w:r w:rsidRPr="004D6B8B">
        <w:rPr>
          <w:rFonts w:eastAsia="Times New Roman" w:cstheme="minorHAnsi"/>
          <w:sz w:val="24"/>
          <w:szCs w:val="24"/>
        </w:rPr>
        <w:t xml:space="preserve"> </w:t>
      </w:r>
      <w:proofErr w:type="spellStart"/>
      <w:r w:rsidRPr="004D6B8B">
        <w:rPr>
          <w:rFonts w:eastAsia="Times New Roman" w:cstheme="minorHAnsi"/>
          <w:sz w:val="24"/>
          <w:szCs w:val="24"/>
        </w:rPr>
        <w:t>Manthorpe</w:t>
      </w:r>
      <w:proofErr w:type="spellEnd"/>
      <w:r w:rsidRPr="004D6B8B">
        <w:rPr>
          <w:rFonts w:eastAsia="Times New Roman" w:cstheme="minorHAnsi"/>
          <w:sz w:val="24"/>
          <w:szCs w:val="24"/>
        </w:rPr>
        <w:t xml:space="preserve"> (2012)</w:t>
      </w:r>
      <w:bookmarkEnd w:id="6"/>
      <w:r w:rsidR="00780522" w:rsidRPr="004D6B8B">
        <w:rPr>
          <w:rFonts w:eastAsia="Times New Roman" w:cstheme="minorHAnsi"/>
          <w:sz w:val="24"/>
          <w:szCs w:val="24"/>
        </w:rPr>
        <w:t xml:space="preserve"> </w:t>
      </w:r>
      <w:r w:rsidRPr="004D6B8B">
        <w:rPr>
          <w:rFonts w:eastAsia="Times New Roman" w:cstheme="minorHAnsi"/>
          <w:sz w:val="24"/>
          <w:szCs w:val="24"/>
        </w:rPr>
        <w:t xml:space="preserve">suggested that MCA training should be combined with training in </w:t>
      </w:r>
      <w:r w:rsidR="00AE530C" w:rsidRPr="004D6B8B">
        <w:rPr>
          <w:rFonts w:eastAsia="Times New Roman" w:cstheme="minorHAnsi"/>
          <w:sz w:val="24"/>
          <w:szCs w:val="24"/>
        </w:rPr>
        <w:t xml:space="preserve">allied subjects such as </w:t>
      </w:r>
      <w:r w:rsidRPr="004D6B8B">
        <w:rPr>
          <w:rFonts w:eastAsia="Times New Roman" w:cstheme="minorHAnsi"/>
          <w:sz w:val="24"/>
          <w:szCs w:val="24"/>
        </w:rPr>
        <w:t xml:space="preserve">communication skills, consent and DNAR (Do not attempt resuscitation) training and be more relevant to clinicians’ </w:t>
      </w:r>
      <w:proofErr w:type="spellStart"/>
      <w:r w:rsidRPr="004D6B8B">
        <w:rPr>
          <w:rFonts w:eastAsia="Times New Roman" w:cstheme="minorHAnsi"/>
          <w:sz w:val="24"/>
          <w:szCs w:val="24"/>
        </w:rPr>
        <w:t>specialities</w:t>
      </w:r>
      <w:proofErr w:type="spellEnd"/>
      <w:r w:rsidRPr="004D6B8B">
        <w:rPr>
          <w:rFonts w:eastAsia="Times New Roman" w:cstheme="minorHAnsi"/>
          <w:sz w:val="24"/>
          <w:szCs w:val="24"/>
        </w:rPr>
        <w:t xml:space="preserve">. </w:t>
      </w:r>
      <w:r w:rsidR="00994BAC" w:rsidRPr="004D6B8B">
        <w:rPr>
          <w:rFonts w:eastAsia="Times New Roman" w:cstheme="minorHAnsi"/>
          <w:sz w:val="24"/>
          <w:szCs w:val="24"/>
        </w:rPr>
        <w:t xml:space="preserve">Consent and DNAR training relate to MCA training in that all promote autonomy and require respect of service users’ decisions, some of which may be perceived as unwise. </w:t>
      </w:r>
      <w:proofErr w:type="spellStart"/>
      <w:r w:rsidR="00994BAC" w:rsidRPr="004D6B8B">
        <w:rPr>
          <w:rFonts w:eastAsia="Times New Roman" w:cstheme="minorHAnsi"/>
          <w:sz w:val="24"/>
          <w:szCs w:val="24"/>
        </w:rPr>
        <w:t>Phair</w:t>
      </w:r>
      <w:proofErr w:type="spellEnd"/>
      <w:r w:rsidR="00994BAC" w:rsidRPr="004D6B8B">
        <w:rPr>
          <w:rFonts w:eastAsia="Times New Roman" w:cstheme="minorHAnsi"/>
          <w:sz w:val="24"/>
          <w:szCs w:val="24"/>
        </w:rPr>
        <w:t xml:space="preserve"> &amp; </w:t>
      </w:r>
      <w:proofErr w:type="spellStart"/>
      <w:r w:rsidR="00994BAC" w:rsidRPr="004D6B8B">
        <w:rPr>
          <w:rFonts w:eastAsia="Times New Roman" w:cstheme="minorHAnsi"/>
          <w:sz w:val="24"/>
          <w:szCs w:val="24"/>
        </w:rPr>
        <w:t>Manthorpe</w:t>
      </w:r>
      <w:proofErr w:type="spellEnd"/>
      <w:r w:rsidR="00994BAC" w:rsidRPr="004D6B8B">
        <w:rPr>
          <w:rFonts w:eastAsia="Times New Roman" w:cstheme="minorHAnsi"/>
          <w:sz w:val="24"/>
          <w:szCs w:val="24"/>
        </w:rPr>
        <w:t xml:space="preserve"> (2012)</w:t>
      </w:r>
      <w:r w:rsidRPr="004D6B8B">
        <w:rPr>
          <w:rFonts w:eastAsia="Times New Roman" w:cstheme="minorHAnsi"/>
          <w:sz w:val="24"/>
          <w:szCs w:val="24"/>
        </w:rPr>
        <w:t xml:space="preserve"> recommended promoting social media and internet resources for learning and that staff should have annual updates. </w:t>
      </w:r>
      <w:r w:rsidR="00780522" w:rsidRPr="004D6B8B">
        <w:rPr>
          <w:rFonts w:eastAsia="Times New Roman" w:cstheme="minorHAnsi"/>
          <w:sz w:val="24"/>
          <w:szCs w:val="24"/>
        </w:rPr>
        <w:t xml:space="preserve"> </w:t>
      </w:r>
      <w:proofErr w:type="spellStart"/>
      <w:r w:rsidR="00780522" w:rsidRPr="004D6B8B">
        <w:rPr>
          <w:rFonts w:eastAsia="Times New Roman" w:cstheme="minorHAnsi"/>
          <w:sz w:val="24"/>
          <w:szCs w:val="24"/>
        </w:rPr>
        <w:t>Willner</w:t>
      </w:r>
      <w:proofErr w:type="spellEnd"/>
      <w:r w:rsidR="00780522" w:rsidRPr="004D6B8B">
        <w:rPr>
          <w:rFonts w:eastAsia="Times New Roman" w:cstheme="minorHAnsi"/>
          <w:sz w:val="24"/>
          <w:szCs w:val="24"/>
        </w:rPr>
        <w:t xml:space="preserve"> et al</w:t>
      </w:r>
      <w:r w:rsidR="00DE01FE" w:rsidRPr="004D6B8B">
        <w:rPr>
          <w:rFonts w:eastAsia="Times New Roman" w:cstheme="minorHAnsi"/>
          <w:sz w:val="24"/>
          <w:szCs w:val="24"/>
        </w:rPr>
        <w:t>.</w:t>
      </w:r>
      <w:r w:rsidR="00780522" w:rsidRPr="004D6B8B">
        <w:rPr>
          <w:rFonts w:eastAsia="Times New Roman" w:cstheme="minorHAnsi"/>
          <w:sz w:val="24"/>
          <w:szCs w:val="24"/>
        </w:rPr>
        <w:t xml:space="preserve"> (2013) </w:t>
      </w:r>
      <w:r w:rsidR="00031345" w:rsidRPr="004D6B8B">
        <w:rPr>
          <w:rFonts w:eastAsia="Times New Roman" w:cstheme="minorHAnsi"/>
          <w:sz w:val="24"/>
          <w:szCs w:val="24"/>
        </w:rPr>
        <w:t xml:space="preserve">identified that staff preferred profession specific scenarios in training, but argued that this would make release of staff more difficult.  </w:t>
      </w:r>
      <w:proofErr w:type="spellStart"/>
      <w:r w:rsidR="00031345" w:rsidRPr="004D6B8B">
        <w:rPr>
          <w:rFonts w:eastAsia="Times New Roman" w:cstheme="minorHAnsi"/>
          <w:sz w:val="24"/>
          <w:szCs w:val="24"/>
        </w:rPr>
        <w:t>Phair</w:t>
      </w:r>
      <w:proofErr w:type="spellEnd"/>
      <w:r w:rsidR="00031345" w:rsidRPr="004D6B8B">
        <w:rPr>
          <w:rFonts w:eastAsia="Times New Roman" w:cstheme="minorHAnsi"/>
          <w:sz w:val="24"/>
          <w:szCs w:val="24"/>
        </w:rPr>
        <w:t xml:space="preserve"> </w:t>
      </w:r>
      <w:r w:rsidR="00DE01FE" w:rsidRPr="004D6B8B">
        <w:rPr>
          <w:rFonts w:eastAsia="Times New Roman" w:cstheme="minorHAnsi"/>
          <w:sz w:val="24"/>
          <w:szCs w:val="24"/>
        </w:rPr>
        <w:t>&amp;</w:t>
      </w:r>
      <w:r w:rsidR="00031345" w:rsidRPr="004D6B8B">
        <w:rPr>
          <w:rFonts w:eastAsia="Times New Roman" w:cstheme="minorHAnsi"/>
          <w:sz w:val="24"/>
          <w:szCs w:val="24"/>
        </w:rPr>
        <w:t xml:space="preserve"> </w:t>
      </w:r>
      <w:proofErr w:type="spellStart"/>
      <w:r w:rsidR="00031345" w:rsidRPr="004D6B8B">
        <w:rPr>
          <w:rFonts w:eastAsia="Times New Roman" w:cstheme="minorHAnsi"/>
          <w:sz w:val="24"/>
          <w:szCs w:val="24"/>
        </w:rPr>
        <w:t>Manthorpe</w:t>
      </w:r>
      <w:proofErr w:type="spellEnd"/>
      <w:r w:rsidR="00031345" w:rsidRPr="004D6B8B">
        <w:rPr>
          <w:rFonts w:eastAsia="Times New Roman" w:cstheme="minorHAnsi"/>
          <w:sz w:val="24"/>
          <w:szCs w:val="24"/>
        </w:rPr>
        <w:t xml:space="preserve"> (2012)</w:t>
      </w:r>
      <w:r w:rsidRPr="004D6B8B">
        <w:rPr>
          <w:rFonts w:eastAsia="Times New Roman" w:cstheme="minorHAnsi"/>
          <w:sz w:val="24"/>
          <w:szCs w:val="24"/>
        </w:rPr>
        <w:t xml:space="preserve"> noted that nurses’ confidence should be improved so that they could guide colleagues</w:t>
      </w:r>
      <w:r w:rsidR="0078053B" w:rsidRPr="004D6B8B">
        <w:rPr>
          <w:rFonts w:eastAsia="Times New Roman" w:cstheme="minorHAnsi"/>
          <w:sz w:val="24"/>
          <w:szCs w:val="24"/>
        </w:rPr>
        <w:t xml:space="preserve"> and</w:t>
      </w:r>
      <w:r w:rsidRPr="004D6B8B">
        <w:rPr>
          <w:rFonts w:eastAsia="Times New Roman" w:cstheme="minorHAnsi"/>
          <w:sz w:val="24"/>
          <w:szCs w:val="24"/>
        </w:rPr>
        <w:t xml:space="preserve"> identified leadership as a factor in improving practice,</w:t>
      </w:r>
      <w:r w:rsidR="00031345" w:rsidRPr="004D6B8B">
        <w:rPr>
          <w:rFonts w:eastAsia="Times New Roman" w:cstheme="minorHAnsi"/>
          <w:sz w:val="24"/>
          <w:szCs w:val="24"/>
        </w:rPr>
        <w:t xml:space="preserve"> but</w:t>
      </w:r>
      <w:r w:rsidRPr="004D6B8B">
        <w:rPr>
          <w:rFonts w:eastAsia="Times New Roman" w:cstheme="minorHAnsi"/>
          <w:sz w:val="24"/>
          <w:szCs w:val="24"/>
        </w:rPr>
        <w:t xml:space="preserve"> cautioned against over-loading managers</w:t>
      </w:r>
      <w:r w:rsidR="00DD4C1B" w:rsidRPr="004D6B8B">
        <w:rPr>
          <w:rFonts w:eastAsia="Times New Roman" w:cstheme="minorHAnsi"/>
          <w:sz w:val="24"/>
          <w:szCs w:val="24"/>
        </w:rPr>
        <w:t xml:space="preserve"> by ensuring clear shared responsibility</w:t>
      </w:r>
      <w:r w:rsidRPr="004D6B8B">
        <w:rPr>
          <w:rFonts w:eastAsia="Times New Roman" w:cstheme="minorHAnsi"/>
          <w:sz w:val="24"/>
          <w:szCs w:val="24"/>
        </w:rPr>
        <w:t xml:space="preserve">.  </w:t>
      </w:r>
      <w:r w:rsidR="0078053B" w:rsidRPr="004D6B8B">
        <w:rPr>
          <w:rFonts w:eastAsia="Times New Roman" w:cstheme="minorHAnsi"/>
          <w:sz w:val="24"/>
          <w:szCs w:val="24"/>
        </w:rPr>
        <w:t>These findings appear to indicate that a range of support strategies may be required to promote learning retention and application of the legislation.</w:t>
      </w:r>
    </w:p>
    <w:p w14:paraId="3C147231" w14:textId="19E84F32" w:rsidR="005A13A0" w:rsidRPr="004D6B8B" w:rsidRDefault="009760A0" w:rsidP="005A13A0">
      <w:pPr>
        <w:rPr>
          <w:rFonts w:eastAsia="Times New Roman" w:cstheme="minorHAnsi"/>
          <w:sz w:val="24"/>
          <w:szCs w:val="24"/>
        </w:rPr>
      </w:pPr>
      <w:r w:rsidRPr="004D6B8B">
        <w:rPr>
          <w:rFonts w:eastAsia="Times New Roman" w:cstheme="minorHAnsi"/>
          <w:sz w:val="24"/>
          <w:szCs w:val="24"/>
        </w:rPr>
        <w:t>Even confident practitioners stated they would welcome extra training (</w:t>
      </w:r>
      <w:proofErr w:type="gramStart"/>
      <w:r w:rsidRPr="004D6B8B">
        <w:rPr>
          <w:rFonts w:eastAsia="Times New Roman" w:cstheme="minorHAnsi"/>
          <w:sz w:val="24"/>
          <w:szCs w:val="24"/>
        </w:rPr>
        <w:t xml:space="preserve">Marshall </w:t>
      </w:r>
      <w:r w:rsidR="00DE01FE" w:rsidRPr="004D6B8B">
        <w:rPr>
          <w:rFonts w:eastAsia="Times New Roman" w:cstheme="minorHAnsi"/>
          <w:sz w:val="24"/>
          <w:szCs w:val="24"/>
        </w:rPr>
        <w:t>&amp;</w:t>
      </w:r>
      <w:proofErr w:type="gramEnd"/>
      <w:r w:rsidRPr="004D6B8B">
        <w:rPr>
          <w:rFonts w:eastAsia="Times New Roman" w:cstheme="minorHAnsi"/>
          <w:sz w:val="24"/>
          <w:szCs w:val="24"/>
        </w:rPr>
        <w:t xml:space="preserve"> Sprung 2016b) and </w:t>
      </w:r>
      <w:proofErr w:type="spellStart"/>
      <w:r w:rsidRPr="004D6B8B">
        <w:rPr>
          <w:rFonts w:eastAsia="Times New Roman" w:cstheme="minorHAnsi"/>
          <w:sz w:val="24"/>
          <w:szCs w:val="24"/>
        </w:rPr>
        <w:t>Phair</w:t>
      </w:r>
      <w:proofErr w:type="spellEnd"/>
      <w:r w:rsidRPr="004D6B8B">
        <w:rPr>
          <w:rFonts w:eastAsia="Times New Roman" w:cstheme="minorHAnsi"/>
          <w:sz w:val="24"/>
          <w:szCs w:val="24"/>
        </w:rPr>
        <w:t xml:space="preserve"> </w:t>
      </w:r>
      <w:r w:rsidR="00DE01FE" w:rsidRPr="004D6B8B">
        <w:rPr>
          <w:rFonts w:eastAsia="Times New Roman" w:cstheme="minorHAnsi"/>
          <w:sz w:val="24"/>
          <w:szCs w:val="24"/>
        </w:rPr>
        <w:t>&amp;</w:t>
      </w:r>
      <w:r w:rsidRPr="004D6B8B">
        <w:rPr>
          <w:rFonts w:eastAsia="Times New Roman" w:cstheme="minorHAnsi"/>
          <w:sz w:val="24"/>
          <w:szCs w:val="24"/>
        </w:rPr>
        <w:t xml:space="preserve"> </w:t>
      </w:r>
      <w:proofErr w:type="spellStart"/>
      <w:r w:rsidRPr="004D6B8B">
        <w:rPr>
          <w:rFonts w:eastAsia="Times New Roman" w:cstheme="minorHAnsi"/>
          <w:sz w:val="24"/>
          <w:szCs w:val="24"/>
        </w:rPr>
        <w:t>Manthore</w:t>
      </w:r>
      <w:proofErr w:type="spellEnd"/>
      <w:r w:rsidRPr="004D6B8B">
        <w:rPr>
          <w:rFonts w:eastAsia="Times New Roman" w:cstheme="minorHAnsi"/>
          <w:sz w:val="24"/>
          <w:szCs w:val="24"/>
        </w:rPr>
        <w:t xml:space="preserve"> (2012) reported that participants </w:t>
      </w:r>
      <w:r w:rsidR="00DD4C1B" w:rsidRPr="004D6B8B">
        <w:rPr>
          <w:rFonts w:eastAsia="Times New Roman" w:cstheme="minorHAnsi"/>
          <w:sz w:val="24"/>
          <w:szCs w:val="24"/>
        </w:rPr>
        <w:t>expressed preference for</w:t>
      </w:r>
      <w:r w:rsidRPr="004D6B8B">
        <w:rPr>
          <w:rFonts w:eastAsia="Times New Roman" w:cstheme="minorHAnsi"/>
          <w:sz w:val="24"/>
          <w:szCs w:val="24"/>
        </w:rPr>
        <w:t xml:space="preserve"> a range of prompts to be designed into their documentation, perhaps indicating insight into the difficulty of retaining knowledge.  </w:t>
      </w:r>
      <w:proofErr w:type="spellStart"/>
      <w:r w:rsidR="005A13A0" w:rsidRPr="004D6B8B">
        <w:rPr>
          <w:rFonts w:eastAsia="Times New Roman" w:cstheme="minorHAnsi"/>
          <w:sz w:val="24"/>
          <w:szCs w:val="24"/>
        </w:rPr>
        <w:t>Manthorpe</w:t>
      </w:r>
      <w:proofErr w:type="spellEnd"/>
      <w:r w:rsidR="005A13A0" w:rsidRPr="004D6B8B">
        <w:rPr>
          <w:rFonts w:eastAsia="Times New Roman" w:cstheme="minorHAnsi"/>
          <w:sz w:val="24"/>
          <w:szCs w:val="24"/>
        </w:rPr>
        <w:t xml:space="preserve"> </w:t>
      </w:r>
      <w:r w:rsidR="00DE01FE" w:rsidRPr="004D6B8B">
        <w:rPr>
          <w:rFonts w:eastAsia="Times New Roman" w:cstheme="minorHAnsi"/>
          <w:sz w:val="24"/>
          <w:szCs w:val="24"/>
        </w:rPr>
        <w:t>&amp;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Samsi</w:t>
      </w:r>
      <w:proofErr w:type="spellEnd"/>
      <w:r w:rsidR="005A13A0" w:rsidRPr="004D6B8B">
        <w:rPr>
          <w:rFonts w:eastAsia="Times New Roman" w:cstheme="minorHAnsi"/>
          <w:sz w:val="24"/>
          <w:szCs w:val="24"/>
        </w:rPr>
        <w:t xml:space="preserve"> (2016) </w:t>
      </w:r>
      <w:r w:rsidR="00B160AC" w:rsidRPr="004D6B8B">
        <w:rPr>
          <w:rFonts w:eastAsia="Times New Roman" w:cstheme="minorHAnsi"/>
          <w:sz w:val="24"/>
          <w:szCs w:val="24"/>
        </w:rPr>
        <w:t xml:space="preserve">report participants </w:t>
      </w:r>
      <w:r w:rsidR="00226760" w:rsidRPr="004D6B8B">
        <w:rPr>
          <w:rFonts w:eastAsia="Times New Roman" w:cstheme="minorHAnsi"/>
          <w:sz w:val="24"/>
          <w:szCs w:val="24"/>
        </w:rPr>
        <w:t>were often unable to recall</w:t>
      </w:r>
      <w:r w:rsidR="005A13A0" w:rsidRPr="004D6B8B">
        <w:rPr>
          <w:rFonts w:eastAsia="Times New Roman" w:cstheme="minorHAnsi"/>
          <w:sz w:val="24"/>
          <w:szCs w:val="24"/>
        </w:rPr>
        <w:t xml:space="preserve"> what they learnt in </w:t>
      </w:r>
      <w:r w:rsidR="00D076C1" w:rsidRPr="004D6B8B">
        <w:rPr>
          <w:rFonts w:eastAsia="Times New Roman" w:cstheme="minorHAnsi"/>
          <w:sz w:val="24"/>
          <w:szCs w:val="24"/>
        </w:rPr>
        <w:t>training;</w:t>
      </w:r>
      <w:r w:rsidR="00C00938" w:rsidRPr="004D6B8B">
        <w:rPr>
          <w:rFonts w:eastAsia="Times New Roman" w:cstheme="minorHAnsi"/>
          <w:sz w:val="24"/>
          <w:szCs w:val="24"/>
        </w:rPr>
        <w:t xml:space="preserve"> an issue also noted by </w:t>
      </w:r>
      <w:proofErr w:type="gramStart"/>
      <w:r w:rsidR="00C00938" w:rsidRPr="004D6B8B">
        <w:rPr>
          <w:rFonts w:eastAsia="Times New Roman" w:cstheme="minorHAnsi"/>
          <w:sz w:val="24"/>
          <w:szCs w:val="24"/>
        </w:rPr>
        <w:t xml:space="preserve">Marshall </w:t>
      </w:r>
      <w:r w:rsidR="00DE01FE" w:rsidRPr="004D6B8B">
        <w:rPr>
          <w:rFonts w:eastAsia="Times New Roman" w:cstheme="minorHAnsi"/>
          <w:sz w:val="24"/>
          <w:szCs w:val="24"/>
        </w:rPr>
        <w:t>&amp;</w:t>
      </w:r>
      <w:proofErr w:type="gramEnd"/>
      <w:r w:rsidR="00C00938" w:rsidRPr="004D6B8B">
        <w:rPr>
          <w:rFonts w:eastAsia="Times New Roman" w:cstheme="minorHAnsi"/>
          <w:sz w:val="24"/>
          <w:szCs w:val="24"/>
        </w:rPr>
        <w:t xml:space="preserve"> Sprung (2016b)</w:t>
      </w:r>
      <w:r w:rsidRPr="004D6B8B">
        <w:rPr>
          <w:rFonts w:eastAsia="Times New Roman" w:cstheme="minorHAnsi"/>
          <w:sz w:val="24"/>
          <w:szCs w:val="24"/>
        </w:rPr>
        <w:t>.</w:t>
      </w:r>
      <w:r w:rsidR="005A13A0" w:rsidRPr="004D6B8B">
        <w:rPr>
          <w:rFonts w:eastAsia="Times New Roman" w:cstheme="minorHAnsi"/>
          <w:sz w:val="24"/>
          <w:szCs w:val="24"/>
        </w:rPr>
        <w:t xml:space="preserve"> </w:t>
      </w:r>
      <w:r w:rsidR="005A13A0" w:rsidRPr="004D6B8B">
        <w:rPr>
          <w:rFonts w:eastAsia="Times New Roman" w:cstheme="minorHAnsi"/>
          <w:sz w:val="24"/>
          <w:szCs w:val="24"/>
        </w:rPr>
        <w:lastRenderedPageBreak/>
        <w:t>Pike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(2010) noted that training should not be perceived as a ‘one-off’ but be considered a process. This was confirmed by Gough </w:t>
      </w:r>
      <w:r w:rsidR="00DE01FE" w:rsidRPr="004D6B8B">
        <w:rPr>
          <w:rFonts w:eastAsia="Times New Roman" w:cstheme="minorHAnsi"/>
          <w:sz w:val="24"/>
          <w:szCs w:val="24"/>
        </w:rPr>
        <w:t>&amp;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Kerlin</w:t>
      </w:r>
      <w:proofErr w:type="spellEnd"/>
      <w:r w:rsidR="005A13A0" w:rsidRPr="004D6B8B">
        <w:rPr>
          <w:rFonts w:eastAsia="Times New Roman" w:cstheme="minorHAnsi"/>
          <w:sz w:val="24"/>
          <w:szCs w:val="24"/>
        </w:rPr>
        <w:t xml:space="preserve"> (2012</w:t>
      </w:r>
      <w:r w:rsidR="005A13A0" w:rsidRPr="004D6B8B">
        <w:rPr>
          <w:rFonts w:eastAsia="Times New Roman" w:cstheme="minorHAnsi"/>
          <w:i/>
          <w:sz w:val="24"/>
          <w:szCs w:val="24"/>
        </w:rPr>
        <w:t xml:space="preserve">) </w:t>
      </w:r>
      <w:r w:rsidR="005A13A0" w:rsidRPr="004D6B8B">
        <w:rPr>
          <w:rFonts w:eastAsia="Times New Roman" w:cstheme="minorHAnsi"/>
          <w:sz w:val="24"/>
          <w:szCs w:val="24"/>
        </w:rPr>
        <w:t xml:space="preserve">and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DE01FE" w:rsidRPr="004D6B8B">
        <w:rPr>
          <w:rFonts w:eastAsia="Times New Roman" w:cstheme="minorHAnsi"/>
          <w:sz w:val="24"/>
          <w:szCs w:val="24"/>
        </w:rPr>
        <w:t>.,</w:t>
      </w:r>
      <w:r w:rsidR="005A13A0" w:rsidRPr="004D6B8B">
        <w:rPr>
          <w:rFonts w:eastAsia="Times New Roman" w:cstheme="minorHAnsi"/>
          <w:sz w:val="24"/>
          <w:szCs w:val="24"/>
        </w:rPr>
        <w:t xml:space="preserve"> 2013, who found that repeated training improves outcomes to some extent. Previous practice experience also seems to aid knowledge retention and confidence post-training (Marshall </w:t>
      </w:r>
      <w:r w:rsidR="00DE01FE" w:rsidRPr="004D6B8B">
        <w:rPr>
          <w:rFonts w:eastAsia="Times New Roman" w:cstheme="minorHAnsi"/>
          <w:sz w:val="24"/>
          <w:szCs w:val="24"/>
        </w:rPr>
        <w:t>&amp;</w:t>
      </w:r>
      <w:r w:rsidR="005A13A0" w:rsidRPr="004D6B8B">
        <w:rPr>
          <w:rFonts w:eastAsia="Times New Roman" w:cstheme="minorHAnsi"/>
          <w:sz w:val="24"/>
          <w:szCs w:val="24"/>
        </w:rPr>
        <w:t xml:space="preserve"> Sprung, 2016b)</w:t>
      </w:r>
      <w:r w:rsidR="00780522" w:rsidRPr="004D6B8B">
        <w:rPr>
          <w:rFonts w:eastAsia="Times New Roman" w:cstheme="minorHAnsi"/>
          <w:sz w:val="24"/>
          <w:szCs w:val="24"/>
        </w:rPr>
        <w:t xml:space="preserve"> and the opportunity to apply learning soon and often post-training </w:t>
      </w:r>
      <w:r w:rsidR="00B160AC" w:rsidRPr="004D6B8B">
        <w:rPr>
          <w:rFonts w:eastAsia="Times New Roman" w:cstheme="minorHAnsi"/>
          <w:sz w:val="24"/>
          <w:szCs w:val="24"/>
        </w:rPr>
        <w:t>appears</w:t>
      </w:r>
      <w:r w:rsidR="00780522" w:rsidRPr="004D6B8B">
        <w:rPr>
          <w:rFonts w:eastAsia="Times New Roman" w:cstheme="minorHAnsi"/>
          <w:sz w:val="24"/>
          <w:szCs w:val="24"/>
        </w:rPr>
        <w:t xml:space="preserve"> to </w:t>
      </w:r>
      <w:r w:rsidR="0078053B" w:rsidRPr="004D6B8B">
        <w:rPr>
          <w:rFonts w:eastAsia="Times New Roman" w:cstheme="minorHAnsi"/>
          <w:sz w:val="24"/>
          <w:szCs w:val="24"/>
        </w:rPr>
        <w:t>embed understanding more effectively (</w:t>
      </w:r>
      <w:proofErr w:type="spellStart"/>
      <w:r w:rsidR="00226760" w:rsidRPr="004D6B8B">
        <w:rPr>
          <w:rFonts w:eastAsia="Times New Roman" w:cstheme="minorHAnsi"/>
          <w:sz w:val="24"/>
          <w:szCs w:val="24"/>
        </w:rPr>
        <w:t>Willner</w:t>
      </w:r>
      <w:proofErr w:type="spellEnd"/>
      <w:r w:rsidR="00226760" w:rsidRPr="004D6B8B">
        <w:rPr>
          <w:rFonts w:eastAsia="Times New Roman" w:cstheme="minorHAnsi"/>
          <w:sz w:val="24"/>
          <w:szCs w:val="24"/>
        </w:rPr>
        <w:t xml:space="preserve"> et al</w:t>
      </w:r>
      <w:r w:rsidR="002638E8" w:rsidRPr="004D6B8B">
        <w:rPr>
          <w:rFonts w:eastAsia="Times New Roman" w:cstheme="minorHAnsi"/>
          <w:sz w:val="24"/>
          <w:szCs w:val="24"/>
        </w:rPr>
        <w:t>.,</w:t>
      </w:r>
      <w:r w:rsidR="00226760" w:rsidRPr="004D6B8B">
        <w:rPr>
          <w:rFonts w:eastAsia="Times New Roman" w:cstheme="minorHAnsi"/>
          <w:sz w:val="24"/>
          <w:szCs w:val="24"/>
        </w:rPr>
        <w:t xml:space="preserve"> 2013</w:t>
      </w:r>
      <w:r w:rsidR="0078053B" w:rsidRPr="004D6B8B">
        <w:rPr>
          <w:rFonts w:eastAsia="Times New Roman" w:cstheme="minorHAnsi"/>
          <w:sz w:val="24"/>
          <w:szCs w:val="24"/>
        </w:rPr>
        <w:t>)</w:t>
      </w:r>
      <w:r w:rsidR="005A13A0" w:rsidRPr="004D6B8B">
        <w:rPr>
          <w:rFonts w:eastAsia="Times New Roman" w:cstheme="minorHAnsi"/>
          <w:sz w:val="24"/>
          <w:szCs w:val="24"/>
        </w:rPr>
        <w:t xml:space="preserve">. </w:t>
      </w:r>
    </w:p>
    <w:p w14:paraId="776DA514" w14:textId="2526D6F8" w:rsidR="005A13A0" w:rsidRPr="004D6B8B" w:rsidRDefault="00AE530C" w:rsidP="005A13A0">
      <w:pPr>
        <w:rPr>
          <w:rFonts w:eastAsia="Times New Roman" w:cstheme="minorHAnsi"/>
          <w:bCs/>
          <w:i/>
          <w:iCs/>
          <w:sz w:val="24"/>
          <w:szCs w:val="24"/>
        </w:rPr>
      </w:pPr>
      <w:bookmarkStart w:id="7" w:name="_Hlk12377018"/>
      <w:proofErr w:type="spellStart"/>
      <w:r w:rsidRPr="004D6B8B">
        <w:rPr>
          <w:rFonts w:eastAsia="Times New Roman" w:cstheme="minorHAnsi"/>
          <w:bCs/>
          <w:i/>
          <w:iCs/>
          <w:sz w:val="24"/>
          <w:szCs w:val="24"/>
        </w:rPr>
        <w:t>Institutionalised</w:t>
      </w:r>
      <w:proofErr w:type="spellEnd"/>
      <w:r w:rsidRPr="004D6B8B">
        <w:rPr>
          <w:rFonts w:eastAsia="Times New Roman" w:cstheme="minorHAnsi"/>
          <w:bCs/>
          <w:i/>
          <w:iCs/>
          <w:sz w:val="24"/>
          <w:szCs w:val="24"/>
        </w:rPr>
        <w:t xml:space="preserve"> under-resourcing</w:t>
      </w:r>
    </w:p>
    <w:bookmarkEnd w:id="7"/>
    <w:p w14:paraId="79AC6851" w14:textId="6898A23D" w:rsidR="00407DA3" w:rsidRPr="004D6B8B" w:rsidRDefault="00B160AC" w:rsidP="005A13A0">
      <w:pPr>
        <w:rPr>
          <w:rFonts w:eastAsia="Times New Roman" w:cstheme="minorHAnsi"/>
          <w:sz w:val="24"/>
          <w:szCs w:val="24"/>
        </w:rPr>
      </w:pPr>
      <w:r w:rsidRPr="004D6B8B">
        <w:rPr>
          <w:rFonts w:eastAsia="Times New Roman" w:cstheme="minorHAnsi"/>
          <w:sz w:val="24"/>
          <w:szCs w:val="24"/>
        </w:rPr>
        <w:t xml:space="preserve">Included literature points to </w:t>
      </w:r>
      <w:r w:rsidR="005A13A0" w:rsidRPr="004D6B8B">
        <w:rPr>
          <w:rFonts w:eastAsia="Times New Roman" w:cstheme="minorHAnsi"/>
          <w:sz w:val="24"/>
          <w:szCs w:val="24"/>
        </w:rPr>
        <w:t>brief training ha</w:t>
      </w:r>
      <w:r w:rsidRPr="004D6B8B">
        <w:rPr>
          <w:rFonts w:eastAsia="Times New Roman" w:cstheme="minorHAnsi"/>
          <w:sz w:val="24"/>
          <w:szCs w:val="24"/>
        </w:rPr>
        <w:t>ving</w:t>
      </w:r>
      <w:r w:rsidR="005A13A0" w:rsidRPr="004D6B8B">
        <w:rPr>
          <w:rFonts w:eastAsia="Times New Roman" w:cstheme="minorHAnsi"/>
          <w:sz w:val="24"/>
          <w:szCs w:val="24"/>
        </w:rPr>
        <w:t xml:space="preserve"> limited impact on practice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2638E8" w:rsidRPr="004D6B8B">
        <w:rPr>
          <w:rFonts w:eastAsia="Times New Roman" w:cstheme="minorHAnsi"/>
          <w:sz w:val="24"/>
          <w:szCs w:val="24"/>
        </w:rPr>
        <w:t>.,</w:t>
      </w:r>
      <w:r w:rsidR="005A13A0" w:rsidRPr="004D6B8B">
        <w:rPr>
          <w:rFonts w:eastAsia="Times New Roman" w:cstheme="minorHAnsi"/>
          <w:sz w:val="24"/>
          <w:szCs w:val="24"/>
        </w:rPr>
        <w:t xml:space="preserve"> 2011), but </w:t>
      </w:r>
      <w:proofErr w:type="spellStart"/>
      <w:r w:rsidR="009913F0" w:rsidRPr="004D6B8B">
        <w:rPr>
          <w:rFonts w:eastAsia="Times New Roman" w:cstheme="minorHAnsi"/>
          <w:sz w:val="24"/>
          <w:szCs w:val="24"/>
        </w:rPr>
        <w:t>organisational</w:t>
      </w:r>
      <w:proofErr w:type="spellEnd"/>
      <w:r w:rsidR="009913F0" w:rsidRPr="004D6B8B">
        <w:rPr>
          <w:rFonts w:eastAsia="Times New Roman" w:cstheme="minorHAnsi"/>
          <w:sz w:val="24"/>
          <w:szCs w:val="24"/>
        </w:rPr>
        <w:t xml:space="preserve"> </w:t>
      </w:r>
      <w:r w:rsidR="005A13A0" w:rsidRPr="004D6B8B">
        <w:rPr>
          <w:rFonts w:eastAsia="Times New Roman" w:cstheme="minorHAnsi"/>
          <w:sz w:val="24"/>
          <w:szCs w:val="24"/>
        </w:rPr>
        <w:t xml:space="preserve">factors led to difficulties in facilitating adequate training time. </w:t>
      </w:r>
      <w:r w:rsidR="00035BE1" w:rsidRPr="004D6B8B">
        <w:rPr>
          <w:rFonts w:eastAsia="Times New Roman" w:cstheme="minorHAnsi"/>
          <w:sz w:val="24"/>
          <w:szCs w:val="24"/>
        </w:rPr>
        <w:t xml:space="preserve">Gough &amp; </w:t>
      </w:r>
      <w:proofErr w:type="spellStart"/>
      <w:r w:rsidR="00035BE1" w:rsidRPr="004D6B8B">
        <w:rPr>
          <w:rFonts w:eastAsia="Times New Roman" w:cstheme="minorHAnsi"/>
          <w:sz w:val="24"/>
          <w:szCs w:val="24"/>
        </w:rPr>
        <w:t>Kerlin</w:t>
      </w:r>
      <w:proofErr w:type="spellEnd"/>
      <w:r w:rsidR="00035BE1" w:rsidRPr="004D6B8B">
        <w:rPr>
          <w:rFonts w:eastAsia="Times New Roman" w:cstheme="minorHAnsi"/>
          <w:sz w:val="24"/>
          <w:szCs w:val="24"/>
        </w:rPr>
        <w:t xml:space="preserve"> (2012) </w:t>
      </w:r>
      <w:r w:rsidR="005A13A0" w:rsidRPr="004D6B8B">
        <w:rPr>
          <w:rFonts w:eastAsia="Times New Roman" w:cstheme="minorHAnsi"/>
          <w:sz w:val="24"/>
          <w:szCs w:val="24"/>
        </w:rPr>
        <w:t>identified barriers in health and social care environments that impede application of MCA training to practice</w:t>
      </w:r>
      <w:r w:rsidR="009913F0" w:rsidRPr="004D6B8B">
        <w:rPr>
          <w:rFonts w:eastAsia="Times New Roman" w:cstheme="minorHAnsi"/>
          <w:sz w:val="24"/>
          <w:szCs w:val="24"/>
        </w:rPr>
        <w:t>,</w:t>
      </w:r>
      <w:r w:rsidR="005A13A0" w:rsidRPr="004D6B8B">
        <w:rPr>
          <w:rFonts w:eastAsia="Times New Roman" w:cstheme="minorHAnsi"/>
          <w:sz w:val="24"/>
          <w:szCs w:val="24"/>
        </w:rPr>
        <w:t xml:space="preserve"> including staff turnover, costs of training and costs of </w:t>
      </w:r>
      <w:r w:rsidR="00DD4C1B" w:rsidRPr="004D6B8B">
        <w:rPr>
          <w:rFonts w:eastAsia="Times New Roman" w:cstheme="minorHAnsi"/>
          <w:sz w:val="24"/>
          <w:szCs w:val="24"/>
        </w:rPr>
        <w:t>replacing staff who are away on training.</w:t>
      </w:r>
      <w:r w:rsidR="00E60ED0" w:rsidRPr="004D6B8B">
        <w:rPr>
          <w:rFonts w:eastAsia="Times New Roman" w:cstheme="minorHAnsi"/>
          <w:sz w:val="24"/>
          <w:szCs w:val="24"/>
        </w:rPr>
        <w:t xml:space="preserve"> </w:t>
      </w:r>
      <w:bookmarkStart w:id="8" w:name="_Hlk15390267"/>
      <w:r w:rsidR="005A13A0" w:rsidRPr="004D6B8B">
        <w:rPr>
          <w:rFonts w:eastAsia="Times New Roman" w:cstheme="minorHAnsi"/>
          <w:sz w:val="24"/>
          <w:szCs w:val="24"/>
        </w:rPr>
        <w:t xml:space="preserve">Gough </w:t>
      </w:r>
      <w:r w:rsidR="002638E8" w:rsidRPr="004D6B8B">
        <w:rPr>
          <w:rFonts w:eastAsia="Times New Roman" w:cstheme="minorHAnsi"/>
          <w:sz w:val="24"/>
          <w:szCs w:val="24"/>
        </w:rPr>
        <w:t>&amp;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Kerlin</w:t>
      </w:r>
      <w:proofErr w:type="spellEnd"/>
      <w:r w:rsidR="005A13A0" w:rsidRPr="004D6B8B">
        <w:rPr>
          <w:rFonts w:eastAsia="Times New Roman" w:cstheme="minorHAnsi"/>
          <w:sz w:val="24"/>
          <w:szCs w:val="24"/>
        </w:rPr>
        <w:t xml:space="preserve"> (2012) </w:t>
      </w:r>
      <w:bookmarkEnd w:id="8"/>
      <w:r w:rsidR="005A13A0" w:rsidRPr="004D6B8B">
        <w:rPr>
          <w:rFonts w:eastAsia="Times New Roman" w:cstheme="minorHAnsi"/>
          <w:sz w:val="24"/>
          <w:szCs w:val="24"/>
        </w:rPr>
        <w:t xml:space="preserve">noted that costs of releasing </w:t>
      </w:r>
      <w:r w:rsidR="00035BE1" w:rsidRPr="004D6B8B">
        <w:rPr>
          <w:rFonts w:eastAsia="Times New Roman" w:cstheme="minorHAnsi"/>
          <w:sz w:val="24"/>
          <w:szCs w:val="24"/>
        </w:rPr>
        <w:t>residential and nursing home</w:t>
      </w:r>
      <w:r w:rsidR="005A13A0" w:rsidRPr="004D6B8B">
        <w:rPr>
          <w:rFonts w:eastAsia="Times New Roman" w:cstheme="minorHAnsi"/>
          <w:sz w:val="24"/>
          <w:szCs w:val="24"/>
        </w:rPr>
        <w:t xml:space="preserve"> staff are ‘prohibitive’, while in the N</w:t>
      </w:r>
      <w:r w:rsidR="009913F0" w:rsidRPr="004D6B8B">
        <w:rPr>
          <w:rFonts w:eastAsia="Times New Roman" w:cstheme="minorHAnsi"/>
          <w:sz w:val="24"/>
          <w:szCs w:val="24"/>
        </w:rPr>
        <w:t>ational Health Service</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2638E8" w:rsidRPr="004D6B8B">
        <w:rPr>
          <w:rFonts w:eastAsia="Times New Roman" w:cstheme="minorHAnsi"/>
          <w:sz w:val="24"/>
          <w:szCs w:val="24"/>
        </w:rPr>
        <w:t>.</w:t>
      </w:r>
      <w:r w:rsidR="005A13A0" w:rsidRPr="004D6B8B">
        <w:rPr>
          <w:rFonts w:eastAsia="Times New Roman" w:cstheme="minorHAnsi"/>
          <w:sz w:val="24"/>
          <w:szCs w:val="24"/>
        </w:rPr>
        <w:t xml:space="preserve"> (2013) found managers were unable to release ward-based staff for training. </w:t>
      </w:r>
      <w:r w:rsidR="00407DA3" w:rsidRPr="004D6B8B">
        <w:rPr>
          <w:rFonts w:eastAsia="Times New Roman" w:cstheme="minorHAnsi"/>
          <w:sz w:val="24"/>
          <w:szCs w:val="24"/>
        </w:rPr>
        <w:t>Medical practitioners identified high workloads as barriers (</w:t>
      </w:r>
      <w:proofErr w:type="spellStart"/>
      <w:r w:rsidR="00407DA3" w:rsidRPr="004D6B8B">
        <w:rPr>
          <w:rFonts w:eastAsia="Times New Roman" w:cstheme="minorHAnsi"/>
          <w:sz w:val="24"/>
          <w:szCs w:val="24"/>
        </w:rPr>
        <w:t>Sawhney</w:t>
      </w:r>
      <w:proofErr w:type="spellEnd"/>
      <w:r w:rsidR="00407DA3" w:rsidRPr="004D6B8B">
        <w:rPr>
          <w:rFonts w:eastAsia="Times New Roman" w:cstheme="minorHAnsi"/>
          <w:sz w:val="24"/>
          <w:szCs w:val="24"/>
        </w:rPr>
        <w:t xml:space="preserve"> et al</w:t>
      </w:r>
      <w:r w:rsidR="002638E8" w:rsidRPr="004D6B8B">
        <w:rPr>
          <w:rFonts w:eastAsia="Times New Roman" w:cstheme="minorHAnsi"/>
          <w:sz w:val="24"/>
          <w:szCs w:val="24"/>
        </w:rPr>
        <w:t>.,</w:t>
      </w:r>
      <w:r w:rsidR="00407DA3" w:rsidRPr="004D6B8B">
        <w:rPr>
          <w:rFonts w:eastAsia="Times New Roman" w:cstheme="minorHAnsi"/>
          <w:sz w:val="24"/>
          <w:szCs w:val="24"/>
        </w:rPr>
        <w:t xml:space="preserve"> 2009</w:t>
      </w:r>
      <w:r w:rsidR="002638E8" w:rsidRPr="004D6B8B">
        <w:rPr>
          <w:rFonts w:eastAsia="Times New Roman" w:cstheme="minorHAnsi"/>
          <w:sz w:val="24"/>
          <w:szCs w:val="24"/>
        </w:rPr>
        <w:t>;</w:t>
      </w:r>
      <w:r w:rsidR="00407DA3" w:rsidRPr="004D6B8B">
        <w:rPr>
          <w:rFonts w:eastAsia="Times New Roman" w:cstheme="minorHAnsi"/>
          <w:sz w:val="24"/>
          <w:szCs w:val="24"/>
        </w:rPr>
        <w:t xml:space="preserve"> Shah et al</w:t>
      </w:r>
      <w:r w:rsidR="002638E8" w:rsidRPr="004D6B8B">
        <w:rPr>
          <w:rFonts w:eastAsia="Times New Roman" w:cstheme="minorHAnsi"/>
          <w:sz w:val="24"/>
          <w:szCs w:val="24"/>
        </w:rPr>
        <w:t>.,</w:t>
      </w:r>
      <w:r w:rsidR="00407DA3" w:rsidRPr="004D6B8B">
        <w:rPr>
          <w:rFonts w:eastAsia="Times New Roman" w:cstheme="minorHAnsi"/>
          <w:sz w:val="24"/>
          <w:szCs w:val="24"/>
        </w:rPr>
        <w:t xml:space="preserve"> 2010).</w:t>
      </w:r>
      <w:r w:rsidR="00E60ED0" w:rsidRPr="004D6B8B">
        <w:rPr>
          <w:rFonts w:eastAsia="Times New Roman" w:cstheme="minorHAnsi"/>
          <w:sz w:val="24"/>
          <w:szCs w:val="24"/>
        </w:rPr>
        <w:t xml:space="preserve"> Pike et al</w:t>
      </w:r>
      <w:r w:rsidR="002638E8" w:rsidRPr="004D6B8B">
        <w:rPr>
          <w:rFonts w:eastAsia="Times New Roman" w:cstheme="minorHAnsi"/>
          <w:sz w:val="24"/>
          <w:szCs w:val="24"/>
        </w:rPr>
        <w:t>.</w:t>
      </w:r>
      <w:r w:rsidR="00E60ED0" w:rsidRPr="004D6B8B">
        <w:rPr>
          <w:rFonts w:eastAsia="Times New Roman" w:cstheme="minorHAnsi"/>
          <w:sz w:val="24"/>
          <w:szCs w:val="24"/>
        </w:rPr>
        <w:t xml:space="preserve"> (2010) identified </w:t>
      </w:r>
      <w:proofErr w:type="spellStart"/>
      <w:r w:rsidR="009913F0" w:rsidRPr="004D6B8B">
        <w:rPr>
          <w:rFonts w:eastAsia="Times New Roman" w:cstheme="minorHAnsi"/>
          <w:sz w:val="24"/>
          <w:szCs w:val="24"/>
        </w:rPr>
        <w:t>organisational</w:t>
      </w:r>
      <w:proofErr w:type="spellEnd"/>
      <w:r w:rsidR="009913F0" w:rsidRPr="004D6B8B">
        <w:rPr>
          <w:rFonts w:eastAsia="Times New Roman" w:cstheme="minorHAnsi"/>
          <w:sz w:val="24"/>
          <w:szCs w:val="24"/>
        </w:rPr>
        <w:t xml:space="preserve"> </w:t>
      </w:r>
      <w:r w:rsidR="00E60ED0" w:rsidRPr="004D6B8B">
        <w:rPr>
          <w:rFonts w:eastAsia="Times New Roman" w:cstheme="minorHAnsi"/>
          <w:sz w:val="24"/>
          <w:szCs w:val="24"/>
        </w:rPr>
        <w:t>change and the quality of staff supervision to be additional barriers.</w:t>
      </w:r>
    </w:p>
    <w:p w14:paraId="64A4DF5A" w14:textId="013159DD" w:rsidR="005A13A0" w:rsidRPr="004D6B8B" w:rsidRDefault="005A13A0" w:rsidP="005A13A0">
      <w:pPr>
        <w:rPr>
          <w:rFonts w:eastAsia="Times New Roman" w:cstheme="minorHAnsi"/>
          <w:bCs/>
          <w:i/>
          <w:iCs/>
          <w:sz w:val="24"/>
          <w:szCs w:val="24"/>
        </w:rPr>
      </w:pPr>
      <w:bookmarkStart w:id="9" w:name="_Hlk12355072"/>
      <w:r w:rsidRPr="004D6B8B">
        <w:rPr>
          <w:rFonts w:eastAsia="Times New Roman" w:cstheme="minorHAnsi"/>
          <w:bCs/>
          <w:i/>
          <w:iCs/>
          <w:sz w:val="24"/>
          <w:szCs w:val="24"/>
        </w:rPr>
        <w:t>Hierarchy confidence</w:t>
      </w:r>
      <w:r w:rsidR="001B136D" w:rsidRPr="004D6B8B">
        <w:rPr>
          <w:rFonts w:eastAsia="Times New Roman" w:cstheme="minorHAnsi"/>
          <w:bCs/>
          <w:i/>
          <w:iCs/>
          <w:sz w:val="24"/>
          <w:szCs w:val="24"/>
        </w:rPr>
        <w:t xml:space="preserve"> and responsibility</w:t>
      </w:r>
    </w:p>
    <w:bookmarkEnd w:id="9"/>
    <w:p w14:paraId="24195C15" w14:textId="67DE3A3B" w:rsidR="005A13A0" w:rsidRPr="004D6B8B" w:rsidRDefault="005C44DA" w:rsidP="005A13A0">
      <w:pPr>
        <w:rPr>
          <w:rFonts w:eastAsia="Times New Roman" w:cstheme="minorHAnsi"/>
          <w:sz w:val="24"/>
          <w:szCs w:val="24"/>
        </w:rPr>
      </w:pPr>
      <w:r w:rsidRPr="004D6B8B">
        <w:rPr>
          <w:rFonts w:eastAsia="Times New Roman" w:cstheme="minorHAnsi"/>
          <w:sz w:val="24"/>
          <w:szCs w:val="24"/>
        </w:rPr>
        <w:t xml:space="preserve">Issues of power and authority could be seen to impact on application of the MCA in healthcare settings. Patterns of deference were mentioned in many of the studies. </w:t>
      </w:r>
      <w:r w:rsidR="005A13A0" w:rsidRPr="004D6B8B">
        <w:rPr>
          <w:rFonts w:eastAsia="Times New Roman" w:cstheme="minorHAnsi"/>
          <w:sz w:val="24"/>
          <w:szCs w:val="24"/>
        </w:rPr>
        <w:t xml:space="preserve">Care home staff deferred decision-making to senior </w:t>
      </w:r>
      <w:proofErr w:type="spellStart"/>
      <w:r w:rsidR="005A13A0" w:rsidRPr="004D6B8B">
        <w:rPr>
          <w:rFonts w:eastAsia="Times New Roman" w:cstheme="minorHAnsi"/>
          <w:sz w:val="24"/>
          <w:szCs w:val="24"/>
        </w:rPr>
        <w:t>carers</w:t>
      </w:r>
      <w:proofErr w:type="spellEnd"/>
      <w:r w:rsidR="005A13A0" w:rsidRPr="004D6B8B">
        <w:rPr>
          <w:rFonts w:eastAsia="Times New Roman" w:cstheme="minorHAnsi"/>
          <w:sz w:val="24"/>
          <w:szCs w:val="24"/>
        </w:rPr>
        <w:t xml:space="preserve"> and managers (Gough </w:t>
      </w:r>
      <w:r w:rsidR="002638E8" w:rsidRPr="004D6B8B">
        <w:rPr>
          <w:rFonts w:eastAsia="Times New Roman" w:cstheme="minorHAnsi"/>
          <w:sz w:val="24"/>
          <w:szCs w:val="24"/>
        </w:rPr>
        <w:t>&amp;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Kerlin</w:t>
      </w:r>
      <w:proofErr w:type="spellEnd"/>
      <w:r w:rsidR="002638E8" w:rsidRPr="004D6B8B">
        <w:rPr>
          <w:rFonts w:eastAsia="Times New Roman" w:cstheme="minorHAnsi"/>
          <w:sz w:val="24"/>
          <w:szCs w:val="24"/>
        </w:rPr>
        <w:t>,</w:t>
      </w:r>
      <w:r w:rsidR="005A13A0" w:rsidRPr="004D6B8B">
        <w:rPr>
          <w:rFonts w:eastAsia="Times New Roman" w:cstheme="minorHAnsi"/>
          <w:sz w:val="24"/>
          <w:szCs w:val="24"/>
        </w:rPr>
        <w:t xml:space="preserve"> 2012, </w:t>
      </w:r>
      <w:proofErr w:type="spellStart"/>
      <w:r w:rsidR="005A13A0" w:rsidRPr="004D6B8B">
        <w:rPr>
          <w:rFonts w:eastAsia="Times New Roman" w:cstheme="minorHAnsi"/>
          <w:sz w:val="24"/>
          <w:szCs w:val="24"/>
        </w:rPr>
        <w:t>Manthorpe</w:t>
      </w:r>
      <w:proofErr w:type="spellEnd"/>
      <w:r w:rsidR="002638E8" w:rsidRPr="004D6B8B">
        <w:rPr>
          <w:rFonts w:eastAsia="Times New Roman" w:cstheme="minorHAnsi"/>
          <w:sz w:val="24"/>
          <w:szCs w:val="24"/>
        </w:rPr>
        <w:t xml:space="preserve"> &amp;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Samsi</w:t>
      </w:r>
      <w:proofErr w:type="spellEnd"/>
      <w:r w:rsidR="002638E8" w:rsidRPr="004D6B8B">
        <w:rPr>
          <w:rFonts w:eastAsia="Times New Roman" w:cstheme="minorHAnsi"/>
          <w:sz w:val="24"/>
          <w:szCs w:val="24"/>
        </w:rPr>
        <w:t>,</w:t>
      </w:r>
      <w:r w:rsidR="005A13A0" w:rsidRPr="004D6B8B">
        <w:rPr>
          <w:rFonts w:eastAsia="Times New Roman" w:cstheme="minorHAnsi"/>
          <w:sz w:val="24"/>
          <w:szCs w:val="24"/>
        </w:rPr>
        <w:t xml:space="preserve"> 2016) and nurses and other staff deferred to doctors (</w:t>
      </w:r>
      <w:proofErr w:type="spellStart"/>
      <w:r w:rsidR="005A13A0" w:rsidRPr="004D6B8B">
        <w:rPr>
          <w:rFonts w:eastAsia="Times New Roman" w:cstheme="minorHAnsi"/>
          <w:sz w:val="24"/>
          <w:szCs w:val="24"/>
        </w:rPr>
        <w:t>Willner</w:t>
      </w:r>
      <w:proofErr w:type="spellEnd"/>
      <w:r w:rsidR="005A13A0" w:rsidRPr="004D6B8B">
        <w:rPr>
          <w:rFonts w:eastAsia="Times New Roman" w:cstheme="minorHAnsi"/>
          <w:sz w:val="24"/>
          <w:szCs w:val="24"/>
        </w:rPr>
        <w:t xml:space="preserve"> et al</w:t>
      </w:r>
      <w:r w:rsidR="002638E8" w:rsidRPr="004D6B8B">
        <w:rPr>
          <w:rFonts w:eastAsia="Times New Roman" w:cstheme="minorHAnsi"/>
          <w:sz w:val="24"/>
          <w:szCs w:val="24"/>
        </w:rPr>
        <w:t>.,</w:t>
      </w:r>
      <w:r w:rsidR="005A13A0" w:rsidRPr="004D6B8B">
        <w:rPr>
          <w:rFonts w:eastAsia="Times New Roman" w:cstheme="minorHAnsi"/>
          <w:sz w:val="24"/>
          <w:szCs w:val="24"/>
        </w:rPr>
        <w:t xml:space="preserve"> 2013)</w:t>
      </w:r>
      <w:r w:rsidRPr="004D6B8B">
        <w:rPr>
          <w:rFonts w:eastAsia="Times New Roman" w:cstheme="minorHAnsi"/>
          <w:sz w:val="24"/>
          <w:szCs w:val="24"/>
        </w:rPr>
        <w:t>. Those with greater apparent power and responsibility found this uncomfortable or arduous</w:t>
      </w:r>
      <w:r w:rsidR="005A13A0" w:rsidRPr="004D6B8B">
        <w:rPr>
          <w:rFonts w:eastAsia="Times New Roman" w:cstheme="minorHAnsi"/>
          <w:sz w:val="24"/>
          <w:szCs w:val="24"/>
        </w:rPr>
        <w:t xml:space="preserve"> (</w:t>
      </w:r>
      <w:proofErr w:type="spellStart"/>
      <w:r w:rsidRPr="004D6B8B">
        <w:rPr>
          <w:rFonts w:eastAsia="Times New Roman" w:cstheme="minorHAnsi"/>
          <w:sz w:val="24"/>
          <w:szCs w:val="24"/>
        </w:rPr>
        <w:t>Manthorpe</w:t>
      </w:r>
      <w:proofErr w:type="spellEnd"/>
      <w:r w:rsidRPr="004D6B8B">
        <w:rPr>
          <w:rFonts w:eastAsia="Times New Roman" w:cstheme="minorHAnsi"/>
          <w:sz w:val="24"/>
          <w:szCs w:val="24"/>
        </w:rPr>
        <w:t xml:space="preserve"> et al</w:t>
      </w:r>
      <w:r w:rsidR="002638E8" w:rsidRPr="004D6B8B">
        <w:rPr>
          <w:rFonts w:eastAsia="Times New Roman" w:cstheme="minorHAnsi"/>
          <w:sz w:val="24"/>
          <w:szCs w:val="24"/>
        </w:rPr>
        <w:t>.,</w:t>
      </w:r>
      <w:r w:rsidRPr="004D6B8B">
        <w:rPr>
          <w:rFonts w:eastAsia="Times New Roman" w:cstheme="minorHAnsi"/>
          <w:sz w:val="24"/>
          <w:szCs w:val="24"/>
        </w:rPr>
        <w:t xml:space="preserve"> 2009</w:t>
      </w:r>
      <w:r w:rsidR="002638E8" w:rsidRPr="004D6B8B">
        <w:rPr>
          <w:rFonts w:eastAsia="Times New Roman" w:cstheme="minorHAnsi"/>
          <w:sz w:val="24"/>
          <w:szCs w:val="24"/>
        </w:rPr>
        <w:t>;</w:t>
      </w:r>
      <w:r w:rsidRPr="004D6B8B">
        <w:rPr>
          <w:rFonts w:eastAsia="Times New Roman" w:cstheme="minorHAnsi"/>
          <w:sz w:val="24"/>
          <w:szCs w:val="24"/>
        </w:rPr>
        <w:t xml:space="preserve"> </w:t>
      </w:r>
      <w:r w:rsidR="005A13A0" w:rsidRPr="004D6B8B">
        <w:rPr>
          <w:rFonts w:eastAsia="Times New Roman" w:cstheme="minorHAnsi"/>
          <w:sz w:val="24"/>
          <w:szCs w:val="24"/>
        </w:rPr>
        <w:t>Shah et al</w:t>
      </w:r>
      <w:r w:rsidR="002638E8" w:rsidRPr="004D6B8B">
        <w:rPr>
          <w:rFonts w:eastAsia="Times New Roman" w:cstheme="minorHAnsi"/>
          <w:sz w:val="24"/>
          <w:szCs w:val="24"/>
        </w:rPr>
        <w:t>.,</w:t>
      </w:r>
      <w:r w:rsidR="005A13A0" w:rsidRPr="004D6B8B">
        <w:rPr>
          <w:rFonts w:eastAsia="Times New Roman" w:cstheme="minorHAnsi"/>
          <w:sz w:val="24"/>
          <w:szCs w:val="24"/>
        </w:rPr>
        <w:t xml:space="preserve"> 2010). </w:t>
      </w:r>
      <w:proofErr w:type="spellStart"/>
      <w:r w:rsidR="005A13A0" w:rsidRPr="004D6B8B">
        <w:rPr>
          <w:rFonts w:eastAsia="Times New Roman" w:cstheme="minorHAnsi"/>
          <w:sz w:val="24"/>
          <w:szCs w:val="24"/>
        </w:rPr>
        <w:t>Phair</w:t>
      </w:r>
      <w:proofErr w:type="spellEnd"/>
      <w:r w:rsidR="005A13A0" w:rsidRPr="004D6B8B">
        <w:rPr>
          <w:rFonts w:eastAsia="Times New Roman" w:cstheme="minorHAnsi"/>
          <w:sz w:val="24"/>
          <w:szCs w:val="24"/>
        </w:rPr>
        <w:t xml:space="preserve"> </w:t>
      </w:r>
      <w:r w:rsidR="002638E8" w:rsidRPr="004D6B8B">
        <w:rPr>
          <w:rFonts w:eastAsia="Times New Roman" w:cstheme="minorHAnsi"/>
          <w:sz w:val="24"/>
          <w:szCs w:val="24"/>
        </w:rPr>
        <w:t>&amp;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Manthorpe</w:t>
      </w:r>
      <w:proofErr w:type="spellEnd"/>
      <w:r w:rsidR="005A13A0" w:rsidRPr="004D6B8B">
        <w:rPr>
          <w:rFonts w:eastAsia="Times New Roman" w:cstheme="minorHAnsi"/>
          <w:sz w:val="24"/>
          <w:szCs w:val="24"/>
        </w:rPr>
        <w:t xml:space="preserve"> (2012) found the knowledge-base of matrons </w:t>
      </w:r>
      <w:r w:rsidR="00822BCC" w:rsidRPr="004D6B8B">
        <w:rPr>
          <w:rFonts w:eastAsia="Times New Roman" w:cstheme="minorHAnsi"/>
          <w:sz w:val="24"/>
          <w:szCs w:val="24"/>
        </w:rPr>
        <w:t xml:space="preserve">(nurse managers) </w:t>
      </w:r>
      <w:r w:rsidR="005A13A0" w:rsidRPr="004D6B8B">
        <w:rPr>
          <w:rFonts w:eastAsia="Times New Roman" w:cstheme="minorHAnsi"/>
          <w:sz w:val="24"/>
          <w:szCs w:val="24"/>
        </w:rPr>
        <w:t>was not strong enough to support clear guidance to colleagues. Social work safeguarding leads expressed concern about their additional responsibilities and impact on time-management (</w:t>
      </w:r>
      <w:proofErr w:type="spellStart"/>
      <w:r w:rsidR="005A13A0" w:rsidRPr="004D6B8B">
        <w:rPr>
          <w:rFonts w:eastAsia="Times New Roman" w:cstheme="minorHAnsi"/>
          <w:sz w:val="24"/>
          <w:szCs w:val="24"/>
        </w:rPr>
        <w:t>Manthorpe</w:t>
      </w:r>
      <w:proofErr w:type="spellEnd"/>
      <w:r w:rsidR="005A13A0" w:rsidRPr="004D6B8B">
        <w:rPr>
          <w:rFonts w:eastAsia="Times New Roman" w:cstheme="minorHAnsi"/>
          <w:sz w:val="24"/>
          <w:szCs w:val="24"/>
        </w:rPr>
        <w:t xml:space="preserve"> et al</w:t>
      </w:r>
      <w:r w:rsidR="002638E8" w:rsidRPr="004D6B8B">
        <w:rPr>
          <w:rFonts w:eastAsia="Times New Roman" w:cstheme="minorHAnsi"/>
          <w:sz w:val="24"/>
          <w:szCs w:val="24"/>
        </w:rPr>
        <w:t>.,</w:t>
      </w:r>
      <w:r w:rsidR="005A13A0" w:rsidRPr="004D6B8B">
        <w:rPr>
          <w:rFonts w:eastAsia="Times New Roman" w:cstheme="minorHAnsi"/>
          <w:sz w:val="24"/>
          <w:szCs w:val="24"/>
        </w:rPr>
        <w:t xml:space="preserve"> 2009)</w:t>
      </w:r>
      <w:r w:rsidR="00EA55CB" w:rsidRPr="004D6B8B">
        <w:rPr>
          <w:rFonts w:eastAsia="Times New Roman" w:cstheme="minorHAnsi"/>
          <w:sz w:val="24"/>
          <w:szCs w:val="24"/>
        </w:rPr>
        <w:t xml:space="preserve">. However, </w:t>
      </w:r>
      <w:r w:rsidR="005A13A0" w:rsidRPr="004D6B8B">
        <w:rPr>
          <w:rFonts w:eastAsia="Times New Roman" w:cstheme="minorHAnsi"/>
          <w:sz w:val="24"/>
          <w:szCs w:val="24"/>
        </w:rPr>
        <w:t>Speech and Language therapists wished to be consulted more often (McCormick et al</w:t>
      </w:r>
      <w:r w:rsidR="002638E8" w:rsidRPr="004D6B8B">
        <w:rPr>
          <w:rFonts w:eastAsia="Times New Roman" w:cstheme="minorHAnsi"/>
          <w:sz w:val="24"/>
          <w:szCs w:val="24"/>
        </w:rPr>
        <w:t>.,</w:t>
      </w:r>
      <w:r w:rsidR="005A13A0" w:rsidRPr="004D6B8B">
        <w:rPr>
          <w:rFonts w:eastAsia="Times New Roman" w:cstheme="minorHAnsi"/>
          <w:sz w:val="24"/>
          <w:szCs w:val="24"/>
        </w:rPr>
        <w:t xml:space="preserve"> 2017) and</w:t>
      </w:r>
      <w:r w:rsidRPr="004D6B8B">
        <w:rPr>
          <w:rFonts w:eastAsia="Times New Roman" w:cstheme="minorHAnsi"/>
          <w:sz w:val="24"/>
          <w:szCs w:val="24"/>
        </w:rPr>
        <w:t xml:space="preserve"> expressed frustration at their perceived lack of power in contrast to that of a </w:t>
      </w:r>
      <w:r w:rsidR="00B160AC" w:rsidRPr="004D6B8B">
        <w:rPr>
          <w:rFonts w:eastAsia="Times New Roman" w:cstheme="minorHAnsi"/>
          <w:sz w:val="24"/>
          <w:szCs w:val="24"/>
        </w:rPr>
        <w:t xml:space="preserve">medical </w:t>
      </w:r>
      <w:r w:rsidRPr="004D6B8B">
        <w:rPr>
          <w:rFonts w:eastAsia="Times New Roman" w:cstheme="minorHAnsi"/>
          <w:sz w:val="24"/>
          <w:szCs w:val="24"/>
        </w:rPr>
        <w:t xml:space="preserve">consultant. </w:t>
      </w:r>
      <w:proofErr w:type="gramStart"/>
      <w:r w:rsidR="005A13A0" w:rsidRPr="004D6B8B">
        <w:rPr>
          <w:rFonts w:eastAsia="Times New Roman" w:cstheme="minorHAnsi"/>
          <w:sz w:val="24"/>
          <w:szCs w:val="24"/>
        </w:rPr>
        <w:t xml:space="preserve">Marshall </w:t>
      </w:r>
      <w:r w:rsidR="002638E8" w:rsidRPr="004D6B8B">
        <w:rPr>
          <w:rFonts w:eastAsia="Times New Roman" w:cstheme="minorHAnsi"/>
          <w:sz w:val="24"/>
          <w:szCs w:val="24"/>
        </w:rPr>
        <w:t>&amp;</w:t>
      </w:r>
      <w:proofErr w:type="gramEnd"/>
      <w:r w:rsidR="005A13A0" w:rsidRPr="004D6B8B">
        <w:rPr>
          <w:rFonts w:eastAsia="Times New Roman" w:cstheme="minorHAnsi"/>
          <w:sz w:val="24"/>
          <w:szCs w:val="24"/>
        </w:rPr>
        <w:t xml:space="preserve"> Sprung (2016b) found nurses wished they had more confidence to enable them to challenge medical colleagues, who </w:t>
      </w:r>
      <w:r w:rsidR="009913F0" w:rsidRPr="004D6B8B">
        <w:rPr>
          <w:rFonts w:eastAsia="Times New Roman" w:cstheme="minorHAnsi"/>
          <w:sz w:val="24"/>
          <w:szCs w:val="24"/>
        </w:rPr>
        <w:t>had more influence</w:t>
      </w:r>
      <w:r w:rsidR="005A13A0" w:rsidRPr="004D6B8B">
        <w:rPr>
          <w:rFonts w:eastAsia="Times New Roman" w:cstheme="minorHAnsi"/>
          <w:sz w:val="24"/>
          <w:szCs w:val="24"/>
        </w:rPr>
        <w:t xml:space="preserve"> despite being less familiar with patients.</w:t>
      </w:r>
      <w:r w:rsidR="001B136D" w:rsidRPr="004D6B8B">
        <w:rPr>
          <w:rFonts w:eastAsia="Times New Roman" w:cstheme="minorHAnsi"/>
          <w:sz w:val="24"/>
          <w:szCs w:val="24"/>
        </w:rPr>
        <w:t xml:space="preserve"> </w:t>
      </w:r>
      <w:r w:rsidR="00861DB6" w:rsidRPr="004D6B8B">
        <w:rPr>
          <w:rFonts w:eastAsia="Times New Roman" w:cstheme="minorHAnsi"/>
          <w:sz w:val="24"/>
          <w:szCs w:val="24"/>
        </w:rPr>
        <w:t>In common with Marshal</w:t>
      </w:r>
      <w:r w:rsidR="002638E8" w:rsidRPr="004D6B8B">
        <w:rPr>
          <w:rFonts w:eastAsia="Times New Roman" w:cstheme="minorHAnsi"/>
          <w:sz w:val="24"/>
          <w:szCs w:val="24"/>
        </w:rPr>
        <w:t>l</w:t>
      </w:r>
      <w:r w:rsidR="00861DB6" w:rsidRPr="004D6B8B">
        <w:rPr>
          <w:rFonts w:eastAsia="Times New Roman" w:cstheme="minorHAnsi"/>
          <w:sz w:val="24"/>
          <w:szCs w:val="24"/>
        </w:rPr>
        <w:t xml:space="preserve"> </w:t>
      </w:r>
      <w:r w:rsidR="002638E8" w:rsidRPr="004D6B8B">
        <w:rPr>
          <w:rFonts w:eastAsia="Times New Roman" w:cstheme="minorHAnsi"/>
          <w:sz w:val="24"/>
          <w:szCs w:val="24"/>
        </w:rPr>
        <w:t>&amp;</w:t>
      </w:r>
      <w:r w:rsidR="00861DB6" w:rsidRPr="004D6B8B">
        <w:rPr>
          <w:rFonts w:eastAsia="Times New Roman" w:cstheme="minorHAnsi"/>
          <w:sz w:val="24"/>
          <w:szCs w:val="24"/>
        </w:rPr>
        <w:t xml:space="preserve"> Sprung 2016</w:t>
      </w:r>
      <w:r w:rsidR="007B62FA" w:rsidRPr="004D6B8B">
        <w:rPr>
          <w:rFonts w:eastAsia="Times New Roman" w:cstheme="minorHAnsi"/>
          <w:sz w:val="24"/>
          <w:szCs w:val="24"/>
        </w:rPr>
        <w:t>b</w:t>
      </w:r>
      <w:r w:rsidR="00861DB6" w:rsidRPr="004D6B8B">
        <w:rPr>
          <w:rFonts w:eastAsia="Times New Roman" w:cstheme="minorHAnsi"/>
          <w:sz w:val="24"/>
          <w:szCs w:val="24"/>
        </w:rPr>
        <w:t xml:space="preserve">), </w:t>
      </w:r>
      <w:proofErr w:type="spellStart"/>
      <w:r w:rsidR="008A3332" w:rsidRPr="004D6B8B">
        <w:rPr>
          <w:rFonts w:eastAsia="Times New Roman" w:cstheme="minorHAnsi"/>
          <w:sz w:val="24"/>
          <w:szCs w:val="24"/>
        </w:rPr>
        <w:t>Phair</w:t>
      </w:r>
      <w:proofErr w:type="spellEnd"/>
      <w:r w:rsidR="008A3332" w:rsidRPr="004D6B8B">
        <w:rPr>
          <w:rFonts w:eastAsia="Times New Roman" w:cstheme="minorHAnsi"/>
          <w:sz w:val="24"/>
          <w:szCs w:val="24"/>
        </w:rPr>
        <w:t xml:space="preserve"> </w:t>
      </w:r>
      <w:r w:rsidR="002638E8" w:rsidRPr="004D6B8B">
        <w:rPr>
          <w:rFonts w:eastAsia="Times New Roman" w:cstheme="minorHAnsi"/>
          <w:sz w:val="24"/>
          <w:szCs w:val="24"/>
        </w:rPr>
        <w:t>&amp;</w:t>
      </w:r>
      <w:r w:rsidR="008A3332" w:rsidRPr="004D6B8B">
        <w:rPr>
          <w:rFonts w:eastAsia="Times New Roman" w:cstheme="minorHAnsi"/>
          <w:sz w:val="24"/>
          <w:szCs w:val="24"/>
        </w:rPr>
        <w:t xml:space="preserve"> </w:t>
      </w:r>
      <w:proofErr w:type="spellStart"/>
      <w:r w:rsidR="008A3332" w:rsidRPr="004D6B8B">
        <w:rPr>
          <w:rFonts w:eastAsia="Times New Roman" w:cstheme="minorHAnsi"/>
          <w:sz w:val="24"/>
          <w:szCs w:val="24"/>
        </w:rPr>
        <w:t>Manthorpe</w:t>
      </w:r>
      <w:proofErr w:type="spellEnd"/>
      <w:r w:rsidR="008A3332" w:rsidRPr="004D6B8B">
        <w:rPr>
          <w:rFonts w:eastAsia="Times New Roman" w:cstheme="minorHAnsi"/>
          <w:sz w:val="24"/>
          <w:szCs w:val="24"/>
        </w:rPr>
        <w:t xml:space="preserve"> (2012) emphasized </w:t>
      </w:r>
      <w:r w:rsidR="00DB6AC3" w:rsidRPr="004D6B8B">
        <w:rPr>
          <w:rFonts w:eastAsia="Times New Roman" w:cstheme="minorHAnsi"/>
          <w:sz w:val="24"/>
          <w:szCs w:val="24"/>
        </w:rPr>
        <w:t xml:space="preserve">the </w:t>
      </w:r>
      <w:r w:rsidR="008A3332" w:rsidRPr="004D6B8B">
        <w:rPr>
          <w:rFonts w:eastAsia="Times New Roman" w:cstheme="minorHAnsi"/>
          <w:sz w:val="24"/>
          <w:szCs w:val="24"/>
        </w:rPr>
        <w:t xml:space="preserve">personal responsibility </w:t>
      </w:r>
      <w:r w:rsidR="00DB6AC3" w:rsidRPr="004D6B8B">
        <w:rPr>
          <w:rFonts w:eastAsia="Times New Roman" w:cstheme="minorHAnsi"/>
          <w:sz w:val="24"/>
          <w:szCs w:val="24"/>
        </w:rPr>
        <w:t xml:space="preserve">of staff to update </w:t>
      </w:r>
      <w:r w:rsidR="00861DB6" w:rsidRPr="004D6B8B">
        <w:rPr>
          <w:rFonts w:eastAsia="Times New Roman" w:cstheme="minorHAnsi"/>
          <w:sz w:val="24"/>
          <w:szCs w:val="24"/>
        </w:rPr>
        <w:t xml:space="preserve">themselves, </w:t>
      </w:r>
      <w:r w:rsidR="00E3483F" w:rsidRPr="004D6B8B">
        <w:rPr>
          <w:rFonts w:eastAsia="Times New Roman" w:cstheme="minorHAnsi"/>
          <w:sz w:val="24"/>
          <w:szCs w:val="24"/>
        </w:rPr>
        <w:t xml:space="preserve">but </w:t>
      </w:r>
      <w:r w:rsidR="00D81D0D" w:rsidRPr="004D6B8B">
        <w:rPr>
          <w:rFonts w:eastAsia="Times New Roman" w:cstheme="minorHAnsi"/>
          <w:sz w:val="24"/>
          <w:szCs w:val="24"/>
        </w:rPr>
        <w:t>dispute</w:t>
      </w:r>
      <w:r w:rsidR="00E3483F" w:rsidRPr="004D6B8B">
        <w:rPr>
          <w:rFonts w:eastAsia="Times New Roman" w:cstheme="minorHAnsi"/>
          <w:sz w:val="24"/>
          <w:szCs w:val="24"/>
        </w:rPr>
        <w:t xml:space="preserve"> expectations</w:t>
      </w:r>
      <w:r w:rsidR="00D81D0D" w:rsidRPr="004D6B8B">
        <w:rPr>
          <w:rFonts w:eastAsia="Times New Roman" w:cstheme="minorHAnsi"/>
          <w:sz w:val="24"/>
          <w:szCs w:val="24"/>
        </w:rPr>
        <w:t xml:space="preserve"> </w:t>
      </w:r>
      <w:r w:rsidR="00E3483F" w:rsidRPr="004D6B8B">
        <w:rPr>
          <w:rFonts w:eastAsia="Times New Roman" w:cstheme="minorHAnsi"/>
          <w:sz w:val="24"/>
          <w:szCs w:val="24"/>
        </w:rPr>
        <w:t>that nurses should model</w:t>
      </w:r>
      <w:r w:rsidR="00D81D0D" w:rsidRPr="004D6B8B">
        <w:rPr>
          <w:rFonts w:eastAsia="Times New Roman" w:cstheme="minorHAnsi"/>
          <w:sz w:val="24"/>
          <w:szCs w:val="24"/>
        </w:rPr>
        <w:t xml:space="preserve"> good practice</w:t>
      </w:r>
      <w:r w:rsidR="00861DB6" w:rsidRPr="004D6B8B">
        <w:rPr>
          <w:rFonts w:eastAsia="Times New Roman" w:cstheme="minorHAnsi"/>
          <w:sz w:val="24"/>
          <w:szCs w:val="24"/>
        </w:rPr>
        <w:t xml:space="preserve">, </w:t>
      </w:r>
      <w:r w:rsidR="008A3332" w:rsidRPr="004D6B8B">
        <w:rPr>
          <w:rFonts w:eastAsia="Times New Roman" w:cstheme="minorHAnsi"/>
          <w:sz w:val="24"/>
          <w:szCs w:val="24"/>
        </w:rPr>
        <w:t xml:space="preserve">acknowledging the difficulties of </w:t>
      </w:r>
      <w:r w:rsidR="00861DB6" w:rsidRPr="004D6B8B">
        <w:rPr>
          <w:rFonts w:eastAsia="Times New Roman" w:cstheme="minorHAnsi"/>
          <w:sz w:val="24"/>
          <w:szCs w:val="24"/>
        </w:rPr>
        <w:t xml:space="preserve">both </w:t>
      </w:r>
      <w:r w:rsidR="008A3332" w:rsidRPr="004D6B8B">
        <w:rPr>
          <w:rFonts w:eastAsia="Times New Roman" w:cstheme="minorHAnsi"/>
          <w:sz w:val="24"/>
          <w:szCs w:val="24"/>
        </w:rPr>
        <w:t xml:space="preserve">finding time </w:t>
      </w:r>
      <w:r w:rsidR="00DB6AC3" w:rsidRPr="004D6B8B">
        <w:rPr>
          <w:rFonts w:eastAsia="Times New Roman" w:cstheme="minorHAnsi"/>
          <w:sz w:val="24"/>
          <w:szCs w:val="24"/>
        </w:rPr>
        <w:t>for learning</w:t>
      </w:r>
      <w:r w:rsidR="008A3332" w:rsidRPr="004D6B8B">
        <w:rPr>
          <w:rFonts w:eastAsia="Times New Roman" w:cstheme="minorHAnsi"/>
          <w:sz w:val="24"/>
          <w:szCs w:val="24"/>
        </w:rPr>
        <w:t xml:space="preserve"> and </w:t>
      </w:r>
      <w:r w:rsidR="00DB6AC3" w:rsidRPr="004D6B8B">
        <w:rPr>
          <w:rFonts w:eastAsia="Times New Roman" w:cstheme="minorHAnsi"/>
          <w:sz w:val="24"/>
          <w:szCs w:val="24"/>
        </w:rPr>
        <w:t xml:space="preserve">with </w:t>
      </w:r>
      <w:r w:rsidR="008A3332" w:rsidRPr="004D6B8B">
        <w:rPr>
          <w:rFonts w:eastAsia="Times New Roman" w:cstheme="minorHAnsi"/>
          <w:sz w:val="24"/>
          <w:szCs w:val="24"/>
        </w:rPr>
        <w:t xml:space="preserve">challenging the practice of more powerful colleagues. </w:t>
      </w:r>
    </w:p>
    <w:p w14:paraId="56F50B38" w14:textId="0635C5FF" w:rsidR="00253C65" w:rsidRPr="004D6B8B" w:rsidRDefault="397EC2D7" w:rsidP="397EC2D7">
      <w:pPr>
        <w:rPr>
          <w:rFonts w:eastAsia="Times New Roman" w:cstheme="minorHAnsi"/>
          <w:b/>
          <w:bCs/>
          <w:sz w:val="24"/>
          <w:szCs w:val="24"/>
        </w:rPr>
      </w:pPr>
      <w:r w:rsidRPr="004D6B8B">
        <w:rPr>
          <w:rFonts w:eastAsia="Times New Roman" w:cstheme="minorHAnsi"/>
          <w:b/>
          <w:bCs/>
          <w:sz w:val="24"/>
          <w:szCs w:val="24"/>
        </w:rPr>
        <w:lastRenderedPageBreak/>
        <w:t>D</w:t>
      </w:r>
      <w:r w:rsidR="005F3235" w:rsidRPr="004D6B8B">
        <w:rPr>
          <w:rFonts w:eastAsia="Times New Roman" w:cstheme="minorHAnsi"/>
          <w:b/>
          <w:bCs/>
          <w:sz w:val="24"/>
          <w:szCs w:val="24"/>
        </w:rPr>
        <w:t>iscussion</w:t>
      </w:r>
    </w:p>
    <w:p w14:paraId="7402664F" w14:textId="47B22FFA" w:rsidR="00862B52" w:rsidRPr="004D6B8B" w:rsidRDefault="005A13A0" w:rsidP="005A13A0">
      <w:pPr>
        <w:rPr>
          <w:rFonts w:cstheme="minorHAnsi"/>
          <w:sz w:val="24"/>
          <w:szCs w:val="24"/>
        </w:rPr>
      </w:pPr>
      <w:r w:rsidRPr="004D6B8B">
        <w:rPr>
          <w:rFonts w:cstheme="minorHAnsi"/>
          <w:sz w:val="24"/>
          <w:szCs w:val="24"/>
        </w:rPr>
        <w:t xml:space="preserve">This review identified </w:t>
      </w:r>
      <w:r w:rsidR="00623B15" w:rsidRPr="004D6B8B">
        <w:rPr>
          <w:rFonts w:cstheme="minorHAnsi"/>
          <w:sz w:val="24"/>
          <w:szCs w:val="24"/>
        </w:rPr>
        <w:t>1</w:t>
      </w:r>
      <w:r w:rsidR="00DC5BEF" w:rsidRPr="004D6B8B">
        <w:rPr>
          <w:rFonts w:cstheme="minorHAnsi"/>
          <w:sz w:val="24"/>
          <w:szCs w:val="24"/>
        </w:rPr>
        <w:t>6</w:t>
      </w:r>
      <w:r w:rsidR="00623B15" w:rsidRPr="004D6B8B">
        <w:rPr>
          <w:rFonts w:cstheme="minorHAnsi"/>
          <w:sz w:val="24"/>
          <w:szCs w:val="24"/>
        </w:rPr>
        <w:t xml:space="preserve"> studies which used and evaluated a </w:t>
      </w:r>
      <w:r w:rsidRPr="004D6B8B">
        <w:rPr>
          <w:rFonts w:cstheme="minorHAnsi"/>
          <w:sz w:val="24"/>
          <w:szCs w:val="24"/>
        </w:rPr>
        <w:t>range of training interventions aimed at t</w:t>
      </w:r>
      <w:r w:rsidR="00B160AC" w:rsidRPr="004D6B8B">
        <w:rPr>
          <w:rFonts w:cstheme="minorHAnsi"/>
          <w:sz w:val="24"/>
          <w:szCs w:val="24"/>
        </w:rPr>
        <w:t xml:space="preserve">raining </w:t>
      </w:r>
      <w:r w:rsidRPr="004D6B8B">
        <w:rPr>
          <w:rFonts w:cstheme="minorHAnsi"/>
          <w:sz w:val="24"/>
          <w:szCs w:val="24"/>
        </w:rPr>
        <w:t>health and social care professionals how to implement the Mental Capacity Act (</w:t>
      </w:r>
      <w:r w:rsidR="0034087F" w:rsidRPr="004D6B8B">
        <w:rPr>
          <w:rFonts w:cstheme="minorHAnsi"/>
          <w:sz w:val="24"/>
          <w:szCs w:val="24"/>
        </w:rPr>
        <w:t xml:space="preserve">DH, </w:t>
      </w:r>
      <w:r w:rsidRPr="004D6B8B">
        <w:rPr>
          <w:rFonts w:cstheme="minorHAnsi"/>
          <w:sz w:val="24"/>
          <w:szCs w:val="24"/>
        </w:rPr>
        <w:t>2005)</w:t>
      </w:r>
      <w:r w:rsidR="00623B15" w:rsidRPr="004D6B8B">
        <w:rPr>
          <w:rFonts w:cstheme="minorHAnsi"/>
          <w:sz w:val="24"/>
          <w:szCs w:val="24"/>
        </w:rPr>
        <w:t>.</w:t>
      </w:r>
      <w:r w:rsidRPr="004D6B8B">
        <w:rPr>
          <w:rFonts w:cstheme="minorHAnsi"/>
          <w:sz w:val="24"/>
          <w:szCs w:val="24"/>
        </w:rPr>
        <w:t xml:space="preserve">  Findings indicate that training is often poorly applied to practice</w:t>
      </w:r>
      <w:r w:rsidR="00862B52" w:rsidRPr="004D6B8B">
        <w:rPr>
          <w:rFonts w:cstheme="minorHAnsi"/>
          <w:sz w:val="24"/>
          <w:szCs w:val="24"/>
        </w:rPr>
        <w:t xml:space="preserve"> and confirmed existing evidence suggesting that the legislation is not followed effectively (House of Lords</w:t>
      </w:r>
      <w:r w:rsidR="002638E8" w:rsidRPr="004D6B8B">
        <w:rPr>
          <w:rFonts w:cstheme="minorHAnsi"/>
          <w:sz w:val="24"/>
          <w:szCs w:val="24"/>
        </w:rPr>
        <w:t>,</w:t>
      </w:r>
      <w:r w:rsidR="00862B52" w:rsidRPr="004D6B8B">
        <w:rPr>
          <w:rFonts w:cstheme="minorHAnsi"/>
          <w:sz w:val="24"/>
          <w:szCs w:val="24"/>
        </w:rPr>
        <w:t xml:space="preserve"> 2014) and that service users’ autonomy is not respected (</w:t>
      </w:r>
      <w:proofErr w:type="spellStart"/>
      <w:r w:rsidR="00862B52" w:rsidRPr="004D6B8B">
        <w:rPr>
          <w:rFonts w:cstheme="minorHAnsi"/>
          <w:sz w:val="24"/>
          <w:szCs w:val="24"/>
        </w:rPr>
        <w:t>Taghizadeh</w:t>
      </w:r>
      <w:proofErr w:type="spellEnd"/>
      <w:r w:rsidR="00862B52" w:rsidRPr="004D6B8B">
        <w:rPr>
          <w:rFonts w:cstheme="minorHAnsi"/>
          <w:sz w:val="24"/>
          <w:szCs w:val="24"/>
        </w:rPr>
        <w:t xml:space="preserve"> Larsson </w:t>
      </w:r>
      <w:r w:rsidR="002638E8" w:rsidRPr="004D6B8B">
        <w:rPr>
          <w:rFonts w:cstheme="minorHAnsi"/>
          <w:sz w:val="24"/>
          <w:szCs w:val="24"/>
        </w:rPr>
        <w:t>&amp;</w:t>
      </w:r>
      <w:r w:rsidR="00862B52" w:rsidRPr="004D6B8B">
        <w:rPr>
          <w:rFonts w:cstheme="minorHAnsi"/>
          <w:sz w:val="24"/>
          <w:szCs w:val="24"/>
        </w:rPr>
        <w:t xml:space="preserve"> </w:t>
      </w:r>
      <w:proofErr w:type="spellStart"/>
      <w:r w:rsidR="00862B52" w:rsidRPr="004D6B8B">
        <w:rPr>
          <w:rFonts w:cstheme="minorHAnsi"/>
          <w:sz w:val="24"/>
          <w:szCs w:val="24"/>
        </w:rPr>
        <w:t>Österholm</w:t>
      </w:r>
      <w:proofErr w:type="spellEnd"/>
      <w:r w:rsidR="00862B52" w:rsidRPr="004D6B8B">
        <w:rPr>
          <w:rFonts w:cstheme="minorHAnsi"/>
          <w:sz w:val="24"/>
          <w:szCs w:val="24"/>
        </w:rPr>
        <w:t>, 2014).</w:t>
      </w:r>
    </w:p>
    <w:p w14:paraId="7268731D" w14:textId="09AEE09F" w:rsidR="00C71C02" w:rsidRPr="004D6B8B" w:rsidRDefault="005A13A0" w:rsidP="005A13A0">
      <w:pPr>
        <w:rPr>
          <w:rFonts w:cstheme="minorHAnsi"/>
          <w:sz w:val="24"/>
          <w:szCs w:val="24"/>
        </w:rPr>
      </w:pPr>
      <w:r w:rsidRPr="004D6B8B">
        <w:rPr>
          <w:rFonts w:cstheme="minorHAnsi"/>
          <w:sz w:val="24"/>
          <w:szCs w:val="24"/>
        </w:rPr>
        <w:t xml:space="preserve"> Factors which </w:t>
      </w:r>
      <w:r w:rsidR="00623B15" w:rsidRPr="004D6B8B">
        <w:rPr>
          <w:rFonts w:cstheme="minorHAnsi"/>
          <w:sz w:val="24"/>
          <w:szCs w:val="24"/>
        </w:rPr>
        <w:t xml:space="preserve">contribute to </w:t>
      </w:r>
      <w:proofErr w:type="gramStart"/>
      <w:r w:rsidR="00623B15" w:rsidRPr="004D6B8B">
        <w:rPr>
          <w:rFonts w:cstheme="minorHAnsi"/>
          <w:sz w:val="24"/>
          <w:szCs w:val="24"/>
        </w:rPr>
        <w:t xml:space="preserve">both </w:t>
      </w:r>
      <w:r w:rsidRPr="004D6B8B">
        <w:rPr>
          <w:rFonts w:cstheme="minorHAnsi"/>
          <w:sz w:val="24"/>
          <w:szCs w:val="24"/>
        </w:rPr>
        <w:t>obstruct</w:t>
      </w:r>
      <w:r w:rsidR="00623B15" w:rsidRPr="004D6B8B">
        <w:rPr>
          <w:rFonts w:cstheme="minorHAnsi"/>
          <w:sz w:val="24"/>
          <w:szCs w:val="24"/>
        </w:rPr>
        <w:t>ing</w:t>
      </w:r>
      <w:r w:rsidRPr="004D6B8B">
        <w:rPr>
          <w:rFonts w:cstheme="minorHAnsi"/>
          <w:sz w:val="24"/>
          <w:szCs w:val="24"/>
        </w:rPr>
        <w:t xml:space="preserve"> or</w:t>
      </w:r>
      <w:proofErr w:type="gramEnd"/>
      <w:r w:rsidRPr="004D6B8B">
        <w:rPr>
          <w:rFonts w:cstheme="minorHAnsi"/>
          <w:sz w:val="24"/>
          <w:szCs w:val="24"/>
        </w:rPr>
        <w:t xml:space="preserve"> facilitat</w:t>
      </w:r>
      <w:r w:rsidR="00623B15" w:rsidRPr="004D6B8B">
        <w:rPr>
          <w:rFonts w:cstheme="minorHAnsi"/>
          <w:sz w:val="24"/>
          <w:szCs w:val="24"/>
        </w:rPr>
        <w:t>ing</w:t>
      </w:r>
      <w:r w:rsidRPr="004D6B8B">
        <w:rPr>
          <w:rFonts w:cstheme="minorHAnsi"/>
          <w:sz w:val="24"/>
          <w:szCs w:val="24"/>
        </w:rPr>
        <w:t xml:space="preserve"> learning transfer were </w:t>
      </w:r>
      <w:proofErr w:type="spellStart"/>
      <w:r w:rsidR="00623B15" w:rsidRPr="004D6B8B">
        <w:rPr>
          <w:rFonts w:cstheme="minorHAnsi"/>
          <w:sz w:val="24"/>
          <w:szCs w:val="24"/>
        </w:rPr>
        <w:t>analysed</w:t>
      </w:r>
      <w:proofErr w:type="spellEnd"/>
      <w:r w:rsidRPr="004D6B8B">
        <w:rPr>
          <w:rFonts w:cstheme="minorHAnsi"/>
          <w:sz w:val="24"/>
          <w:szCs w:val="24"/>
        </w:rPr>
        <w:t xml:space="preserve"> in the process of data abstraction. </w:t>
      </w:r>
      <w:r w:rsidR="00623B15" w:rsidRPr="004D6B8B">
        <w:rPr>
          <w:rFonts w:cstheme="minorHAnsi"/>
          <w:sz w:val="24"/>
          <w:szCs w:val="24"/>
        </w:rPr>
        <w:t>The majority of included studies in the review provided evidence that MCA training has limited impact in real world health</w:t>
      </w:r>
      <w:r w:rsidR="00B160AC" w:rsidRPr="004D6B8B">
        <w:rPr>
          <w:rFonts w:cstheme="minorHAnsi"/>
          <w:sz w:val="24"/>
          <w:szCs w:val="24"/>
        </w:rPr>
        <w:t xml:space="preserve"> and social </w:t>
      </w:r>
      <w:r w:rsidR="00623B15" w:rsidRPr="004D6B8B">
        <w:rPr>
          <w:rFonts w:cstheme="minorHAnsi"/>
          <w:sz w:val="24"/>
          <w:szCs w:val="24"/>
        </w:rPr>
        <w:t>care settings</w:t>
      </w:r>
      <w:r w:rsidRPr="004D6B8B">
        <w:rPr>
          <w:rFonts w:cstheme="minorHAnsi"/>
          <w:sz w:val="24"/>
          <w:szCs w:val="24"/>
        </w:rPr>
        <w:t xml:space="preserve">. </w:t>
      </w:r>
      <w:r w:rsidR="000A1C66" w:rsidRPr="004D6B8B">
        <w:rPr>
          <w:rFonts w:cstheme="minorHAnsi"/>
          <w:sz w:val="24"/>
          <w:szCs w:val="24"/>
        </w:rPr>
        <w:t xml:space="preserve"> While the studies </w:t>
      </w:r>
      <w:r w:rsidR="004F79DD" w:rsidRPr="004D6B8B">
        <w:rPr>
          <w:rFonts w:cstheme="minorHAnsi"/>
          <w:sz w:val="24"/>
          <w:szCs w:val="24"/>
        </w:rPr>
        <w:t>were able to</w:t>
      </w:r>
      <w:r w:rsidR="000A1C66" w:rsidRPr="004D6B8B">
        <w:rPr>
          <w:rFonts w:cstheme="minorHAnsi"/>
          <w:sz w:val="24"/>
          <w:szCs w:val="24"/>
        </w:rPr>
        <w:t xml:space="preserve"> </w:t>
      </w:r>
      <w:r w:rsidR="00862B52" w:rsidRPr="004D6B8B">
        <w:rPr>
          <w:rFonts w:cstheme="minorHAnsi"/>
          <w:sz w:val="24"/>
          <w:szCs w:val="24"/>
        </w:rPr>
        <w:t>show</w:t>
      </w:r>
      <w:r w:rsidR="000A1C66" w:rsidRPr="004D6B8B">
        <w:rPr>
          <w:rFonts w:cstheme="minorHAnsi"/>
          <w:sz w:val="24"/>
          <w:szCs w:val="24"/>
        </w:rPr>
        <w:t xml:space="preserve"> that real world application is poor post-training, strategies to </w:t>
      </w:r>
      <w:r w:rsidR="009D7EC9" w:rsidRPr="004D6B8B">
        <w:rPr>
          <w:rFonts w:cstheme="minorHAnsi"/>
          <w:sz w:val="24"/>
          <w:szCs w:val="24"/>
        </w:rPr>
        <w:t>demonstrate the opposite</w:t>
      </w:r>
      <w:r w:rsidR="00CF6544" w:rsidRPr="004D6B8B">
        <w:rPr>
          <w:rFonts w:cstheme="minorHAnsi"/>
          <w:sz w:val="24"/>
          <w:szCs w:val="24"/>
        </w:rPr>
        <w:t xml:space="preserve"> </w:t>
      </w:r>
      <w:r w:rsidR="009D7EC9" w:rsidRPr="004D6B8B">
        <w:rPr>
          <w:rFonts w:cstheme="minorHAnsi"/>
          <w:sz w:val="24"/>
          <w:szCs w:val="24"/>
        </w:rPr>
        <w:t xml:space="preserve">and </w:t>
      </w:r>
      <w:r w:rsidR="000A1C66" w:rsidRPr="004D6B8B">
        <w:rPr>
          <w:rFonts w:cstheme="minorHAnsi"/>
          <w:sz w:val="24"/>
          <w:szCs w:val="24"/>
        </w:rPr>
        <w:t xml:space="preserve">evaluate </w:t>
      </w:r>
      <w:r w:rsidR="009D7EC9" w:rsidRPr="004D6B8B">
        <w:rPr>
          <w:rFonts w:cstheme="minorHAnsi"/>
          <w:sz w:val="24"/>
          <w:szCs w:val="24"/>
        </w:rPr>
        <w:t>successful</w:t>
      </w:r>
      <w:r w:rsidR="00E337C1" w:rsidRPr="004D6B8B">
        <w:rPr>
          <w:rFonts w:cstheme="minorHAnsi"/>
          <w:sz w:val="24"/>
          <w:szCs w:val="24"/>
        </w:rPr>
        <w:t xml:space="preserve"> ongoing compliance with the legislation</w:t>
      </w:r>
      <w:r w:rsidR="000A1C66" w:rsidRPr="004D6B8B">
        <w:rPr>
          <w:rFonts w:cstheme="minorHAnsi"/>
          <w:sz w:val="24"/>
          <w:szCs w:val="24"/>
        </w:rPr>
        <w:t xml:space="preserve"> would be difficult to design, given the many confounding factors</w:t>
      </w:r>
      <w:r w:rsidR="00CF6544" w:rsidRPr="004D6B8B">
        <w:rPr>
          <w:rFonts w:cstheme="minorHAnsi"/>
          <w:sz w:val="24"/>
          <w:szCs w:val="24"/>
        </w:rPr>
        <w:t xml:space="preserve"> and unquantifiable nature of training outcomes</w:t>
      </w:r>
      <w:r w:rsidR="000A1C66" w:rsidRPr="004D6B8B">
        <w:rPr>
          <w:rFonts w:cstheme="minorHAnsi"/>
          <w:sz w:val="24"/>
          <w:szCs w:val="24"/>
        </w:rPr>
        <w:t xml:space="preserve">. </w:t>
      </w:r>
      <w:r w:rsidR="00C71C02" w:rsidRPr="004D6B8B">
        <w:rPr>
          <w:rFonts w:cstheme="minorHAnsi"/>
          <w:sz w:val="24"/>
          <w:szCs w:val="24"/>
        </w:rPr>
        <w:t xml:space="preserve">Document audits, as conducted by </w:t>
      </w:r>
      <w:r w:rsidR="00772A60" w:rsidRPr="004D6B8B">
        <w:rPr>
          <w:rFonts w:cstheme="minorHAnsi"/>
          <w:sz w:val="24"/>
          <w:szCs w:val="24"/>
        </w:rPr>
        <w:t xml:space="preserve">Dunlop </w:t>
      </w:r>
      <w:r w:rsidR="002638E8" w:rsidRPr="004D6B8B">
        <w:rPr>
          <w:rFonts w:cstheme="minorHAnsi"/>
          <w:sz w:val="24"/>
          <w:szCs w:val="24"/>
        </w:rPr>
        <w:t>&amp;</w:t>
      </w:r>
      <w:r w:rsidR="00772A60" w:rsidRPr="004D6B8B">
        <w:rPr>
          <w:rFonts w:cstheme="minorHAnsi"/>
          <w:sz w:val="24"/>
          <w:szCs w:val="24"/>
        </w:rPr>
        <w:t xml:space="preserve"> </w:t>
      </w:r>
      <w:proofErr w:type="spellStart"/>
      <w:r w:rsidR="00772A60" w:rsidRPr="004D6B8B">
        <w:rPr>
          <w:rFonts w:cstheme="minorHAnsi"/>
          <w:sz w:val="24"/>
          <w:szCs w:val="24"/>
        </w:rPr>
        <w:t>Sorinmade</w:t>
      </w:r>
      <w:proofErr w:type="spellEnd"/>
      <w:r w:rsidR="00772A60" w:rsidRPr="004D6B8B">
        <w:rPr>
          <w:rFonts w:cstheme="minorHAnsi"/>
          <w:sz w:val="24"/>
          <w:szCs w:val="24"/>
        </w:rPr>
        <w:t xml:space="preserve"> (2014) </w:t>
      </w:r>
      <w:r w:rsidR="00C71C02" w:rsidRPr="004D6B8B">
        <w:rPr>
          <w:rFonts w:cstheme="minorHAnsi"/>
          <w:sz w:val="24"/>
          <w:szCs w:val="24"/>
        </w:rPr>
        <w:t xml:space="preserve">could </w:t>
      </w:r>
      <w:r w:rsidR="005D61EF" w:rsidRPr="004D6B8B">
        <w:rPr>
          <w:rFonts w:cstheme="minorHAnsi"/>
          <w:sz w:val="24"/>
          <w:szCs w:val="24"/>
        </w:rPr>
        <w:t xml:space="preserve">address </w:t>
      </w:r>
      <w:r w:rsidR="00C71C02" w:rsidRPr="004D6B8B">
        <w:rPr>
          <w:rFonts w:cstheme="minorHAnsi"/>
          <w:sz w:val="24"/>
          <w:szCs w:val="24"/>
        </w:rPr>
        <w:t xml:space="preserve">formal recorded capacity assessment processes and evaluate compliance with </w:t>
      </w:r>
      <w:r w:rsidR="005D61EF" w:rsidRPr="004D6B8B">
        <w:rPr>
          <w:rFonts w:cstheme="minorHAnsi"/>
          <w:sz w:val="24"/>
          <w:szCs w:val="24"/>
        </w:rPr>
        <w:t xml:space="preserve">other documented </w:t>
      </w:r>
      <w:r w:rsidR="00C71C02" w:rsidRPr="004D6B8B">
        <w:rPr>
          <w:rFonts w:cstheme="minorHAnsi"/>
          <w:sz w:val="24"/>
          <w:szCs w:val="24"/>
        </w:rPr>
        <w:t xml:space="preserve">requirements, but would not </w:t>
      </w:r>
      <w:r w:rsidR="005D61EF" w:rsidRPr="004D6B8B">
        <w:rPr>
          <w:rFonts w:cstheme="minorHAnsi"/>
          <w:sz w:val="24"/>
          <w:szCs w:val="24"/>
        </w:rPr>
        <w:t>have the scope to monitor</w:t>
      </w:r>
      <w:r w:rsidR="00C71C02" w:rsidRPr="004D6B8B">
        <w:rPr>
          <w:rFonts w:cstheme="minorHAnsi"/>
          <w:sz w:val="24"/>
          <w:szCs w:val="24"/>
        </w:rPr>
        <w:t xml:space="preserve"> </w:t>
      </w:r>
      <w:r w:rsidR="005D61EF" w:rsidRPr="004D6B8B">
        <w:rPr>
          <w:rFonts w:cstheme="minorHAnsi"/>
          <w:sz w:val="24"/>
          <w:szCs w:val="24"/>
        </w:rPr>
        <w:t xml:space="preserve">everyday </w:t>
      </w:r>
      <w:r w:rsidR="00C71C02" w:rsidRPr="004D6B8B">
        <w:rPr>
          <w:rFonts w:cstheme="minorHAnsi"/>
          <w:sz w:val="24"/>
          <w:szCs w:val="24"/>
        </w:rPr>
        <w:t>ethical decision-making</w:t>
      </w:r>
      <w:r w:rsidR="005D61EF" w:rsidRPr="004D6B8B">
        <w:rPr>
          <w:rFonts w:cstheme="minorHAnsi"/>
          <w:sz w:val="24"/>
          <w:szCs w:val="24"/>
        </w:rPr>
        <w:t xml:space="preserve"> carried out in practice</w:t>
      </w:r>
      <w:r w:rsidR="00C71C02" w:rsidRPr="004D6B8B">
        <w:rPr>
          <w:rFonts w:cstheme="minorHAnsi"/>
          <w:sz w:val="24"/>
          <w:szCs w:val="24"/>
        </w:rPr>
        <w:t xml:space="preserve">. </w:t>
      </w:r>
      <w:r w:rsidR="009D7EC9" w:rsidRPr="004D6B8B">
        <w:rPr>
          <w:rFonts w:cstheme="minorHAnsi"/>
          <w:sz w:val="24"/>
          <w:szCs w:val="24"/>
        </w:rPr>
        <w:t>Proxy measurements including knowledge, confidence and testing application to scenarios, were used to reflect participants’ abilities to apply the legislation in practice (</w:t>
      </w:r>
      <w:r w:rsidR="00CF6544" w:rsidRPr="004D6B8B">
        <w:rPr>
          <w:rFonts w:cstheme="minorHAnsi"/>
          <w:sz w:val="24"/>
          <w:szCs w:val="24"/>
        </w:rPr>
        <w:t>Lee-Foster</w:t>
      </w:r>
      <w:r w:rsidR="002638E8" w:rsidRPr="004D6B8B">
        <w:rPr>
          <w:rFonts w:cstheme="minorHAnsi"/>
          <w:sz w:val="24"/>
          <w:szCs w:val="24"/>
        </w:rPr>
        <w:t>,</w:t>
      </w:r>
      <w:r w:rsidR="00CF6544" w:rsidRPr="004D6B8B">
        <w:rPr>
          <w:rFonts w:cstheme="minorHAnsi"/>
          <w:sz w:val="24"/>
          <w:szCs w:val="24"/>
        </w:rPr>
        <w:t xml:space="preserve"> 2010</w:t>
      </w:r>
      <w:r w:rsidR="002638E8" w:rsidRPr="004D6B8B">
        <w:rPr>
          <w:rFonts w:cstheme="minorHAnsi"/>
          <w:sz w:val="24"/>
          <w:szCs w:val="24"/>
        </w:rPr>
        <w:t>;</w:t>
      </w:r>
      <w:r w:rsidR="00CF6544" w:rsidRPr="004D6B8B">
        <w:rPr>
          <w:rFonts w:cstheme="minorHAnsi"/>
          <w:sz w:val="24"/>
          <w:szCs w:val="24"/>
        </w:rPr>
        <w:t xml:space="preserve"> Schofield et al</w:t>
      </w:r>
      <w:r w:rsidR="002638E8" w:rsidRPr="004D6B8B">
        <w:rPr>
          <w:rFonts w:cstheme="minorHAnsi"/>
          <w:sz w:val="24"/>
          <w:szCs w:val="24"/>
        </w:rPr>
        <w:t>.,</w:t>
      </w:r>
      <w:r w:rsidR="00CF6544" w:rsidRPr="004D6B8B">
        <w:rPr>
          <w:rFonts w:cstheme="minorHAnsi"/>
          <w:sz w:val="24"/>
          <w:szCs w:val="24"/>
        </w:rPr>
        <w:t xml:space="preserve"> 2012</w:t>
      </w:r>
      <w:r w:rsidR="002638E8" w:rsidRPr="004D6B8B">
        <w:rPr>
          <w:rFonts w:cstheme="minorHAnsi"/>
          <w:sz w:val="24"/>
          <w:szCs w:val="24"/>
        </w:rPr>
        <w:t>;</w:t>
      </w:r>
      <w:r w:rsidR="00CF6544" w:rsidRPr="004D6B8B">
        <w:rPr>
          <w:rFonts w:cstheme="minorHAnsi"/>
          <w:sz w:val="24"/>
          <w:szCs w:val="24"/>
        </w:rPr>
        <w:t xml:space="preserve"> </w:t>
      </w:r>
      <w:proofErr w:type="spellStart"/>
      <w:r w:rsidR="00CF6544" w:rsidRPr="004D6B8B">
        <w:rPr>
          <w:rFonts w:cstheme="minorHAnsi"/>
          <w:sz w:val="24"/>
          <w:szCs w:val="24"/>
        </w:rPr>
        <w:t>Phair</w:t>
      </w:r>
      <w:proofErr w:type="spellEnd"/>
      <w:r w:rsidR="00CF6544" w:rsidRPr="004D6B8B">
        <w:rPr>
          <w:rFonts w:cstheme="minorHAnsi"/>
          <w:sz w:val="24"/>
          <w:szCs w:val="24"/>
        </w:rPr>
        <w:t xml:space="preserve"> </w:t>
      </w:r>
      <w:r w:rsidR="002638E8" w:rsidRPr="004D6B8B">
        <w:rPr>
          <w:rFonts w:cstheme="minorHAnsi"/>
          <w:sz w:val="24"/>
          <w:szCs w:val="24"/>
        </w:rPr>
        <w:t>&amp;</w:t>
      </w:r>
      <w:r w:rsidR="00CF6544" w:rsidRPr="004D6B8B">
        <w:rPr>
          <w:rFonts w:cstheme="minorHAnsi"/>
          <w:sz w:val="24"/>
          <w:szCs w:val="24"/>
        </w:rPr>
        <w:t xml:space="preserve"> </w:t>
      </w:r>
      <w:proofErr w:type="spellStart"/>
      <w:r w:rsidR="00CF6544" w:rsidRPr="004D6B8B">
        <w:rPr>
          <w:rFonts w:cstheme="minorHAnsi"/>
          <w:sz w:val="24"/>
          <w:szCs w:val="24"/>
        </w:rPr>
        <w:t>Manthorpe</w:t>
      </w:r>
      <w:proofErr w:type="spellEnd"/>
      <w:r w:rsidR="002638E8" w:rsidRPr="004D6B8B">
        <w:rPr>
          <w:rFonts w:cstheme="minorHAnsi"/>
          <w:sz w:val="24"/>
          <w:szCs w:val="24"/>
        </w:rPr>
        <w:t>,</w:t>
      </w:r>
      <w:r w:rsidR="00CF6544" w:rsidRPr="004D6B8B">
        <w:rPr>
          <w:rFonts w:cstheme="minorHAnsi"/>
          <w:sz w:val="24"/>
          <w:szCs w:val="24"/>
        </w:rPr>
        <w:t xml:space="preserve"> 2012</w:t>
      </w:r>
      <w:r w:rsidR="002638E8" w:rsidRPr="004D6B8B">
        <w:rPr>
          <w:rFonts w:cstheme="minorHAnsi"/>
          <w:sz w:val="24"/>
          <w:szCs w:val="24"/>
        </w:rPr>
        <w:t>;</w:t>
      </w:r>
      <w:r w:rsidR="00CF6544" w:rsidRPr="004D6B8B">
        <w:rPr>
          <w:rFonts w:cstheme="minorHAnsi"/>
          <w:sz w:val="24"/>
          <w:szCs w:val="24"/>
        </w:rPr>
        <w:t xml:space="preserve"> </w:t>
      </w:r>
      <w:proofErr w:type="spellStart"/>
      <w:r w:rsidR="00CF6544" w:rsidRPr="004D6B8B">
        <w:rPr>
          <w:rFonts w:cstheme="minorHAnsi"/>
          <w:sz w:val="24"/>
          <w:szCs w:val="24"/>
        </w:rPr>
        <w:t>Willner</w:t>
      </w:r>
      <w:proofErr w:type="spellEnd"/>
      <w:r w:rsidR="00CF6544" w:rsidRPr="004D6B8B">
        <w:rPr>
          <w:rFonts w:cstheme="minorHAnsi"/>
          <w:sz w:val="24"/>
          <w:szCs w:val="24"/>
        </w:rPr>
        <w:t xml:space="preserve"> et al</w:t>
      </w:r>
      <w:r w:rsidR="002638E8" w:rsidRPr="004D6B8B">
        <w:rPr>
          <w:rFonts w:cstheme="minorHAnsi"/>
          <w:sz w:val="24"/>
          <w:szCs w:val="24"/>
        </w:rPr>
        <w:t>.,</w:t>
      </w:r>
      <w:r w:rsidR="00CF6544" w:rsidRPr="004D6B8B">
        <w:rPr>
          <w:rFonts w:cstheme="minorHAnsi"/>
          <w:sz w:val="24"/>
          <w:szCs w:val="24"/>
        </w:rPr>
        <w:t xml:space="preserve"> 2013</w:t>
      </w:r>
      <w:r w:rsidR="002638E8" w:rsidRPr="004D6B8B">
        <w:rPr>
          <w:rFonts w:cstheme="minorHAnsi"/>
          <w:sz w:val="24"/>
          <w:szCs w:val="24"/>
        </w:rPr>
        <w:t>;</w:t>
      </w:r>
      <w:r w:rsidR="00CF6544" w:rsidRPr="004D6B8B">
        <w:rPr>
          <w:rFonts w:cstheme="minorHAnsi"/>
          <w:sz w:val="24"/>
          <w:szCs w:val="24"/>
        </w:rPr>
        <w:t xml:space="preserve"> </w:t>
      </w:r>
      <w:proofErr w:type="gramStart"/>
      <w:r w:rsidR="00CF6544" w:rsidRPr="004D6B8B">
        <w:rPr>
          <w:rFonts w:cstheme="minorHAnsi"/>
          <w:sz w:val="24"/>
          <w:szCs w:val="24"/>
        </w:rPr>
        <w:t xml:space="preserve">Marshall </w:t>
      </w:r>
      <w:r w:rsidR="002638E8" w:rsidRPr="004D6B8B">
        <w:rPr>
          <w:rFonts w:cstheme="minorHAnsi"/>
          <w:sz w:val="24"/>
          <w:szCs w:val="24"/>
        </w:rPr>
        <w:t>&amp;</w:t>
      </w:r>
      <w:proofErr w:type="gramEnd"/>
      <w:r w:rsidR="00CF6544" w:rsidRPr="004D6B8B">
        <w:rPr>
          <w:rFonts w:cstheme="minorHAnsi"/>
          <w:sz w:val="24"/>
          <w:szCs w:val="24"/>
        </w:rPr>
        <w:t xml:space="preserve"> Sprung 2016b</w:t>
      </w:r>
      <w:r w:rsidR="00DC5BEF" w:rsidRPr="004D6B8B">
        <w:rPr>
          <w:rFonts w:cstheme="minorHAnsi"/>
          <w:sz w:val="24"/>
          <w:szCs w:val="24"/>
        </w:rPr>
        <w:t xml:space="preserve">; Bose &amp; </w:t>
      </w:r>
      <w:proofErr w:type="spellStart"/>
      <w:r w:rsidR="00DC5BEF" w:rsidRPr="004D6B8B">
        <w:rPr>
          <w:rFonts w:cstheme="minorHAnsi"/>
          <w:sz w:val="24"/>
          <w:szCs w:val="24"/>
        </w:rPr>
        <w:t>McFiggans</w:t>
      </w:r>
      <w:proofErr w:type="spellEnd"/>
      <w:r w:rsidR="00DC5BEF" w:rsidRPr="004D6B8B">
        <w:rPr>
          <w:rFonts w:cstheme="minorHAnsi"/>
          <w:sz w:val="24"/>
          <w:szCs w:val="24"/>
        </w:rPr>
        <w:t xml:space="preserve"> 2019</w:t>
      </w:r>
      <w:r w:rsidR="009D7EC9" w:rsidRPr="004D6B8B">
        <w:rPr>
          <w:rFonts w:cstheme="minorHAnsi"/>
          <w:sz w:val="24"/>
          <w:szCs w:val="24"/>
        </w:rPr>
        <w:t xml:space="preserve">). </w:t>
      </w:r>
    </w:p>
    <w:p w14:paraId="4313CB51" w14:textId="05D62688" w:rsidR="00DD628A" w:rsidRPr="004D6B8B" w:rsidRDefault="00DD628A" w:rsidP="005A13A0">
      <w:pPr>
        <w:rPr>
          <w:rFonts w:cstheme="minorHAnsi"/>
          <w:sz w:val="24"/>
          <w:szCs w:val="24"/>
          <w:highlight w:val="yellow"/>
        </w:rPr>
      </w:pPr>
      <w:r w:rsidRPr="004D6B8B">
        <w:rPr>
          <w:rFonts w:cstheme="minorHAnsi"/>
          <w:sz w:val="24"/>
          <w:szCs w:val="24"/>
        </w:rPr>
        <w:t>Understanding how the principles of the MCA are applied in practice seems more difficult than initial feedback on the clarity of the MCA seems to warrant. Training can be limited: most common is half a day’s training every three years. Within this timeframe trainees are required to understand not only the principles and how to apply them, but also the two-step test and mechanisms for different types of advance decision-making and the nature of new criminal offences. Further complications arise when service users have complex fluctuating conditions. On detailed assessment post-training, most participants have not retained all aspects, which means they would potentially be breaking the law and failing to uphold their service users’ rights.</w:t>
      </w:r>
    </w:p>
    <w:p w14:paraId="091A1481" w14:textId="6452EB99" w:rsidR="00B015B1" w:rsidRPr="004D6B8B" w:rsidRDefault="00B015B1" w:rsidP="005A13A0">
      <w:pPr>
        <w:rPr>
          <w:rFonts w:cstheme="minorHAnsi"/>
          <w:i/>
          <w:sz w:val="24"/>
          <w:szCs w:val="24"/>
        </w:rPr>
      </w:pPr>
      <w:r w:rsidRPr="004D6B8B">
        <w:rPr>
          <w:rFonts w:cstheme="minorHAnsi"/>
          <w:i/>
          <w:sz w:val="24"/>
          <w:szCs w:val="24"/>
        </w:rPr>
        <w:t>Characteristics that improve training outcomes</w:t>
      </w:r>
    </w:p>
    <w:p w14:paraId="2DE04533" w14:textId="09827143" w:rsidR="00312FFE" w:rsidRPr="004D6B8B" w:rsidRDefault="005A13A0" w:rsidP="00010D7D">
      <w:pPr>
        <w:rPr>
          <w:rFonts w:eastAsia="Times New Roman" w:cstheme="minorHAnsi"/>
          <w:sz w:val="24"/>
          <w:szCs w:val="24"/>
          <w:lang w:val="en-GB" w:eastAsia="en-GB"/>
        </w:rPr>
      </w:pPr>
      <w:r w:rsidRPr="004D6B8B">
        <w:rPr>
          <w:rFonts w:eastAsia="Times New Roman" w:cstheme="minorHAnsi"/>
          <w:sz w:val="24"/>
          <w:szCs w:val="24"/>
          <w:lang w:val="en-GB" w:eastAsia="en-GB"/>
        </w:rPr>
        <w:t>This review</w:t>
      </w:r>
      <w:r w:rsidR="00B34600" w:rsidRPr="004D6B8B">
        <w:rPr>
          <w:rFonts w:eastAsia="Times New Roman" w:cstheme="minorHAnsi"/>
          <w:sz w:val="24"/>
          <w:szCs w:val="24"/>
          <w:lang w:val="en-GB" w:eastAsia="en-GB"/>
        </w:rPr>
        <w:t xml:space="preserve"> focuses directly on </w:t>
      </w:r>
      <w:r w:rsidR="00C4667A" w:rsidRPr="004D6B8B">
        <w:rPr>
          <w:rFonts w:eastAsia="Times New Roman" w:cstheme="minorHAnsi"/>
          <w:sz w:val="24"/>
          <w:szCs w:val="24"/>
          <w:lang w:val="en-GB" w:eastAsia="en-GB"/>
        </w:rPr>
        <w:t xml:space="preserve">MCA </w:t>
      </w:r>
      <w:r w:rsidR="00B34600" w:rsidRPr="004D6B8B">
        <w:rPr>
          <w:rFonts w:eastAsia="Times New Roman" w:cstheme="minorHAnsi"/>
          <w:sz w:val="24"/>
          <w:szCs w:val="24"/>
          <w:lang w:val="en-GB" w:eastAsia="en-GB"/>
        </w:rPr>
        <w:t>training and training outcomes, but</w:t>
      </w:r>
      <w:r w:rsidRPr="004D6B8B">
        <w:rPr>
          <w:rFonts w:eastAsia="Times New Roman" w:cstheme="minorHAnsi"/>
          <w:sz w:val="24"/>
          <w:szCs w:val="24"/>
          <w:lang w:val="en-GB" w:eastAsia="en-GB"/>
        </w:rPr>
        <w:t xml:space="preserve"> uses some of the same sources and confirms some of </w:t>
      </w:r>
      <w:proofErr w:type="spellStart"/>
      <w:r w:rsidRPr="004D6B8B">
        <w:rPr>
          <w:rFonts w:eastAsia="Times New Roman" w:cstheme="minorHAnsi"/>
          <w:sz w:val="24"/>
          <w:szCs w:val="24"/>
          <w:lang w:val="en-GB" w:eastAsia="en-GB"/>
        </w:rPr>
        <w:t>Hinsliffe</w:t>
      </w:r>
      <w:proofErr w:type="spellEnd"/>
      <w:r w:rsidRPr="004D6B8B">
        <w:rPr>
          <w:rFonts w:eastAsia="Times New Roman" w:cstheme="minorHAnsi"/>
          <w:sz w:val="24"/>
          <w:szCs w:val="24"/>
          <w:lang w:val="en-GB" w:eastAsia="en-GB"/>
        </w:rPr>
        <w:t>-Smith</w:t>
      </w:r>
      <w:r w:rsidR="002638E8" w:rsidRPr="004D6B8B">
        <w:rPr>
          <w:rFonts w:eastAsia="Times New Roman" w:cstheme="minorHAnsi"/>
          <w:sz w:val="24"/>
          <w:szCs w:val="24"/>
          <w:lang w:val="en-GB" w:eastAsia="en-GB"/>
        </w:rPr>
        <w:t xml:space="preserve"> et </w:t>
      </w:r>
      <w:proofErr w:type="spellStart"/>
      <w:r w:rsidR="002638E8" w:rsidRPr="004D6B8B">
        <w:rPr>
          <w:rFonts w:eastAsia="Times New Roman" w:cstheme="minorHAnsi"/>
          <w:sz w:val="24"/>
          <w:szCs w:val="24"/>
          <w:lang w:val="en-GB" w:eastAsia="en-GB"/>
        </w:rPr>
        <w:t>al</w:t>
      </w:r>
      <w:r w:rsidRPr="004D6B8B">
        <w:rPr>
          <w:rFonts w:eastAsia="Times New Roman" w:cstheme="minorHAnsi"/>
          <w:sz w:val="24"/>
          <w:szCs w:val="24"/>
          <w:lang w:val="en-GB" w:eastAsia="en-GB"/>
        </w:rPr>
        <w:t>’s</w:t>
      </w:r>
      <w:proofErr w:type="spellEnd"/>
      <w:r w:rsidR="002638E8" w:rsidRPr="004D6B8B">
        <w:rPr>
          <w:rFonts w:eastAsia="Times New Roman" w:cstheme="minorHAnsi"/>
          <w:sz w:val="24"/>
          <w:szCs w:val="24"/>
          <w:lang w:val="en-GB" w:eastAsia="en-GB"/>
        </w:rPr>
        <w:t>.</w:t>
      </w:r>
      <w:r w:rsidRPr="004D6B8B">
        <w:rPr>
          <w:rFonts w:eastAsia="Times New Roman" w:cstheme="minorHAnsi"/>
          <w:sz w:val="24"/>
          <w:szCs w:val="24"/>
          <w:lang w:val="en-GB" w:eastAsia="en-GB"/>
        </w:rPr>
        <w:t xml:space="preserve"> (2015) and Marshall </w:t>
      </w:r>
      <w:r w:rsidR="002638E8" w:rsidRPr="004D6B8B">
        <w:rPr>
          <w:rFonts w:eastAsia="Times New Roman" w:cstheme="minorHAnsi"/>
          <w:sz w:val="24"/>
          <w:szCs w:val="24"/>
          <w:lang w:val="en-GB" w:eastAsia="en-GB"/>
        </w:rPr>
        <w:t>&amp;</w:t>
      </w:r>
      <w:r w:rsidRPr="004D6B8B">
        <w:rPr>
          <w:rFonts w:eastAsia="Times New Roman" w:cstheme="minorHAnsi"/>
          <w:sz w:val="24"/>
          <w:szCs w:val="24"/>
          <w:lang w:val="en-GB" w:eastAsia="en-GB"/>
        </w:rPr>
        <w:t xml:space="preserve"> </w:t>
      </w:r>
      <w:proofErr w:type="spellStart"/>
      <w:r w:rsidRPr="004D6B8B">
        <w:rPr>
          <w:rFonts w:eastAsia="Times New Roman" w:cstheme="minorHAnsi"/>
          <w:sz w:val="24"/>
          <w:szCs w:val="24"/>
          <w:lang w:val="en-GB" w:eastAsia="en-GB"/>
        </w:rPr>
        <w:t>Sprung’s</w:t>
      </w:r>
      <w:proofErr w:type="spellEnd"/>
      <w:r w:rsidRPr="004D6B8B">
        <w:rPr>
          <w:rFonts w:eastAsia="Times New Roman" w:cstheme="minorHAnsi"/>
          <w:sz w:val="24"/>
          <w:szCs w:val="24"/>
          <w:lang w:val="en-GB" w:eastAsia="en-GB"/>
        </w:rPr>
        <w:t xml:space="preserve"> (2016a) review findings, for example that the amount, quality, application and impact of training is limited, but that scenarios, when used, make learning more relevant to trainees. </w:t>
      </w:r>
      <w:proofErr w:type="gramStart"/>
      <w:r w:rsidR="00B34600" w:rsidRPr="004D6B8B">
        <w:rPr>
          <w:rFonts w:cstheme="minorHAnsi"/>
          <w:sz w:val="24"/>
          <w:szCs w:val="24"/>
        </w:rPr>
        <w:t>Marshall &amp;</w:t>
      </w:r>
      <w:proofErr w:type="gramEnd"/>
      <w:r w:rsidR="00B34600" w:rsidRPr="004D6B8B">
        <w:rPr>
          <w:rFonts w:cstheme="minorHAnsi"/>
          <w:sz w:val="24"/>
          <w:szCs w:val="24"/>
        </w:rPr>
        <w:t xml:space="preserve"> Sprung (2016a) reviewed the literature around nurses’ experiences of using the MCA. They </w:t>
      </w:r>
      <w:r w:rsidR="00B34600" w:rsidRPr="004D6B8B">
        <w:rPr>
          <w:rFonts w:cstheme="minorHAnsi"/>
          <w:sz w:val="24"/>
          <w:szCs w:val="24"/>
        </w:rPr>
        <w:lastRenderedPageBreak/>
        <w:t xml:space="preserve">identified 32 papers, seven of which are included in this review. </w:t>
      </w:r>
      <w:proofErr w:type="spellStart"/>
      <w:r w:rsidR="00B34600" w:rsidRPr="004D6B8B">
        <w:rPr>
          <w:rFonts w:cstheme="minorHAnsi"/>
          <w:sz w:val="24"/>
          <w:szCs w:val="24"/>
        </w:rPr>
        <w:t>Hinsliff</w:t>
      </w:r>
      <w:proofErr w:type="spellEnd"/>
      <w:r w:rsidR="00B34600" w:rsidRPr="004D6B8B">
        <w:rPr>
          <w:rFonts w:cstheme="minorHAnsi"/>
          <w:sz w:val="24"/>
          <w:szCs w:val="24"/>
        </w:rPr>
        <w:t xml:space="preserve">-Smith et al. (2015) reviewed literature investigating application of the act. They identified 38 papers, six of which are included in this review. </w:t>
      </w:r>
      <w:r w:rsidR="00010D7D" w:rsidRPr="004D6B8B">
        <w:rPr>
          <w:rFonts w:eastAsia="Times New Roman" w:cstheme="minorHAnsi"/>
          <w:sz w:val="24"/>
          <w:szCs w:val="24"/>
          <w:lang w:val="en-GB" w:eastAsia="en-GB"/>
        </w:rPr>
        <w:t xml:space="preserve">Both </w:t>
      </w:r>
      <w:proofErr w:type="spellStart"/>
      <w:r w:rsidR="00010D7D" w:rsidRPr="004D6B8B">
        <w:rPr>
          <w:rFonts w:eastAsia="Times New Roman" w:cstheme="minorHAnsi"/>
          <w:sz w:val="24"/>
          <w:szCs w:val="24"/>
          <w:lang w:val="en-GB" w:eastAsia="en-GB"/>
        </w:rPr>
        <w:t>Hinsliffe</w:t>
      </w:r>
      <w:proofErr w:type="spellEnd"/>
      <w:r w:rsidR="00010D7D" w:rsidRPr="004D6B8B">
        <w:rPr>
          <w:rFonts w:eastAsia="Times New Roman" w:cstheme="minorHAnsi"/>
          <w:sz w:val="24"/>
          <w:szCs w:val="24"/>
          <w:lang w:val="en-GB" w:eastAsia="en-GB"/>
        </w:rPr>
        <w:t>-Smith et al</w:t>
      </w:r>
      <w:r w:rsidR="002638E8" w:rsidRPr="004D6B8B">
        <w:rPr>
          <w:rFonts w:eastAsia="Times New Roman" w:cstheme="minorHAnsi"/>
          <w:sz w:val="24"/>
          <w:szCs w:val="24"/>
          <w:lang w:val="en-GB" w:eastAsia="en-GB"/>
        </w:rPr>
        <w:t>.</w:t>
      </w:r>
      <w:r w:rsidR="00010D7D" w:rsidRPr="004D6B8B">
        <w:rPr>
          <w:rFonts w:eastAsia="Times New Roman" w:cstheme="minorHAnsi"/>
          <w:sz w:val="24"/>
          <w:szCs w:val="24"/>
          <w:lang w:val="en-GB" w:eastAsia="en-GB"/>
        </w:rPr>
        <w:t xml:space="preserve"> (2015) and Marshall </w:t>
      </w:r>
      <w:r w:rsidR="002638E8" w:rsidRPr="004D6B8B">
        <w:rPr>
          <w:rFonts w:eastAsia="Times New Roman" w:cstheme="minorHAnsi"/>
          <w:sz w:val="24"/>
          <w:szCs w:val="24"/>
          <w:lang w:val="en-GB" w:eastAsia="en-GB"/>
        </w:rPr>
        <w:t>&amp;</w:t>
      </w:r>
      <w:r w:rsidR="00010D7D" w:rsidRPr="004D6B8B">
        <w:rPr>
          <w:rFonts w:eastAsia="Times New Roman" w:cstheme="minorHAnsi"/>
          <w:sz w:val="24"/>
          <w:szCs w:val="24"/>
          <w:lang w:val="en-GB" w:eastAsia="en-GB"/>
        </w:rPr>
        <w:t xml:space="preserve"> Sprung et al</w:t>
      </w:r>
      <w:r w:rsidR="002638E8" w:rsidRPr="004D6B8B">
        <w:rPr>
          <w:rFonts w:eastAsia="Times New Roman" w:cstheme="minorHAnsi"/>
          <w:sz w:val="24"/>
          <w:szCs w:val="24"/>
          <w:lang w:val="en-GB" w:eastAsia="en-GB"/>
        </w:rPr>
        <w:t>.</w:t>
      </w:r>
      <w:r w:rsidR="00010D7D" w:rsidRPr="004D6B8B">
        <w:rPr>
          <w:rFonts w:eastAsia="Times New Roman" w:cstheme="minorHAnsi"/>
          <w:sz w:val="24"/>
          <w:szCs w:val="24"/>
          <w:lang w:val="en-GB" w:eastAsia="en-GB"/>
        </w:rPr>
        <w:t xml:space="preserve"> (2016a) conclude that improved training strategies are required to embed application of the act in practice. </w:t>
      </w:r>
    </w:p>
    <w:p w14:paraId="48E8DF4E" w14:textId="6AB8EAC4" w:rsidR="004472E0" w:rsidRPr="004D6B8B" w:rsidRDefault="005A13A0" w:rsidP="005A13A0">
      <w:pPr>
        <w:spacing w:after="0" w:line="360" w:lineRule="atLeast"/>
        <w:rPr>
          <w:rFonts w:eastAsia="Times New Roman" w:cstheme="minorHAnsi"/>
          <w:sz w:val="24"/>
          <w:szCs w:val="24"/>
          <w:lang w:val="en-GB" w:eastAsia="en-GB"/>
        </w:rPr>
      </w:pPr>
      <w:proofErr w:type="spellStart"/>
      <w:r w:rsidRPr="004D6B8B">
        <w:rPr>
          <w:rFonts w:eastAsia="Times New Roman" w:cstheme="minorHAnsi"/>
          <w:sz w:val="24"/>
          <w:szCs w:val="24"/>
          <w:lang w:val="en-GB" w:eastAsia="en-GB"/>
        </w:rPr>
        <w:t>Hinsliffe</w:t>
      </w:r>
      <w:proofErr w:type="spellEnd"/>
      <w:r w:rsidRPr="004D6B8B">
        <w:rPr>
          <w:rFonts w:eastAsia="Times New Roman" w:cstheme="minorHAnsi"/>
          <w:sz w:val="24"/>
          <w:szCs w:val="24"/>
          <w:lang w:val="en-GB" w:eastAsia="en-GB"/>
        </w:rPr>
        <w:t>-Smith et al</w:t>
      </w:r>
      <w:r w:rsidR="002638E8" w:rsidRPr="004D6B8B">
        <w:rPr>
          <w:rFonts w:eastAsia="Times New Roman" w:cstheme="minorHAnsi"/>
          <w:sz w:val="24"/>
          <w:szCs w:val="24"/>
          <w:lang w:val="en-GB" w:eastAsia="en-GB"/>
        </w:rPr>
        <w:t>.</w:t>
      </w:r>
      <w:r w:rsidRPr="004D6B8B">
        <w:rPr>
          <w:rFonts w:eastAsia="Times New Roman" w:cstheme="minorHAnsi"/>
          <w:sz w:val="24"/>
          <w:szCs w:val="24"/>
          <w:lang w:val="en-GB" w:eastAsia="en-GB"/>
        </w:rPr>
        <w:t xml:space="preserve"> (2015) </w:t>
      </w:r>
      <w:r w:rsidR="00952B31" w:rsidRPr="004D6B8B">
        <w:rPr>
          <w:rFonts w:eastAsia="Times New Roman" w:cstheme="minorHAnsi"/>
          <w:sz w:val="24"/>
          <w:szCs w:val="24"/>
          <w:lang w:val="en-GB" w:eastAsia="en-GB"/>
        </w:rPr>
        <w:t xml:space="preserve">explored application of the act. </w:t>
      </w:r>
      <w:r w:rsidRPr="004D6B8B">
        <w:rPr>
          <w:rFonts w:eastAsia="Times New Roman" w:cstheme="minorHAnsi"/>
          <w:sz w:val="24"/>
          <w:szCs w:val="24"/>
          <w:lang w:val="en-GB" w:eastAsia="en-GB"/>
        </w:rPr>
        <w:t xml:space="preserve"> </w:t>
      </w:r>
      <w:r w:rsidR="00F96D54" w:rsidRPr="004D6B8B">
        <w:rPr>
          <w:rFonts w:eastAsia="Times New Roman" w:cstheme="minorHAnsi"/>
          <w:sz w:val="24"/>
          <w:szCs w:val="24"/>
          <w:lang w:val="en-GB" w:eastAsia="en-GB"/>
        </w:rPr>
        <w:t>I</w:t>
      </w:r>
      <w:r w:rsidRPr="004D6B8B">
        <w:rPr>
          <w:rFonts w:eastAsia="Times New Roman" w:cstheme="minorHAnsi"/>
          <w:sz w:val="24"/>
          <w:szCs w:val="24"/>
          <w:lang w:val="en-GB" w:eastAsia="en-GB"/>
        </w:rPr>
        <w:t xml:space="preserve">n common with our review, </w:t>
      </w:r>
      <w:r w:rsidR="00F96D54" w:rsidRPr="004D6B8B">
        <w:rPr>
          <w:rFonts w:eastAsia="Times New Roman" w:cstheme="minorHAnsi"/>
          <w:sz w:val="24"/>
          <w:szCs w:val="24"/>
          <w:lang w:val="en-GB" w:eastAsia="en-GB"/>
        </w:rPr>
        <w:t xml:space="preserve">they </w:t>
      </w:r>
      <w:r w:rsidRPr="004D6B8B">
        <w:rPr>
          <w:rFonts w:eastAsia="Times New Roman" w:cstheme="minorHAnsi"/>
          <w:sz w:val="24"/>
          <w:szCs w:val="24"/>
          <w:lang w:val="en-GB" w:eastAsia="en-GB"/>
        </w:rPr>
        <w:t>identified that training outcomes were not measured effectively and it appeared that knowledge was not retained</w:t>
      </w:r>
      <w:r w:rsidR="00F96D54" w:rsidRPr="004D6B8B">
        <w:rPr>
          <w:rFonts w:eastAsia="Times New Roman" w:cstheme="minorHAnsi"/>
          <w:sz w:val="24"/>
          <w:szCs w:val="24"/>
          <w:lang w:val="en-GB" w:eastAsia="en-GB"/>
        </w:rPr>
        <w:t xml:space="preserve"> so that learning could be applied</w:t>
      </w:r>
      <w:r w:rsidRPr="004D6B8B">
        <w:rPr>
          <w:rFonts w:eastAsia="Times New Roman" w:cstheme="minorHAnsi"/>
          <w:sz w:val="24"/>
          <w:szCs w:val="24"/>
          <w:lang w:val="en-GB" w:eastAsia="en-GB"/>
        </w:rPr>
        <w:t xml:space="preserve">. </w:t>
      </w:r>
      <w:proofErr w:type="gramStart"/>
      <w:r w:rsidRPr="004D6B8B">
        <w:rPr>
          <w:rFonts w:eastAsia="Times New Roman" w:cstheme="minorHAnsi"/>
          <w:sz w:val="24"/>
          <w:szCs w:val="24"/>
          <w:lang w:val="en-GB" w:eastAsia="en-GB"/>
        </w:rPr>
        <w:t xml:space="preserve">Marshall </w:t>
      </w:r>
      <w:r w:rsidR="002638E8" w:rsidRPr="004D6B8B">
        <w:rPr>
          <w:rFonts w:eastAsia="Times New Roman" w:cstheme="minorHAnsi"/>
          <w:sz w:val="24"/>
          <w:szCs w:val="24"/>
          <w:lang w:val="en-GB" w:eastAsia="en-GB"/>
        </w:rPr>
        <w:t>&amp;</w:t>
      </w:r>
      <w:proofErr w:type="gramEnd"/>
      <w:r w:rsidRPr="004D6B8B">
        <w:rPr>
          <w:rFonts w:eastAsia="Times New Roman" w:cstheme="minorHAnsi"/>
          <w:sz w:val="24"/>
          <w:szCs w:val="24"/>
          <w:lang w:val="en-GB" w:eastAsia="en-GB"/>
        </w:rPr>
        <w:t xml:space="preserve"> </w:t>
      </w:r>
      <w:proofErr w:type="spellStart"/>
      <w:r w:rsidRPr="004D6B8B">
        <w:rPr>
          <w:rFonts w:eastAsia="Times New Roman" w:cstheme="minorHAnsi"/>
          <w:sz w:val="24"/>
          <w:szCs w:val="24"/>
          <w:lang w:val="en-GB" w:eastAsia="en-GB"/>
        </w:rPr>
        <w:t>Sprung’s</w:t>
      </w:r>
      <w:proofErr w:type="spellEnd"/>
      <w:r w:rsidRPr="004D6B8B">
        <w:rPr>
          <w:rFonts w:eastAsia="Times New Roman" w:cstheme="minorHAnsi"/>
          <w:sz w:val="24"/>
          <w:szCs w:val="24"/>
          <w:lang w:val="en-GB" w:eastAsia="en-GB"/>
        </w:rPr>
        <w:t xml:space="preserve"> (2016a) review focused more broadly around the MCA</w:t>
      </w:r>
      <w:r w:rsidR="00010D7D" w:rsidRPr="004D6B8B">
        <w:rPr>
          <w:rFonts w:eastAsia="Times New Roman" w:cstheme="minorHAnsi"/>
          <w:sz w:val="24"/>
          <w:szCs w:val="24"/>
          <w:lang w:val="en-GB" w:eastAsia="en-GB"/>
        </w:rPr>
        <w:t>; th</w:t>
      </w:r>
      <w:r w:rsidR="00F96D54" w:rsidRPr="004D6B8B">
        <w:rPr>
          <w:rFonts w:eastAsia="Times New Roman" w:cstheme="minorHAnsi"/>
          <w:sz w:val="24"/>
          <w:szCs w:val="24"/>
          <w:lang w:val="en-GB" w:eastAsia="en-GB"/>
        </w:rPr>
        <w:t>e current</w:t>
      </w:r>
      <w:r w:rsidR="00010D7D" w:rsidRPr="004D6B8B">
        <w:rPr>
          <w:rFonts w:eastAsia="Times New Roman" w:cstheme="minorHAnsi"/>
          <w:sz w:val="24"/>
          <w:szCs w:val="24"/>
          <w:lang w:val="en-GB" w:eastAsia="en-GB"/>
        </w:rPr>
        <w:t xml:space="preserve"> review </w:t>
      </w:r>
      <w:r w:rsidRPr="004D6B8B">
        <w:rPr>
          <w:rFonts w:eastAsia="Times New Roman" w:cstheme="minorHAnsi"/>
          <w:sz w:val="24"/>
          <w:szCs w:val="24"/>
          <w:lang w:val="en-GB" w:eastAsia="en-GB"/>
        </w:rPr>
        <w:t xml:space="preserve">aimed specifically at exploring outcomes of training. </w:t>
      </w:r>
      <w:r w:rsidR="000A1C66" w:rsidRPr="004D6B8B">
        <w:rPr>
          <w:rFonts w:eastAsia="Times New Roman" w:cstheme="minorHAnsi"/>
          <w:sz w:val="24"/>
          <w:szCs w:val="24"/>
          <w:lang w:val="en-GB" w:eastAsia="en-GB"/>
        </w:rPr>
        <w:t>All three reviews</w:t>
      </w:r>
      <w:r w:rsidRPr="004D6B8B">
        <w:rPr>
          <w:rFonts w:eastAsia="Times New Roman" w:cstheme="minorHAnsi"/>
          <w:sz w:val="24"/>
          <w:szCs w:val="24"/>
          <w:lang w:val="en-GB" w:eastAsia="en-GB"/>
        </w:rPr>
        <w:t xml:space="preserve"> found barriers to </w:t>
      </w:r>
      <w:r w:rsidR="00B160AC" w:rsidRPr="004D6B8B">
        <w:rPr>
          <w:rFonts w:eastAsia="Times New Roman" w:cstheme="minorHAnsi"/>
          <w:sz w:val="24"/>
          <w:szCs w:val="24"/>
          <w:lang w:val="en-GB" w:eastAsia="en-GB"/>
        </w:rPr>
        <w:t xml:space="preserve">knowledge </w:t>
      </w:r>
      <w:r w:rsidRPr="004D6B8B">
        <w:rPr>
          <w:rFonts w:eastAsia="Times New Roman" w:cstheme="minorHAnsi"/>
          <w:sz w:val="24"/>
          <w:szCs w:val="24"/>
          <w:lang w:val="en-GB" w:eastAsia="en-GB"/>
        </w:rPr>
        <w:t xml:space="preserve">transfer. </w:t>
      </w:r>
      <w:proofErr w:type="spellStart"/>
      <w:r w:rsidR="00F96D54" w:rsidRPr="004D6B8B">
        <w:rPr>
          <w:rFonts w:eastAsia="Times New Roman" w:cstheme="minorHAnsi"/>
          <w:sz w:val="24"/>
          <w:szCs w:val="24"/>
          <w:lang w:val="en-GB" w:eastAsia="en-GB"/>
        </w:rPr>
        <w:t>Hinsliff</w:t>
      </w:r>
      <w:proofErr w:type="spellEnd"/>
      <w:r w:rsidR="00F96D54" w:rsidRPr="004D6B8B">
        <w:rPr>
          <w:rFonts w:eastAsia="Times New Roman" w:cstheme="minorHAnsi"/>
          <w:sz w:val="24"/>
          <w:szCs w:val="24"/>
          <w:lang w:val="en-GB" w:eastAsia="en-GB"/>
        </w:rPr>
        <w:t>-Smith et al</w:t>
      </w:r>
      <w:r w:rsidR="002638E8" w:rsidRPr="004D6B8B">
        <w:rPr>
          <w:rFonts w:eastAsia="Times New Roman" w:cstheme="minorHAnsi"/>
          <w:sz w:val="24"/>
          <w:szCs w:val="24"/>
          <w:lang w:val="en-GB" w:eastAsia="en-GB"/>
        </w:rPr>
        <w:t>.</w:t>
      </w:r>
      <w:r w:rsidR="00F96D54" w:rsidRPr="004D6B8B">
        <w:rPr>
          <w:rFonts w:eastAsia="Times New Roman" w:cstheme="minorHAnsi"/>
          <w:sz w:val="24"/>
          <w:szCs w:val="24"/>
          <w:lang w:val="en-GB" w:eastAsia="en-GB"/>
        </w:rPr>
        <w:t xml:space="preserve"> (2015) suggested </w:t>
      </w:r>
      <w:r w:rsidR="00A21C90" w:rsidRPr="004D6B8B">
        <w:rPr>
          <w:rFonts w:eastAsia="Times New Roman" w:cstheme="minorHAnsi"/>
          <w:sz w:val="24"/>
          <w:szCs w:val="24"/>
          <w:lang w:val="en-GB" w:eastAsia="en-GB"/>
        </w:rPr>
        <w:t>the problems lay within the training itself, they considered that it was too</w:t>
      </w:r>
      <w:r w:rsidR="00F96D54" w:rsidRPr="004D6B8B">
        <w:rPr>
          <w:rFonts w:eastAsia="Times New Roman" w:cstheme="minorHAnsi"/>
          <w:sz w:val="24"/>
          <w:szCs w:val="24"/>
          <w:lang w:val="en-GB" w:eastAsia="en-GB"/>
        </w:rPr>
        <w:t xml:space="preserve"> theoretical </w:t>
      </w:r>
      <w:r w:rsidR="00A21C90" w:rsidRPr="004D6B8B">
        <w:rPr>
          <w:rFonts w:eastAsia="Times New Roman" w:cstheme="minorHAnsi"/>
          <w:sz w:val="24"/>
          <w:szCs w:val="24"/>
          <w:lang w:val="en-GB" w:eastAsia="en-GB"/>
        </w:rPr>
        <w:t>and infrequent.</w:t>
      </w:r>
      <w:r w:rsidR="00F96D54" w:rsidRPr="004D6B8B">
        <w:rPr>
          <w:rFonts w:eastAsia="Times New Roman" w:cstheme="minorHAnsi"/>
          <w:sz w:val="24"/>
          <w:szCs w:val="24"/>
          <w:lang w:val="en-GB" w:eastAsia="en-GB"/>
        </w:rPr>
        <w:t xml:space="preserve"> </w:t>
      </w:r>
      <w:proofErr w:type="gramStart"/>
      <w:r w:rsidRPr="004D6B8B">
        <w:rPr>
          <w:rFonts w:eastAsia="Times New Roman" w:cstheme="minorHAnsi"/>
          <w:sz w:val="24"/>
          <w:szCs w:val="24"/>
          <w:lang w:val="en-GB" w:eastAsia="en-GB"/>
        </w:rPr>
        <w:t xml:space="preserve">Marshall </w:t>
      </w:r>
      <w:r w:rsidR="002638E8" w:rsidRPr="004D6B8B">
        <w:rPr>
          <w:rFonts w:eastAsia="Times New Roman" w:cstheme="minorHAnsi"/>
          <w:sz w:val="24"/>
          <w:szCs w:val="24"/>
          <w:lang w:val="en-GB" w:eastAsia="en-GB"/>
        </w:rPr>
        <w:t>&amp;</w:t>
      </w:r>
      <w:proofErr w:type="gramEnd"/>
      <w:r w:rsidRPr="004D6B8B">
        <w:rPr>
          <w:rFonts w:eastAsia="Times New Roman" w:cstheme="minorHAnsi"/>
          <w:sz w:val="24"/>
          <w:szCs w:val="24"/>
          <w:lang w:val="en-GB" w:eastAsia="en-GB"/>
        </w:rPr>
        <w:t xml:space="preserve"> Sprung (2016a) </w:t>
      </w:r>
      <w:r w:rsidR="00C80EEB" w:rsidRPr="004D6B8B">
        <w:rPr>
          <w:rFonts w:eastAsia="Times New Roman" w:cstheme="minorHAnsi"/>
          <w:sz w:val="24"/>
          <w:szCs w:val="24"/>
          <w:lang w:val="en-GB" w:eastAsia="en-GB"/>
        </w:rPr>
        <w:t>noted</w:t>
      </w:r>
      <w:r w:rsidRPr="004D6B8B">
        <w:rPr>
          <w:rFonts w:eastAsia="Times New Roman" w:cstheme="minorHAnsi"/>
          <w:sz w:val="24"/>
          <w:szCs w:val="24"/>
          <w:lang w:val="en-GB" w:eastAsia="en-GB"/>
        </w:rPr>
        <w:t xml:space="preserve"> barriers within the</w:t>
      </w:r>
      <w:r w:rsidR="00C80EEB" w:rsidRPr="004D6B8B">
        <w:rPr>
          <w:rFonts w:eastAsia="Times New Roman" w:cstheme="minorHAnsi"/>
          <w:sz w:val="24"/>
          <w:szCs w:val="24"/>
          <w:lang w:val="en-GB" w:eastAsia="en-GB"/>
        </w:rPr>
        <w:t xml:space="preserve"> </w:t>
      </w:r>
      <w:r w:rsidRPr="004D6B8B">
        <w:rPr>
          <w:rFonts w:eastAsia="Times New Roman" w:cstheme="minorHAnsi"/>
          <w:sz w:val="24"/>
          <w:szCs w:val="24"/>
          <w:lang w:val="en-GB" w:eastAsia="en-GB"/>
        </w:rPr>
        <w:t>contexts of care</w:t>
      </w:r>
      <w:r w:rsidR="00C80EEB" w:rsidRPr="004D6B8B">
        <w:rPr>
          <w:rFonts w:eastAsia="Times New Roman" w:cstheme="minorHAnsi"/>
          <w:sz w:val="24"/>
          <w:szCs w:val="24"/>
          <w:lang w:val="en-GB" w:eastAsia="en-GB"/>
        </w:rPr>
        <w:t>, including paternalistic values</w:t>
      </w:r>
      <w:r w:rsidR="00B160AC" w:rsidRPr="004D6B8B">
        <w:rPr>
          <w:rFonts w:eastAsia="Times New Roman" w:cstheme="minorHAnsi"/>
          <w:sz w:val="24"/>
          <w:szCs w:val="24"/>
          <w:lang w:val="en-GB" w:eastAsia="en-GB"/>
        </w:rPr>
        <w:t xml:space="preserve">. We suggest </w:t>
      </w:r>
      <w:r w:rsidRPr="004D6B8B">
        <w:rPr>
          <w:rFonts w:eastAsia="Times New Roman" w:cstheme="minorHAnsi"/>
          <w:sz w:val="24"/>
          <w:szCs w:val="24"/>
          <w:lang w:val="en-GB" w:eastAsia="en-GB"/>
        </w:rPr>
        <w:t>personal and cultural values and norms</w:t>
      </w:r>
      <w:r w:rsidR="00C80EEB" w:rsidRPr="004D6B8B">
        <w:rPr>
          <w:rFonts w:eastAsia="Times New Roman" w:cstheme="minorHAnsi"/>
          <w:sz w:val="24"/>
          <w:szCs w:val="24"/>
          <w:lang w:val="en-GB" w:eastAsia="en-GB"/>
        </w:rPr>
        <w:t>, including those related to inter-professional relationships,</w:t>
      </w:r>
      <w:r w:rsidRPr="004D6B8B">
        <w:rPr>
          <w:rFonts w:eastAsia="Times New Roman" w:cstheme="minorHAnsi"/>
          <w:sz w:val="24"/>
          <w:szCs w:val="24"/>
          <w:lang w:val="en-GB" w:eastAsia="en-GB"/>
        </w:rPr>
        <w:t xml:space="preserve"> </w:t>
      </w:r>
      <w:proofErr w:type="gramStart"/>
      <w:r w:rsidRPr="004D6B8B">
        <w:rPr>
          <w:rFonts w:eastAsia="Times New Roman" w:cstheme="minorHAnsi"/>
          <w:sz w:val="24"/>
          <w:szCs w:val="24"/>
          <w:lang w:val="en-GB" w:eastAsia="en-GB"/>
        </w:rPr>
        <w:t>may</w:t>
      </w:r>
      <w:proofErr w:type="gramEnd"/>
      <w:r w:rsidRPr="004D6B8B">
        <w:rPr>
          <w:rFonts w:eastAsia="Times New Roman" w:cstheme="minorHAnsi"/>
          <w:sz w:val="24"/>
          <w:szCs w:val="24"/>
          <w:lang w:val="en-GB" w:eastAsia="en-GB"/>
        </w:rPr>
        <w:t xml:space="preserve"> impede knowledge transfer. </w:t>
      </w:r>
    </w:p>
    <w:p w14:paraId="2701A5D8" w14:textId="77777777" w:rsidR="004472E0" w:rsidRPr="004D6B8B" w:rsidRDefault="004472E0" w:rsidP="005A13A0">
      <w:pPr>
        <w:spacing w:after="0" w:line="360" w:lineRule="atLeast"/>
        <w:rPr>
          <w:rFonts w:eastAsia="Times New Roman" w:cstheme="minorHAnsi"/>
          <w:sz w:val="24"/>
          <w:szCs w:val="24"/>
          <w:lang w:val="en-GB" w:eastAsia="en-GB"/>
        </w:rPr>
      </w:pPr>
    </w:p>
    <w:p w14:paraId="71DBFD39" w14:textId="7E49C677" w:rsidR="00F1119A" w:rsidRPr="004D6B8B" w:rsidRDefault="005A13A0" w:rsidP="005A13A0">
      <w:pPr>
        <w:rPr>
          <w:rFonts w:cstheme="minorHAnsi"/>
          <w:sz w:val="24"/>
          <w:szCs w:val="24"/>
        </w:rPr>
      </w:pPr>
      <w:r w:rsidRPr="004D6B8B">
        <w:rPr>
          <w:rFonts w:cstheme="minorHAnsi"/>
          <w:sz w:val="24"/>
          <w:szCs w:val="24"/>
        </w:rPr>
        <w:t>Training is most effective in situations whe</w:t>
      </w:r>
      <w:r w:rsidR="0016551F" w:rsidRPr="004D6B8B">
        <w:rPr>
          <w:rFonts w:cstheme="minorHAnsi"/>
          <w:sz w:val="24"/>
          <w:szCs w:val="24"/>
        </w:rPr>
        <w:t xml:space="preserve">n the trainee has the opportunity to apply learning soon after training. </w:t>
      </w:r>
      <w:r w:rsidRPr="004D6B8B">
        <w:rPr>
          <w:rFonts w:cstheme="minorHAnsi"/>
          <w:sz w:val="24"/>
          <w:szCs w:val="24"/>
        </w:rPr>
        <w:t xml:space="preserve">When the trainee has previous experience, training reinforces it, </w:t>
      </w:r>
      <w:r w:rsidR="0016551F" w:rsidRPr="004D6B8B">
        <w:rPr>
          <w:rFonts w:cstheme="minorHAnsi"/>
          <w:sz w:val="24"/>
          <w:szCs w:val="24"/>
        </w:rPr>
        <w:t xml:space="preserve">as does </w:t>
      </w:r>
      <w:r w:rsidRPr="004D6B8B">
        <w:rPr>
          <w:rFonts w:cstheme="minorHAnsi"/>
          <w:sz w:val="24"/>
          <w:szCs w:val="24"/>
        </w:rPr>
        <w:t>applying the act immediately after training. Within training, realistic, complex and challenging scenarios that relate to the trainees’ own practice dilemmas appear to be significant in facilitating application of learning to practice. Learning through application is central to ensuring the legislation is upheld by practitioners (</w:t>
      </w:r>
      <w:proofErr w:type="spellStart"/>
      <w:r w:rsidRPr="004D6B8B">
        <w:rPr>
          <w:rFonts w:cstheme="minorHAnsi"/>
          <w:sz w:val="24"/>
          <w:szCs w:val="24"/>
        </w:rPr>
        <w:t>Willner</w:t>
      </w:r>
      <w:proofErr w:type="spellEnd"/>
      <w:r w:rsidRPr="004D6B8B">
        <w:rPr>
          <w:rFonts w:cstheme="minorHAnsi"/>
          <w:sz w:val="24"/>
          <w:szCs w:val="24"/>
        </w:rPr>
        <w:t xml:space="preserve"> et al</w:t>
      </w:r>
      <w:r w:rsidR="002638E8" w:rsidRPr="004D6B8B">
        <w:rPr>
          <w:rFonts w:cstheme="minorHAnsi"/>
          <w:sz w:val="24"/>
          <w:szCs w:val="24"/>
        </w:rPr>
        <w:t>.,</w:t>
      </w:r>
      <w:r w:rsidRPr="004D6B8B">
        <w:rPr>
          <w:rFonts w:cstheme="minorHAnsi"/>
          <w:sz w:val="24"/>
          <w:szCs w:val="24"/>
        </w:rPr>
        <w:t xml:space="preserve"> 2013) and ongoing supervision aids this process (Gough</w:t>
      </w:r>
      <w:r w:rsidR="002638E8" w:rsidRPr="004D6B8B">
        <w:rPr>
          <w:rFonts w:cstheme="minorHAnsi"/>
          <w:sz w:val="24"/>
          <w:szCs w:val="24"/>
        </w:rPr>
        <w:t xml:space="preserve"> &amp;</w:t>
      </w:r>
      <w:r w:rsidRPr="004D6B8B">
        <w:rPr>
          <w:rFonts w:cstheme="minorHAnsi"/>
          <w:sz w:val="24"/>
          <w:szCs w:val="24"/>
        </w:rPr>
        <w:t xml:space="preserve"> </w:t>
      </w:r>
      <w:proofErr w:type="spellStart"/>
      <w:r w:rsidRPr="004D6B8B">
        <w:rPr>
          <w:rFonts w:cstheme="minorHAnsi"/>
          <w:sz w:val="24"/>
          <w:szCs w:val="24"/>
        </w:rPr>
        <w:t>Kerlin</w:t>
      </w:r>
      <w:proofErr w:type="spellEnd"/>
      <w:r w:rsidR="002638E8" w:rsidRPr="004D6B8B">
        <w:rPr>
          <w:rFonts w:cstheme="minorHAnsi"/>
          <w:sz w:val="24"/>
          <w:szCs w:val="24"/>
        </w:rPr>
        <w:t>,</w:t>
      </w:r>
      <w:r w:rsidRPr="004D6B8B">
        <w:rPr>
          <w:rFonts w:cstheme="minorHAnsi"/>
          <w:sz w:val="24"/>
          <w:szCs w:val="24"/>
        </w:rPr>
        <w:t xml:space="preserve"> 2013). </w:t>
      </w:r>
    </w:p>
    <w:p w14:paraId="1B7E8989" w14:textId="69C61403" w:rsidR="00B015B1" w:rsidRPr="004D6B8B" w:rsidRDefault="00B015B1" w:rsidP="005A13A0">
      <w:pPr>
        <w:rPr>
          <w:rFonts w:cstheme="minorHAnsi"/>
          <w:i/>
          <w:sz w:val="24"/>
          <w:szCs w:val="24"/>
        </w:rPr>
      </w:pPr>
      <w:r w:rsidRPr="004D6B8B">
        <w:rPr>
          <w:rFonts w:cstheme="minorHAnsi"/>
          <w:i/>
          <w:sz w:val="24"/>
          <w:szCs w:val="24"/>
        </w:rPr>
        <w:t>Resource factors</w:t>
      </w:r>
    </w:p>
    <w:p w14:paraId="373EC79F" w14:textId="646E9DF1" w:rsidR="005A13A0" w:rsidRPr="004D6B8B" w:rsidRDefault="005A13A0" w:rsidP="005A13A0">
      <w:pPr>
        <w:rPr>
          <w:rFonts w:cstheme="minorHAnsi"/>
          <w:sz w:val="24"/>
          <w:szCs w:val="24"/>
        </w:rPr>
      </w:pPr>
      <w:r w:rsidRPr="004D6B8B">
        <w:rPr>
          <w:rFonts w:cstheme="minorHAnsi"/>
          <w:sz w:val="24"/>
          <w:szCs w:val="24"/>
        </w:rPr>
        <w:t xml:space="preserve">Training is expensive (Gough </w:t>
      </w:r>
      <w:r w:rsidR="002638E8" w:rsidRPr="004D6B8B">
        <w:rPr>
          <w:rFonts w:cstheme="minorHAnsi"/>
          <w:sz w:val="24"/>
          <w:szCs w:val="24"/>
        </w:rPr>
        <w:t>&amp;</w:t>
      </w:r>
      <w:r w:rsidRPr="004D6B8B">
        <w:rPr>
          <w:rFonts w:cstheme="minorHAnsi"/>
          <w:sz w:val="24"/>
          <w:szCs w:val="24"/>
        </w:rPr>
        <w:t xml:space="preserve"> </w:t>
      </w:r>
      <w:proofErr w:type="spellStart"/>
      <w:r w:rsidRPr="004D6B8B">
        <w:rPr>
          <w:rFonts w:cstheme="minorHAnsi"/>
          <w:sz w:val="24"/>
          <w:szCs w:val="24"/>
        </w:rPr>
        <w:t>Kerlin</w:t>
      </w:r>
      <w:proofErr w:type="spellEnd"/>
      <w:r w:rsidR="002638E8" w:rsidRPr="004D6B8B">
        <w:rPr>
          <w:rFonts w:cstheme="minorHAnsi"/>
          <w:sz w:val="24"/>
          <w:szCs w:val="24"/>
        </w:rPr>
        <w:t>,</w:t>
      </w:r>
      <w:r w:rsidRPr="004D6B8B">
        <w:rPr>
          <w:rFonts w:cstheme="minorHAnsi"/>
          <w:sz w:val="24"/>
          <w:szCs w:val="24"/>
        </w:rPr>
        <w:t xml:space="preserve"> 2012) and </w:t>
      </w:r>
      <w:r w:rsidR="0016551F" w:rsidRPr="004D6B8B">
        <w:rPr>
          <w:rFonts w:cstheme="minorHAnsi"/>
          <w:sz w:val="24"/>
          <w:szCs w:val="24"/>
        </w:rPr>
        <w:t xml:space="preserve">with universal cuts to budgets across services </w:t>
      </w:r>
      <w:r w:rsidRPr="004D6B8B">
        <w:rPr>
          <w:rFonts w:cstheme="minorHAnsi"/>
          <w:sz w:val="24"/>
          <w:szCs w:val="24"/>
        </w:rPr>
        <w:t>(Lipley</w:t>
      </w:r>
      <w:r w:rsidR="002638E8" w:rsidRPr="004D6B8B">
        <w:rPr>
          <w:rFonts w:cstheme="minorHAnsi"/>
          <w:sz w:val="24"/>
          <w:szCs w:val="24"/>
        </w:rPr>
        <w:t>,</w:t>
      </w:r>
      <w:r w:rsidRPr="004D6B8B">
        <w:rPr>
          <w:rFonts w:cstheme="minorHAnsi"/>
          <w:sz w:val="24"/>
          <w:szCs w:val="24"/>
        </w:rPr>
        <w:t xml:space="preserve"> 2018)</w:t>
      </w:r>
      <w:r w:rsidR="0016551F" w:rsidRPr="004D6B8B">
        <w:rPr>
          <w:rFonts w:cstheme="minorHAnsi"/>
          <w:sz w:val="24"/>
          <w:szCs w:val="24"/>
        </w:rPr>
        <w:t xml:space="preserve"> </w:t>
      </w:r>
      <w:r w:rsidRPr="004D6B8B">
        <w:rPr>
          <w:rFonts w:cstheme="minorHAnsi"/>
          <w:sz w:val="24"/>
          <w:szCs w:val="24"/>
        </w:rPr>
        <w:t xml:space="preserve">there are </w:t>
      </w:r>
      <w:r w:rsidR="0016551F" w:rsidRPr="004D6B8B">
        <w:rPr>
          <w:rFonts w:cstheme="minorHAnsi"/>
          <w:sz w:val="24"/>
          <w:szCs w:val="24"/>
        </w:rPr>
        <w:t>scarce</w:t>
      </w:r>
      <w:r w:rsidRPr="004D6B8B">
        <w:rPr>
          <w:rFonts w:cstheme="minorHAnsi"/>
          <w:sz w:val="24"/>
          <w:szCs w:val="24"/>
        </w:rPr>
        <w:t xml:space="preserve"> funds with which to pay for release of staff, cover for colleagues and the costs of a trainer and training space (</w:t>
      </w:r>
      <w:proofErr w:type="spellStart"/>
      <w:r w:rsidRPr="004D6B8B">
        <w:rPr>
          <w:rFonts w:cstheme="minorHAnsi"/>
          <w:sz w:val="24"/>
          <w:szCs w:val="24"/>
        </w:rPr>
        <w:t>Smythe</w:t>
      </w:r>
      <w:proofErr w:type="spellEnd"/>
      <w:r w:rsidRPr="004D6B8B">
        <w:rPr>
          <w:rFonts w:cstheme="minorHAnsi"/>
          <w:sz w:val="24"/>
          <w:szCs w:val="24"/>
        </w:rPr>
        <w:t xml:space="preserve"> et al 2017). Studies that reported on a cascade model</w:t>
      </w:r>
      <w:r w:rsidR="0016551F" w:rsidRPr="004D6B8B">
        <w:rPr>
          <w:rFonts w:cstheme="minorHAnsi"/>
          <w:sz w:val="24"/>
          <w:szCs w:val="24"/>
        </w:rPr>
        <w:t xml:space="preserve">, designed to save money, </w:t>
      </w:r>
      <w:r w:rsidRPr="004D6B8B">
        <w:rPr>
          <w:rFonts w:cstheme="minorHAnsi"/>
          <w:sz w:val="24"/>
          <w:szCs w:val="24"/>
        </w:rPr>
        <w:t xml:space="preserve">found the ‘champions’ </w:t>
      </w:r>
      <w:r w:rsidR="0016551F" w:rsidRPr="004D6B8B">
        <w:rPr>
          <w:rFonts w:cstheme="minorHAnsi"/>
          <w:sz w:val="24"/>
          <w:szCs w:val="24"/>
        </w:rPr>
        <w:t xml:space="preserve">and staff managers were not sufficiently knowledgeable or competent to take on </w:t>
      </w:r>
      <w:r w:rsidR="001C2837" w:rsidRPr="004D6B8B">
        <w:rPr>
          <w:rFonts w:cstheme="minorHAnsi"/>
          <w:sz w:val="24"/>
          <w:szCs w:val="24"/>
        </w:rPr>
        <w:t>the role of leading learning about the MCA</w:t>
      </w:r>
      <w:r w:rsidRPr="004D6B8B">
        <w:rPr>
          <w:rFonts w:cstheme="minorHAnsi"/>
          <w:sz w:val="24"/>
          <w:szCs w:val="24"/>
        </w:rPr>
        <w:t xml:space="preserve"> (Gough </w:t>
      </w:r>
      <w:r w:rsidR="002638E8" w:rsidRPr="004D6B8B">
        <w:rPr>
          <w:rFonts w:cstheme="minorHAnsi"/>
          <w:sz w:val="24"/>
          <w:szCs w:val="24"/>
        </w:rPr>
        <w:t>&amp;</w:t>
      </w:r>
      <w:r w:rsidRPr="004D6B8B">
        <w:rPr>
          <w:rFonts w:cstheme="minorHAnsi"/>
          <w:sz w:val="24"/>
          <w:szCs w:val="24"/>
        </w:rPr>
        <w:t xml:space="preserve"> </w:t>
      </w:r>
      <w:proofErr w:type="spellStart"/>
      <w:r w:rsidRPr="004D6B8B">
        <w:rPr>
          <w:rFonts w:cstheme="minorHAnsi"/>
          <w:sz w:val="24"/>
          <w:szCs w:val="24"/>
        </w:rPr>
        <w:t>Kerlin</w:t>
      </w:r>
      <w:proofErr w:type="spellEnd"/>
      <w:r w:rsidRPr="004D6B8B">
        <w:rPr>
          <w:rFonts w:cstheme="minorHAnsi"/>
          <w:sz w:val="24"/>
          <w:szCs w:val="24"/>
        </w:rPr>
        <w:t xml:space="preserve"> 2012</w:t>
      </w:r>
      <w:r w:rsidR="002638E8" w:rsidRPr="004D6B8B">
        <w:rPr>
          <w:rFonts w:cstheme="minorHAnsi"/>
          <w:sz w:val="24"/>
          <w:szCs w:val="24"/>
        </w:rPr>
        <w:t>;</w:t>
      </w:r>
      <w:r w:rsidRPr="004D6B8B">
        <w:rPr>
          <w:rFonts w:cstheme="minorHAnsi"/>
          <w:sz w:val="24"/>
          <w:szCs w:val="24"/>
        </w:rPr>
        <w:t xml:space="preserve"> </w:t>
      </w:r>
      <w:proofErr w:type="spellStart"/>
      <w:r w:rsidRPr="004D6B8B">
        <w:rPr>
          <w:rFonts w:cstheme="minorHAnsi"/>
          <w:sz w:val="24"/>
          <w:szCs w:val="24"/>
        </w:rPr>
        <w:t>Phair</w:t>
      </w:r>
      <w:proofErr w:type="spellEnd"/>
      <w:r w:rsidRPr="004D6B8B">
        <w:rPr>
          <w:rFonts w:cstheme="minorHAnsi"/>
          <w:sz w:val="24"/>
          <w:szCs w:val="24"/>
        </w:rPr>
        <w:t xml:space="preserve"> </w:t>
      </w:r>
      <w:r w:rsidR="002638E8" w:rsidRPr="004D6B8B">
        <w:rPr>
          <w:rFonts w:cstheme="minorHAnsi"/>
          <w:sz w:val="24"/>
          <w:szCs w:val="24"/>
        </w:rPr>
        <w:t>&amp;</w:t>
      </w:r>
      <w:r w:rsidRPr="004D6B8B">
        <w:rPr>
          <w:rFonts w:cstheme="minorHAnsi"/>
          <w:sz w:val="24"/>
          <w:szCs w:val="24"/>
        </w:rPr>
        <w:t xml:space="preserve"> </w:t>
      </w:r>
      <w:proofErr w:type="spellStart"/>
      <w:r w:rsidRPr="004D6B8B">
        <w:rPr>
          <w:rFonts w:cstheme="minorHAnsi"/>
          <w:sz w:val="24"/>
          <w:szCs w:val="24"/>
        </w:rPr>
        <w:t>Manthorpe</w:t>
      </w:r>
      <w:proofErr w:type="spellEnd"/>
      <w:r w:rsidR="002638E8" w:rsidRPr="004D6B8B">
        <w:rPr>
          <w:rFonts w:cstheme="minorHAnsi"/>
          <w:sz w:val="24"/>
          <w:szCs w:val="24"/>
        </w:rPr>
        <w:t>,</w:t>
      </w:r>
      <w:r w:rsidRPr="004D6B8B">
        <w:rPr>
          <w:rFonts w:cstheme="minorHAnsi"/>
          <w:sz w:val="24"/>
          <w:szCs w:val="24"/>
        </w:rPr>
        <w:t xml:space="preserve"> 2012).</w:t>
      </w:r>
    </w:p>
    <w:p w14:paraId="3FF15361" w14:textId="16C9C27E" w:rsidR="0016551F" w:rsidRPr="004D6B8B" w:rsidRDefault="005A13A0" w:rsidP="005A13A0">
      <w:pPr>
        <w:rPr>
          <w:rFonts w:cstheme="minorHAnsi"/>
          <w:sz w:val="24"/>
          <w:szCs w:val="24"/>
        </w:rPr>
      </w:pPr>
      <w:r w:rsidRPr="004D6B8B">
        <w:rPr>
          <w:rFonts w:cstheme="minorHAnsi"/>
          <w:sz w:val="24"/>
          <w:szCs w:val="24"/>
        </w:rPr>
        <w:t xml:space="preserve">Online learning is perceived as a cheaper option which is open to all (Gough </w:t>
      </w:r>
      <w:r w:rsidR="002638E8" w:rsidRPr="004D6B8B">
        <w:rPr>
          <w:rFonts w:cstheme="minorHAnsi"/>
          <w:sz w:val="24"/>
          <w:szCs w:val="24"/>
        </w:rPr>
        <w:t>&amp;</w:t>
      </w:r>
      <w:r w:rsidRPr="004D6B8B">
        <w:rPr>
          <w:rFonts w:cstheme="minorHAnsi"/>
          <w:sz w:val="24"/>
          <w:szCs w:val="24"/>
        </w:rPr>
        <w:t xml:space="preserve"> </w:t>
      </w:r>
      <w:proofErr w:type="spellStart"/>
      <w:r w:rsidRPr="004D6B8B">
        <w:rPr>
          <w:rFonts w:cstheme="minorHAnsi"/>
          <w:sz w:val="24"/>
          <w:szCs w:val="24"/>
        </w:rPr>
        <w:t>Kerlin</w:t>
      </w:r>
      <w:proofErr w:type="spellEnd"/>
      <w:r w:rsidR="002638E8" w:rsidRPr="004D6B8B">
        <w:rPr>
          <w:rFonts w:cstheme="minorHAnsi"/>
          <w:sz w:val="24"/>
          <w:szCs w:val="24"/>
        </w:rPr>
        <w:t>,</w:t>
      </w:r>
      <w:r w:rsidRPr="004D6B8B">
        <w:rPr>
          <w:rFonts w:cstheme="minorHAnsi"/>
          <w:sz w:val="24"/>
          <w:szCs w:val="24"/>
        </w:rPr>
        <w:t xml:space="preserve"> 2012). However, not all health and social care practitioners have internet access, they do not always find online learning effective, nor are they willing to complete online learning in their </w:t>
      </w:r>
      <w:r w:rsidR="00B160AC" w:rsidRPr="004D6B8B">
        <w:rPr>
          <w:rFonts w:cstheme="minorHAnsi"/>
          <w:sz w:val="24"/>
          <w:szCs w:val="24"/>
        </w:rPr>
        <w:t>non-working</w:t>
      </w:r>
      <w:r w:rsidRPr="004D6B8B">
        <w:rPr>
          <w:rFonts w:cstheme="minorHAnsi"/>
          <w:sz w:val="24"/>
          <w:szCs w:val="24"/>
        </w:rPr>
        <w:t xml:space="preserve"> time (</w:t>
      </w:r>
      <w:proofErr w:type="spellStart"/>
      <w:r w:rsidRPr="004D6B8B">
        <w:rPr>
          <w:rFonts w:cstheme="minorHAnsi"/>
          <w:sz w:val="24"/>
          <w:szCs w:val="24"/>
        </w:rPr>
        <w:t>Smythe</w:t>
      </w:r>
      <w:proofErr w:type="spellEnd"/>
      <w:r w:rsidRPr="004D6B8B">
        <w:rPr>
          <w:rFonts w:cstheme="minorHAnsi"/>
          <w:sz w:val="24"/>
          <w:szCs w:val="24"/>
        </w:rPr>
        <w:t xml:space="preserve"> et al</w:t>
      </w:r>
      <w:r w:rsidR="002638E8" w:rsidRPr="004D6B8B">
        <w:rPr>
          <w:rFonts w:cstheme="minorHAnsi"/>
          <w:sz w:val="24"/>
          <w:szCs w:val="24"/>
        </w:rPr>
        <w:t>.,</w:t>
      </w:r>
      <w:r w:rsidRPr="004D6B8B">
        <w:rPr>
          <w:rFonts w:cstheme="minorHAnsi"/>
          <w:sz w:val="24"/>
          <w:szCs w:val="24"/>
        </w:rPr>
        <w:t xml:space="preserve"> 2017</w:t>
      </w:r>
      <w:r w:rsidR="002638E8" w:rsidRPr="004D6B8B">
        <w:rPr>
          <w:rFonts w:cstheme="minorHAnsi"/>
          <w:sz w:val="24"/>
          <w:szCs w:val="24"/>
        </w:rPr>
        <w:t>;</w:t>
      </w:r>
      <w:r w:rsidRPr="004D6B8B">
        <w:rPr>
          <w:rFonts w:cstheme="minorHAnsi"/>
          <w:sz w:val="24"/>
          <w:szCs w:val="24"/>
        </w:rPr>
        <w:t xml:space="preserve"> Wu</w:t>
      </w:r>
      <w:r w:rsidR="002638E8" w:rsidRPr="004D6B8B">
        <w:rPr>
          <w:rFonts w:cstheme="minorHAnsi"/>
          <w:sz w:val="24"/>
          <w:szCs w:val="24"/>
        </w:rPr>
        <w:t xml:space="preserve">, </w:t>
      </w:r>
      <w:r w:rsidR="002638E8" w:rsidRPr="004D6B8B">
        <w:rPr>
          <w:rFonts w:cstheme="minorHAnsi"/>
        </w:rPr>
        <w:t xml:space="preserve">Chan, Tan, &amp; Wang, (2018). </w:t>
      </w:r>
      <w:r w:rsidRPr="004D6B8B">
        <w:rPr>
          <w:rFonts w:cstheme="minorHAnsi"/>
          <w:sz w:val="24"/>
          <w:szCs w:val="24"/>
        </w:rPr>
        <w:t xml:space="preserve"> While benefits of online learning include flexibility and convenience, together with savings related to staffing levels and </w:t>
      </w:r>
      <w:r w:rsidRPr="004D6B8B">
        <w:rPr>
          <w:rFonts w:cstheme="minorHAnsi"/>
          <w:sz w:val="24"/>
          <w:szCs w:val="24"/>
        </w:rPr>
        <w:lastRenderedPageBreak/>
        <w:t>funding (Wu et al</w:t>
      </w:r>
      <w:r w:rsidR="002638E8" w:rsidRPr="004D6B8B">
        <w:rPr>
          <w:rFonts w:cstheme="minorHAnsi"/>
          <w:sz w:val="24"/>
          <w:szCs w:val="24"/>
        </w:rPr>
        <w:t>.,</w:t>
      </w:r>
      <w:r w:rsidRPr="004D6B8B">
        <w:rPr>
          <w:rFonts w:cstheme="minorHAnsi"/>
          <w:sz w:val="24"/>
          <w:szCs w:val="24"/>
        </w:rPr>
        <w:t xml:space="preserve"> 2018) ethical issues arise as the time-related costs have often been passed on to the nurses. </w:t>
      </w:r>
      <w:r w:rsidR="009111C9" w:rsidRPr="004D6B8B">
        <w:rPr>
          <w:rFonts w:cstheme="minorHAnsi"/>
          <w:sz w:val="24"/>
          <w:szCs w:val="24"/>
        </w:rPr>
        <w:t xml:space="preserve">Managers of under-staffed </w:t>
      </w:r>
      <w:proofErr w:type="spellStart"/>
      <w:r w:rsidR="009111C9" w:rsidRPr="004D6B8B">
        <w:rPr>
          <w:rFonts w:cstheme="minorHAnsi"/>
          <w:sz w:val="24"/>
          <w:szCs w:val="24"/>
        </w:rPr>
        <w:t>organisations</w:t>
      </w:r>
      <w:proofErr w:type="spellEnd"/>
      <w:r w:rsidR="009111C9" w:rsidRPr="004D6B8B">
        <w:rPr>
          <w:rFonts w:cstheme="minorHAnsi"/>
          <w:sz w:val="24"/>
          <w:szCs w:val="24"/>
        </w:rPr>
        <w:t xml:space="preserve"> with high levels of staff turnover are reluctant to fund more expensive classroom-based learning for employees who may soon change workplace (Gough </w:t>
      </w:r>
      <w:r w:rsidR="002638E8" w:rsidRPr="004D6B8B">
        <w:rPr>
          <w:rFonts w:cstheme="minorHAnsi"/>
          <w:sz w:val="24"/>
          <w:szCs w:val="24"/>
        </w:rPr>
        <w:t>&amp;</w:t>
      </w:r>
      <w:r w:rsidR="009111C9" w:rsidRPr="004D6B8B">
        <w:rPr>
          <w:rFonts w:cstheme="minorHAnsi"/>
          <w:sz w:val="24"/>
          <w:szCs w:val="24"/>
        </w:rPr>
        <w:t xml:space="preserve"> </w:t>
      </w:r>
      <w:proofErr w:type="spellStart"/>
      <w:r w:rsidR="009111C9" w:rsidRPr="004D6B8B">
        <w:rPr>
          <w:rFonts w:cstheme="minorHAnsi"/>
          <w:sz w:val="24"/>
          <w:szCs w:val="24"/>
        </w:rPr>
        <w:t>Kerlin</w:t>
      </w:r>
      <w:proofErr w:type="spellEnd"/>
      <w:r w:rsidR="009111C9" w:rsidRPr="004D6B8B">
        <w:rPr>
          <w:rFonts w:cstheme="minorHAnsi"/>
          <w:sz w:val="24"/>
          <w:szCs w:val="24"/>
        </w:rPr>
        <w:t xml:space="preserve"> 2012). </w:t>
      </w:r>
      <w:proofErr w:type="spellStart"/>
      <w:r w:rsidR="009111C9" w:rsidRPr="004D6B8B">
        <w:rPr>
          <w:rFonts w:cstheme="minorHAnsi"/>
          <w:sz w:val="24"/>
          <w:szCs w:val="24"/>
        </w:rPr>
        <w:t>Phair</w:t>
      </w:r>
      <w:proofErr w:type="spellEnd"/>
      <w:r w:rsidR="009111C9" w:rsidRPr="004D6B8B">
        <w:rPr>
          <w:rFonts w:cstheme="minorHAnsi"/>
          <w:sz w:val="24"/>
          <w:szCs w:val="24"/>
        </w:rPr>
        <w:t xml:space="preserve"> </w:t>
      </w:r>
      <w:r w:rsidR="002638E8" w:rsidRPr="004D6B8B">
        <w:rPr>
          <w:rFonts w:cstheme="minorHAnsi"/>
          <w:sz w:val="24"/>
          <w:szCs w:val="24"/>
        </w:rPr>
        <w:t>&amp;</w:t>
      </w:r>
      <w:r w:rsidR="009111C9" w:rsidRPr="004D6B8B">
        <w:rPr>
          <w:rFonts w:cstheme="minorHAnsi"/>
          <w:sz w:val="24"/>
          <w:szCs w:val="24"/>
        </w:rPr>
        <w:t xml:space="preserve"> </w:t>
      </w:r>
      <w:proofErr w:type="spellStart"/>
      <w:r w:rsidR="009111C9" w:rsidRPr="004D6B8B">
        <w:rPr>
          <w:rFonts w:cstheme="minorHAnsi"/>
          <w:sz w:val="24"/>
          <w:szCs w:val="24"/>
        </w:rPr>
        <w:t>Manthorpe</w:t>
      </w:r>
      <w:proofErr w:type="spellEnd"/>
      <w:r w:rsidR="009111C9" w:rsidRPr="004D6B8B">
        <w:rPr>
          <w:rFonts w:cstheme="minorHAnsi"/>
          <w:sz w:val="24"/>
          <w:szCs w:val="24"/>
        </w:rPr>
        <w:t xml:space="preserve"> (2012), </w:t>
      </w:r>
      <w:proofErr w:type="gramStart"/>
      <w:r w:rsidR="001C2837" w:rsidRPr="004D6B8B">
        <w:rPr>
          <w:rFonts w:cstheme="minorHAnsi"/>
          <w:sz w:val="24"/>
          <w:szCs w:val="24"/>
        </w:rPr>
        <w:t xml:space="preserve">Marshall </w:t>
      </w:r>
      <w:r w:rsidR="002638E8" w:rsidRPr="004D6B8B">
        <w:rPr>
          <w:rFonts w:cstheme="minorHAnsi"/>
          <w:sz w:val="24"/>
          <w:szCs w:val="24"/>
        </w:rPr>
        <w:t>&amp;</w:t>
      </w:r>
      <w:proofErr w:type="gramEnd"/>
      <w:r w:rsidR="001C2837" w:rsidRPr="004D6B8B">
        <w:rPr>
          <w:rFonts w:cstheme="minorHAnsi"/>
          <w:sz w:val="24"/>
          <w:szCs w:val="24"/>
        </w:rPr>
        <w:t xml:space="preserve"> Sprung (2016a) and Marshall </w:t>
      </w:r>
      <w:r w:rsidR="008F00AA" w:rsidRPr="004D6B8B">
        <w:rPr>
          <w:rFonts w:cstheme="minorHAnsi"/>
          <w:sz w:val="24"/>
          <w:szCs w:val="24"/>
        </w:rPr>
        <w:t>&amp;</w:t>
      </w:r>
      <w:r w:rsidR="001C2837" w:rsidRPr="004D6B8B">
        <w:rPr>
          <w:rFonts w:cstheme="minorHAnsi"/>
          <w:sz w:val="24"/>
          <w:szCs w:val="24"/>
        </w:rPr>
        <w:t xml:space="preserve"> Sprung (2016b) reiterate registered professionals’ responsibility to keep themselves updated. </w:t>
      </w:r>
      <w:r w:rsidR="009111C9" w:rsidRPr="004D6B8B">
        <w:rPr>
          <w:rFonts w:cstheme="minorHAnsi"/>
          <w:sz w:val="24"/>
          <w:szCs w:val="24"/>
        </w:rPr>
        <w:t>However, i</w:t>
      </w:r>
      <w:r w:rsidR="001C2837" w:rsidRPr="004D6B8B">
        <w:rPr>
          <w:rFonts w:cstheme="minorHAnsi"/>
          <w:sz w:val="24"/>
          <w:szCs w:val="24"/>
        </w:rPr>
        <w:t xml:space="preserve">n the context of health and social care staff who often work unpaid overtime, it has been argued that the responsibility for MCA learning should not lie with the individual (Goodman, 2016).  </w:t>
      </w:r>
    </w:p>
    <w:p w14:paraId="7CF39729" w14:textId="6BCC6898" w:rsidR="00F1119A" w:rsidRPr="004D6B8B" w:rsidRDefault="00F1119A" w:rsidP="005A13A0">
      <w:pPr>
        <w:rPr>
          <w:rFonts w:cstheme="minorHAnsi"/>
          <w:i/>
          <w:sz w:val="24"/>
          <w:szCs w:val="24"/>
        </w:rPr>
      </w:pPr>
      <w:r w:rsidRPr="004D6B8B">
        <w:rPr>
          <w:rFonts w:cstheme="minorHAnsi"/>
          <w:i/>
          <w:sz w:val="24"/>
          <w:szCs w:val="24"/>
        </w:rPr>
        <w:t>Cultural factors</w:t>
      </w:r>
    </w:p>
    <w:p w14:paraId="281DE7B7" w14:textId="5D77650C" w:rsidR="005A13A0" w:rsidRPr="004D6B8B" w:rsidRDefault="00B66630" w:rsidP="005A13A0">
      <w:pPr>
        <w:rPr>
          <w:rFonts w:cstheme="minorHAnsi"/>
          <w:sz w:val="24"/>
          <w:szCs w:val="24"/>
        </w:rPr>
      </w:pPr>
      <w:r w:rsidRPr="004D6B8B">
        <w:rPr>
          <w:rFonts w:cstheme="minorHAnsi"/>
          <w:sz w:val="24"/>
          <w:szCs w:val="24"/>
        </w:rPr>
        <w:t>A strong values-base within a professional identity may lead to ethical and practical dilemmas for professionals. Social workers share commitment to promoting social justice and challenging oppression (</w:t>
      </w:r>
      <w:proofErr w:type="spellStart"/>
      <w:r w:rsidRPr="004D6B8B">
        <w:rPr>
          <w:rFonts w:cstheme="minorHAnsi"/>
          <w:sz w:val="24"/>
          <w:szCs w:val="24"/>
        </w:rPr>
        <w:t>Chechak</w:t>
      </w:r>
      <w:proofErr w:type="spellEnd"/>
      <w:r w:rsidRPr="004D6B8B">
        <w:rPr>
          <w:rFonts w:cstheme="minorHAnsi"/>
          <w:sz w:val="24"/>
          <w:szCs w:val="24"/>
        </w:rPr>
        <w:t>, 2015)</w:t>
      </w:r>
      <w:r w:rsidR="00BE1B45" w:rsidRPr="004D6B8B">
        <w:rPr>
          <w:rFonts w:cstheme="minorHAnsi"/>
          <w:sz w:val="24"/>
          <w:szCs w:val="24"/>
        </w:rPr>
        <w:t xml:space="preserve"> but despite this may get drawn into risk-averse practice (Murrell &amp; </w:t>
      </w:r>
      <w:proofErr w:type="spellStart"/>
      <w:r w:rsidR="00BE1B45" w:rsidRPr="004D6B8B">
        <w:rPr>
          <w:rFonts w:cstheme="minorHAnsi"/>
          <w:sz w:val="24"/>
          <w:szCs w:val="24"/>
        </w:rPr>
        <w:t>McCalla</w:t>
      </w:r>
      <w:proofErr w:type="spellEnd"/>
      <w:r w:rsidR="00BE1B45" w:rsidRPr="004D6B8B">
        <w:rPr>
          <w:rFonts w:cstheme="minorHAnsi"/>
          <w:sz w:val="24"/>
          <w:szCs w:val="24"/>
        </w:rPr>
        <w:t xml:space="preserve"> (2015). </w:t>
      </w:r>
      <w:r w:rsidR="005A13A0" w:rsidRPr="004D6B8B">
        <w:rPr>
          <w:rFonts w:cstheme="minorHAnsi"/>
          <w:sz w:val="24"/>
          <w:szCs w:val="24"/>
        </w:rPr>
        <w:t xml:space="preserve">Health professionals are recruited </w:t>
      </w:r>
      <w:r w:rsidR="00202CA1" w:rsidRPr="004D6B8B">
        <w:rPr>
          <w:rFonts w:cstheme="minorHAnsi"/>
          <w:sz w:val="24"/>
          <w:szCs w:val="24"/>
        </w:rPr>
        <w:t xml:space="preserve">partly </w:t>
      </w:r>
      <w:r w:rsidR="005A13A0" w:rsidRPr="004D6B8B">
        <w:rPr>
          <w:rFonts w:cstheme="minorHAnsi"/>
          <w:sz w:val="24"/>
          <w:szCs w:val="24"/>
        </w:rPr>
        <w:t>for their caring values (</w:t>
      </w:r>
      <w:r w:rsidR="001C60A8" w:rsidRPr="004D6B8B">
        <w:rPr>
          <w:rFonts w:cstheme="minorHAnsi"/>
          <w:sz w:val="24"/>
          <w:szCs w:val="24"/>
        </w:rPr>
        <w:t>Foster,</w:t>
      </w:r>
      <w:r w:rsidR="005A13A0" w:rsidRPr="004D6B8B">
        <w:rPr>
          <w:rFonts w:cstheme="minorHAnsi"/>
          <w:sz w:val="24"/>
          <w:szCs w:val="24"/>
        </w:rPr>
        <w:t xml:space="preserve"> 2017) which may mean they are more naturally orientated towards ‘beneficence’ rather than promoting autonomy in their relationships with service users.</w:t>
      </w:r>
      <w:r w:rsidR="00870A5E" w:rsidRPr="004D6B8B">
        <w:rPr>
          <w:rFonts w:cstheme="minorHAnsi"/>
          <w:sz w:val="24"/>
          <w:szCs w:val="24"/>
        </w:rPr>
        <w:t xml:space="preserve"> For example, despite increasing attention to the importance of family-based care and decision-making, practitioners continue to make paternalistic decisions on behalf of patients based on their feelings about what is best (Giles et al 2017).</w:t>
      </w:r>
      <w:r w:rsidR="005A13A0" w:rsidRPr="004D6B8B">
        <w:rPr>
          <w:rFonts w:cstheme="minorHAnsi"/>
          <w:sz w:val="24"/>
          <w:szCs w:val="24"/>
        </w:rPr>
        <w:t xml:space="preserve"> Aspects of the MCA require students to ‘unlearn’ outdated responses to decision-making (for example around duty of care dilemmas) while also potentially transgressing personal and professional values that </w:t>
      </w:r>
      <w:proofErr w:type="spellStart"/>
      <w:r w:rsidR="005A13A0" w:rsidRPr="004D6B8B">
        <w:rPr>
          <w:rFonts w:cstheme="minorHAnsi"/>
          <w:sz w:val="24"/>
          <w:szCs w:val="24"/>
        </w:rPr>
        <w:t>prioritise</w:t>
      </w:r>
      <w:proofErr w:type="spellEnd"/>
      <w:r w:rsidR="005A13A0" w:rsidRPr="004D6B8B">
        <w:rPr>
          <w:rFonts w:cstheme="minorHAnsi"/>
          <w:sz w:val="24"/>
          <w:szCs w:val="24"/>
        </w:rPr>
        <w:t xml:space="preserve"> </w:t>
      </w:r>
      <w:r w:rsidR="00C82DF3" w:rsidRPr="004D6B8B">
        <w:rPr>
          <w:rFonts w:cstheme="minorHAnsi"/>
          <w:sz w:val="24"/>
          <w:szCs w:val="24"/>
        </w:rPr>
        <w:t>taking care of others</w:t>
      </w:r>
      <w:r w:rsidR="005A13A0" w:rsidRPr="004D6B8B">
        <w:rPr>
          <w:rFonts w:cstheme="minorHAnsi"/>
          <w:sz w:val="24"/>
          <w:szCs w:val="24"/>
        </w:rPr>
        <w:t>.</w:t>
      </w:r>
      <w:r w:rsidR="005A13A0" w:rsidRPr="004D6B8B">
        <w:rPr>
          <w:rFonts w:eastAsia="Times New Roman" w:cstheme="minorHAnsi"/>
          <w:sz w:val="24"/>
          <w:szCs w:val="24"/>
        </w:rPr>
        <w:t xml:space="preserve"> </w:t>
      </w:r>
      <w:r w:rsidR="00B826EB" w:rsidRPr="004D6B8B">
        <w:rPr>
          <w:rFonts w:eastAsia="Times New Roman" w:cstheme="minorHAnsi"/>
          <w:sz w:val="24"/>
          <w:szCs w:val="24"/>
        </w:rPr>
        <w:t xml:space="preserve">Some </w:t>
      </w:r>
      <w:r w:rsidR="00B826EB" w:rsidRPr="004D6B8B">
        <w:rPr>
          <w:rFonts w:cstheme="minorHAnsi"/>
          <w:sz w:val="24"/>
          <w:szCs w:val="24"/>
        </w:rPr>
        <w:t>n</w:t>
      </w:r>
      <w:r w:rsidR="005A13A0" w:rsidRPr="004D6B8B">
        <w:rPr>
          <w:rFonts w:cstheme="minorHAnsi"/>
          <w:sz w:val="24"/>
          <w:szCs w:val="24"/>
        </w:rPr>
        <w:t xml:space="preserve">urses, </w:t>
      </w:r>
      <w:r w:rsidR="00B826EB" w:rsidRPr="004D6B8B">
        <w:rPr>
          <w:rFonts w:cstheme="minorHAnsi"/>
          <w:sz w:val="24"/>
          <w:szCs w:val="24"/>
        </w:rPr>
        <w:t>even those working is specialized areas caring for people with intellectual disabilities or dementia</w:t>
      </w:r>
      <w:proofErr w:type="gramStart"/>
      <w:r w:rsidR="00B826EB" w:rsidRPr="004D6B8B">
        <w:rPr>
          <w:rFonts w:cstheme="minorHAnsi"/>
          <w:sz w:val="24"/>
          <w:szCs w:val="24"/>
        </w:rPr>
        <w:t>,</w:t>
      </w:r>
      <w:r w:rsidR="005A13A0" w:rsidRPr="004D6B8B">
        <w:rPr>
          <w:rFonts w:cstheme="minorHAnsi"/>
          <w:sz w:val="24"/>
          <w:szCs w:val="24"/>
        </w:rPr>
        <w:t>,</w:t>
      </w:r>
      <w:proofErr w:type="gramEnd"/>
      <w:r w:rsidR="005A13A0" w:rsidRPr="004D6B8B">
        <w:rPr>
          <w:rFonts w:cstheme="minorHAnsi"/>
          <w:sz w:val="24"/>
          <w:szCs w:val="24"/>
        </w:rPr>
        <w:t xml:space="preserve"> struggle to limit their protectiveness towards people they perceive as vulnerable (Marshall </w:t>
      </w:r>
      <w:r w:rsidR="008F00AA" w:rsidRPr="004D6B8B">
        <w:rPr>
          <w:rFonts w:cstheme="minorHAnsi"/>
          <w:sz w:val="24"/>
          <w:szCs w:val="24"/>
        </w:rPr>
        <w:t>&amp;</w:t>
      </w:r>
      <w:r w:rsidR="005A13A0" w:rsidRPr="004D6B8B">
        <w:rPr>
          <w:rFonts w:cstheme="minorHAnsi"/>
          <w:sz w:val="24"/>
          <w:szCs w:val="24"/>
        </w:rPr>
        <w:t xml:space="preserve"> Sprung 2016a). Nurses and care workers retreat from confronting this </w:t>
      </w:r>
      <w:r w:rsidR="0063669C" w:rsidRPr="004D6B8B">
        <w:rPr>
          <w:rFonts w:cstheme="minorHAnsi"/>
          <w:sz w:val="24"/>
          <w:szCs w:val="24"/>
        </w:rPr>
        <w:t xml:space="preserve">conflict </w:t>
      </w:r>
      <w:r w:rsidR="005A13A0" w:rsidRPr="004D6B8B">
        <w:rPr>
          <w:rFonts w:cstheme="minorHAnsi"/>
          <w:sz w:val="24"/>
          <w:szCs w:val="24"/>
        </w:rPr>
        <w:t xml:space="preserve">in values and resolve </w:t>
      </w:r>
      <w:r w:rsidR="006C3B09" w:rsidRPr="004D6B8B">
        <w:rPr>
          <w:rFonts w:cstheme="minorHAnsi"/>
          <w:sz w:val="24"/>
          <w:szCs w:val="24"/>
        </w:rPr>
        <w:t>this emotional discomfort</w:t>
      </w:r>
      <w:r w:rsidR="005A13A0" w:rsidRPr="004D6B8B">
        <w:rPr>
          <w:rFonts w:cstheme="minorHAnsi"/>
          <w:sz w:val="24"/>
          <w:szCs w:val="24"/>
        </w:rPr>
        <w:t xml:space="preserve"> by </w:t>
      </w:r>
      <w:proofErr w:type="spellStart"/>
      <w:r w:rsidR="008A195C" w:rsidRPr="004D6B8B">
        <w:rPr>
          <w:rFonts w:cstheme="minorHAnsi"/>
          <w:sz w:val="24"/>
          <w:szCs w:val="24"/>
        </w:rPr>
        <w:t>emphasising</w:t>
      </w:r>
      <w:proofErr w:type="spellEnd"/>
      <w:r w:rsidR="005A13A0" w:rsidRPr="004D6B8B">
        <w:rPr>
          <w:rFonts w:cstheme="minorHAnsi"/>
          <w:sz w:val="24"/>
          <w:szCs w:val="24"/>
        </w:rPr>
        <w:t xml:space="preserve"> the person-</w:t>
      </w:r>
      <w:proofErr w:type="spellStart"/>
      <w:r w:rsidR="005A13A0" w:rsidRPr="004D6B8B">
        <w:rPr>
          <w:rFonts w:cstheme="minorHAnsi"/>
          <w:sz w:val="24"/>
          <w:szCs w:val="24"/>
        </w:rPr>
        <w:t>centredness</w:t>
      </w:r>
      <w:proofErr w:type="spellEnd"/>
      <w:r w:rsidR="005A13A0" w:rsidRPr="004D6B8B">
        <w:rPr>
          <w:rFonts w:cstheme="minorHAnsi"/>
          <w:sz w:val="24"/>
          <w:szCs w:val="24"/>
        </w:rPr>
        <w:t xml:space="preserve"> of their relationships with patients. In retreating to practice based on misunderstanding of ‘best interests’ they risk the legal ramifications of failing to promote service-users’ autonomy. Short-cutting the processes of assessing capacity and following the five principles of the MCA (which promote a person’s preferences over other cultural and personal values) results in illegal practice which short-changes individuals’ rights to self-government.</w:t>
      </w:r>
    </w:p>
    <w:p w14:paraId="00F3BA08" w14:textId="72D5C7DF" w:rsidR="00F1119A" w:rsidRPr="004D6B8B" w:rsidRDefault="006C3B09" w:rsidP="005A13A0">
      <w:pPr>
        <w:rPr>
          <w:rFonts w:eastAsia="Times New Roman" w:cstheme="minorHAnsi"/>
          <w:sz w:val="24"/>
          <w:szCs w:val="24"/>
        </w:rPr>
      </w:pPr>
      <w:r w:rsidRPr="004D6B8B">
        <w:rPr>
          <w:rFonts w:cstheme="minorHAnsi"/>
          <w:sz w:val="24"/>
          <w:szCs w:val="24"/>
        </w:rPr>
        <w:t>Authors’ suggestion of a</w:t>
      </w:r>
      <w:r w:rsidR="00F1119A" w:rsidRPr="004D6B8B">
        <w:rPr>
          <w:rFonts w:cstheme="minorHAnsi"/>
          <w:sz w:val="24"/>
          <w:szCs w:val="24"/>
        </w:rPr>
        <w:t>dditional strategies to embed learning</w:t>
      </w:r>
      <w:r w:rsidRPr="004D6B8B">
        <w:rPr>
          <w:rFonts w:cstheme="minorHAnsi"/>
          <w:sz w:val="24"/>
          <w:szCs w:val="24"/>
        </w:rPr>
        <w:t xml:space="preserve"> </w:t>
      </w:r>
      <w:r w:rsidR="00F1119A" w:rsidRPr="004D6B8B">
        <w:rPr>
          <w:rFonts w:cstheme="minorHAnsi"/>
          <w:sz w:val="24"/>
          <w:szCs w:val="24"/>
        </w:rPr>
        <w:t xml:space="preserve">may reflect implicit acknowledgement not only of the limited nature of most training interventions but also of the non-conducive nature of practice environments to accepting and promoting the spirit and directives of the MCA. </w:t>
      </w:r>
      <w:r w:rsidR="005A13A0" w:rsidRPr="004D6B8B">
        <w:rPr>
          <w:rFonts w:eastAsia="Times New Roman" w:cstheme="minorHAnsi"/>
          <w:sz w:val="24"/>
          <w:szCs w:val="24"/>
        </w:rPr>
        <w:t>The culture of the health service is described as ‘paternalistic and risk averse’ (</w:t>
      </w:r>
      <w:proofErr w:type="gramStart"/>
      <w:r w:rsidR="005A13A0" w:rsidRPr="004D6B8B">
        <w:rPr>
          <w:rFonts w:eastAsia="Times New Roman" w:cstheme="minorHAnsi"/>
          <w:sz w:val="24"/>
          <w:szCs w:val="24"/>
        </w:rPr>
        <w:t xml:space="preserve">Marshall </w:t>
      </w:r>
      <w:r w:rsidR="008F00AA" w:rsidRPr="004D6B8B">
        <w:rPr>
          <w:rFonts w:eastAsia="Times New Roman" w:cstheme="minorHAnsi"/>
          <w:sz w:val="24"/>
          <w:szCs w:val="24"/>
        </w:rPr>
        <w:t>&amp;</w:t>
      </w:r>
      <w:proofErr w:type="gramEnd"/>
      <w:r w:rsidR="005A13A0" w:rsidRPr="004D6B8B">
        <w:rPr>
          <w:rFonts w:eastAsia="Times New Roman" w:cstheme="minorHAnsi"/>
          <w:sz w:val="24"/>
          <w:szCs w:val="24"/>
        </w:rPr>
        <w:t xml:space="preserve"> Sprung</w:t>
      </w:r>
      <w:r w:rsidR="008F00AA" w:rsidRPr="004D6B8B">
        <w:rPr>
          <w:rFonts w:eastAsia="Times New Roman" w:cstheme="minorHAnsi"/>
          <w:sz w:val="24"/>
          <w:szCs w:val="24"/>
        </w:rPr>
        <w:t>,</w:t>
      </w:r>
      <w:r w:rsidR="005A13A0" w:rsidRPr="004D6B8B">
        <w:rPr>
          <w:rFonts w:eastAsia="Times New Roman" w:cstheme="minorHAnsi"/>
          <w:sz w:val="24"/>
          <w:szCs w:val="24"/>
        </w:rPr>
        <w:t xml:space="preserve"> 2016b:409). Review studies confirmed this statement (</w:t>
      </w:r>
      <w:proofErr w:type="spellStart"/>
      <w:r w:rsidR="005A13A0" w:rsidRPr="004D6B8B">
        <w:rPr>
          <w:rFonts w:eastAsia="Times New Roman" w:cstheme="minorHAnsi"/>
          <w:sz w:val="24"/>
          <w:szCs w:val="24"/>
        </w:rPr>
        <w:t>Morriss</w:t>
      </w:r>
      <w:proofErr w:type="spellEnd"/>
      <w:r w:rsidR="005A13A0" w:rsidRPr="004D6B8B">
        <w:rPr>
          <w:rFonts w:eastAsia="Times New Roman" w:cstheme="minorHAnsi"/>
          <w:sz w:val="24"/>
          <w:szCs w:val="24"/>
        </w:rPr>
        <w:t xml:space="preserve"> et al</w:t>
      </w:r>
      <w:r w:rsidR="008F00AA" w:rsidRPr="004D6B8B">
        <w:rPr>
          <w:rFonts w:eastAsia="Times New Roman" w:cstheme="minorHAnsi"/>
          <w:sz w:val="24"/>
          <w:szCs w:val="24"/>
        </w:rPr>
        <w:t>.,</w:t>
      </w:r>
      <w:r w:rsidR="005A13A0" w:rsidRPr="004D6B8B">
        <w:rPr>
          <w:rFonts w:eastAsia="Times New Roman" w:cstheme="minorHAnsi"/>
          <w:sz w:val="24"/>
          <w:szCs w:val="24"/>
        </w:rPr>
        <w:t xml:space="preserve"> 2017</w:t>
      </w:r>
      <w:r w:rsidR="008F00AA" w:rsidRPr="004D6B8B">
        <w:rPr>
          <w:rFonts w:eastAsia="Times New Roman" w:cstheme="minorHAnsi"/>
          <w:sz w:val="24"/>
          <w:szCs w:val="24"/>
        </w:rPr>
        <w:t>;</w:t>
      </w:r>
      <w:r w:rsidR="00F1119A" w:rsidRPr="004D6B8B">
        <w:rPr>
          <w:rFonts w:eastAsia="Times New Roman" w:cstheme="minorHAnsi"/>
          <w:sz w:val="24"/>
          <w:szCs w:val="24"/>
        </w:rPr>
        <w:t xml:space="preserve"> </w:t>
      </w:r>
      <w:proofErr w:type="spellStart"/>
      <w:r w:rsidR="005A13A0" w:rsidRPr="004D6B8B">
        <w:rPr>
          <w:rFonts w:eastAsia="Times New Roman" w:cstheme="minorHAnsi"/>
          <w:sz w:val="24"/>
          <w:szCs w:val="24"/>
        </w:rPr>
        <w:t>Manthorpe</w:t>
      </w:r>
      <w:proofErr w:type="spellEnd"/>
      <w:r w:rsidR="005A13A0" w:rsidRPr="004D6B8B">
        <w:rPr>
          <w:rFonts w:eastAsia="Times New Roman" w:cstheme="minorHAnsi"/>
          <w:sz w:val="24"/>
          <w:szCs w:val="24"/>
        </w:rPr>
        <w:t xml:space="preserve"> </w:t>
      </w:r>
      <w:r w:rsidR="008F00AA" w:rsidRPr="004D6B8B">
        <w:rPr>
          <w:rFonts w:eastAsia="Times New Roman" w:cstheme="minorHAnsi"/>
          <w:sz w:val="24"/>
          <w:szCs w:val="24"/>
        </w:rPr>
        <w:t>&amp;</w:t>
      </w:r>
      <w:r w:rsidR="005A13A0" w:rsidRPr="004D6B8B">
        <w:rPr>
          <w:rFonts w:eastAsia="Times New Roman" w:cstheme="minorHAnsi"/>
          <w:sz w:val="24"/>
          <w:szCs w:val="24"/>
        </w:rPr>
        <w:t xml:space="preserve"> </w:t>
      </w:r>
      <w:proofErr w:type="spellStart"/>
      <w:r w:rsidR="005A13A0" w:rsidRPr="004D6B8B">
        <w:rPr>
          <w:rFonts w:eastAsia="Times New Roman" w:cstheme="minorHAnsi"/>
          <w:sz w:val="24"/>
          <w:szCs w:val="24"/>
        </w:rPr>
        <w:t>Samsi</w:t>
      </w:r>
      <w:proofErr w:type="spellEnd"/>
      <w:r w:rsidR="008F00AA" w:rsidRPr="004D6B8B">
        <w:rPr>
          <w:rFonts w:eastAsia="Times New Roman" w:cstheme="minorHAnsi"/>
          <w:sz w:val="24"/>
          <w:szCs w:val="24"/>
        </w:rPr>
        <w:t>.,</w:t>
      </w:r>
      <w:r w:rsidR="005A13A0" w:rsidRPr="004D6B8B">
        <w:rPr>
          <w:rFonts w:eastAsia="Times New Roman" w:cstheme="minorHAnsi"/>
          <w:sz w:val="24"/>
          <w:szCs w:val="24"/>
        </w:rPr>
        <w:t xml:space="preserve"> 2016, McCormick</w:t>
      </w:r>
      <w:r w:rsidR="008F00AA" w:rsidRPr="004D6B8B">
        <w:rPr>
          <w:rFonts w:eastAsia="Times New Roman" w:cstheme="minorHAnsi"/>
          <w:sz w:val="24"/>
          <w:szCs w:val="24"/>
        </w:rPr>
        <w:t>, et al.,</w:t>
      </w:r>
      <w:r w:rsidR="005A13A0" w:rsidRPr="004D6B8B">
        <w:rPr>
          <w:rFonts w:eastAsia="Times New Roman" w:cstheme="minorHAnsi"/>
          <w:sz w:val="24"/>
          <w:szCs w:val="24"/>
        </w:rPr>
        <w:t xml:space="preserve"> 2017</w:t>
      </w:r>
      <w:r w:rsidR="008F00AA" w:rsidRPr="004D6B8B">
        <w:rPr>
          <w:rFonts w:eastAsia="Times New Roman" w:cstheme="minorHAnsi"/>
          <w:sz w:val="24"/>
          <w:szCs w:val="24"/>
        </w:rPr>
        <w:t xml:space="preserve">; </w:t>
      </w:r>
      <w:proofErr w:type="spellStart"/>
      <w:r w:rsidR="005A13A0" w:rsidRPr="004D6B8B">
        <w:rPr>
          <w:rFonts w:eastAsia="Times New Roman" w:cstheme="minorHAnsi"/>
          <w:sz w:val="24"/>
          <w:szCs w:val="24"/>
        </w:rPr>
        <w:t>Willner</w:t>
      </w:r>
      <w:proofErr w:type="spellEnd"/>
      <w:r w:rsidR="008F00AA" w:rsidRPr="004D6B8B">
        <w:rPr>
          <w:rFonts w:eastAsia="Times New Roman" w:cstheme="minorHAnsi"/>
          <w:sz w:val="24"/>
          <w:szCs w:val="24"/>
        </w:rPr>
        <w:t>,</w:t>
      </w:r>
      <w:r w:rsidR="008F00AA" w:rsidRPr="004D6B8B">
        <w:rPr>
          <w:rFonts w:cstheme="minorHAnsi"/>
          <w:sz w:val="24"/>
          <w:szCs w:val="24"/>
        </w:rPr>
        <w:t xml:space="preserve"> Bridle, Dymond, &amp; Lewis,</w:t>
      </w:r>
      <w:r w:rsidR="005A13A0" w:rsidRPr="004D6B8B">
        <w:rPr>
          <w:rFonts w:eastAsia="Times New Roman" w:cstheme="minorHAnsi"/>
          <w:sz w:val="24"/>
          <w:szCs w:val="24"/>
        </w:rPr>
        <w:t xml:space="preserve"> </w:t>
      </w:r>
      <w:r w:rsidR="005A13A0" w:rsidRPr="004D6B8B">
        <w:rPr>
          <w:rFonts w:eastAsia="Times New Roman" w:cstheme="minorHAnsi"/>
          <w:sz w:val="24"/>
          <w:szCs w:val="24"/>
        </w:rPr>
        <w:lastRenderedPageBreak/>
        <w:t xml:space="preserve">2013), indicating that outdated underpinning cultural values and norms </w:t>
      </w:r>
      <w:r w:rsidR="006E1888" w:rsidRPr="004D6B8B">
        <w:rPr>
          <w:rFonts w:eastAsia="Times New Roman" w:cstheme="minorHAnsi"/>
          <w:sz w:val="24"/>
          <w:szCs w:val="24"/>
        </w:rPr>
        <w:t xml:space="preserve">may </w:t>
      </w:r>
      <w:r w:rsidR="005A13A0" w:rsidRPr="004D6B8B">
        <w:rPr>
          <w:rFonts w:eastAsia="Times New Roman" w:cstheme="minorHAnsi"/>
          <w:sz w:val="24"/>
          <w:szCs w:val="24"/>
        </w:rPr>
        <w:t xml:space="preserve">need to be challenged and addressed </w:t>
      </w:r>
      <w:r w:rsidRPr="004D6B8B">
        <w:rPr>
          <w:rFonts w:eastAsia="Times New Roman" w:cstheme="minorHAnsi"/>
          <w:sz w:val="24"/>
          <w:szCs w:val="24"/>
        </w:rPr>
        <w:t>to facilitate</w:t>
      </w:r>
      <w:r w:rsidR="005A13A0" w:rsidRPr="004D6B8B">
        <w:rPr>
          <w:rFonts w:eastAsia="Times New Roman" w:cstheme="minorHAnsi"/>
          <w:sz w:val="24"/>
          <w:szCs w:val="24"/>
        </w:rPr>
        <w:t xml:space="preserve"> correct application of the MCA. </w:t>
      </w:r>
    </w:p>
    <w:p w14:paraId="5D8BBAD3" w14:textId="38FDF02D" w:rsidR="005A13A0" w:rsidRPr="004D6B8B" w:rsidRDefault="005A13A0" w:rsidP="005A13A0">
      <w:pPr>
        <w:rPr>
          <w:rFonts w:eastAsia="Times New Roman" w:cstheme="minorHAnsi"/>
          <w:sz w:val="24"/>
          <w:szCs w:val="24"/>
        </w:rPr>
      </w:pPr>
      <w:r w:rsidRPr="004D6B8B">
        <w:rPr>
          <w:rFonts w:eastAsia="Times New Roman" w:cstheme="minorHAnsi"/>
          <w:sz w:val="24"/>
          <w:szCs w:val="24"/>
        </w:rPr>
        <w:t xml:space="preserve">It is apparent that a wide range of factors, in addition to the quality and frequency of training, contribute to the difficulty of applying the MCA correctly. These factors are structural (under-funded </w:t>
      </w:r>
      <w:proofErr w:type="spellStart"/>
      <w:r w:rsidRPr="004D6B8B">
        <w:rPr>
          <w:rFonts w:eastAsia="Times New Roman" w:cstheme="minorHAnsi"/>
          <w:sz w:val="24"/>
          <w:szCs w:val="24"/>
        </w:rPr>
        <w:t>organisations</w:t>
      </w:r>
      <w:proofErr w:type="spellEnd"/>
      <w:r w:rsidRPr="004D6B8B">
        <w:rPr>
          <w:rFonts w:eastAsia="Times New Roman" w:cstheme="minorHAnsi"/>
          <w:sz w:val="24"/>
          <w:szCs w:val="24"/>
        </w:rPr>
        <w:t xml:space="preserve">, low staffing levels, high staff turnover), cultural (hierarchical professional relationships, disempowered staff) and personal (‘beneficent’ rather than autonomy orientated values). Inability to comply with legislation not only disadvantages those whom the legislation is designed to empower, it means individuals and </w:t>
      </w:r>
      <w:proofErr w:type="spellStart"/>
      <w:r w:rsidRPr="004D6B8B">
        <w:rPr>
          <w:rFonts w:eastAsia="Times New Roman" w:cstheme="minorHAnsi"/>
          <w:sz w:val="24"/>
          <w:szCs w:val="24"/>
        </w:rPr>
        <w:t>organisations</w:t>
      </w:r>
      <w:proofErr w:type="spellEnd"/>
      <w:r w:rsidRPr="004D6B8B">
        <w:rPr>
          <w:rFonts w:eastAsia="Times New Roman" w:cstheme="minorHAnsi"/>
          <w:sz w:val="24"/>
          <w:szCs w:val="24"/>
        </w:rPr>
        <w:t xml:space="preserve"> are acting unlawfully and so are open to legal consequences. </w:t>
      </w:r>
    </w:p>
    <w:p w14:paraId="43E7B947" w14:textId="77777777" w:rsidR="005A13A0" w:rsidRPr="004D6B8B" w:rsidRDefault="005A13A0" w:rsidP="005A13A0">
      <w:pPr>
        <w:rPr>
          <w:rFonts w:eastAsia="Times New Roman" w:cstheme="minorHAnsi"/>
          <w:sz w:val="24"/>
          <w:szCs w:val="24"/>
          <w:u w:val="single"/>
        </w:rPr>
      </w:pPr>
      <w:r w:rsidRPr="004D6B8B">
        <w:rPr>
          <w:rFonts w:eastAsia="Times New Roman" w:cstheme="minorHAnsi"/>
          <w:bCs/>
          <w:sz w:val="24"/>
          <w:szCs w:val="24"/>
          <w:u w:val="single"/>
        </w:rPr>
        <w:t xml:space="preserve">Limitations </w:t>
      </w:r>
    </w:p>
    <w:p w14:paraId="2BBBC331" w14:textId="54E9345F" w:rsidR="005A13A0" w:rsidRPr="004D6B8B" w:rsidRDefault="005A13A0" w:rsidP="005A13A0">
      <w:pPr>
        <w:rPr>
          <w:rFonts w:cstheme="minorHAnsi"/>
          <w:sz w:val="24"/>
          <w:szCs w:val="24"/>
        </w:rPr>
      </w:pPr>
      <w:r w:rsidRPr="004D6B8B">
        <w:rPr>
          <w:rFonts w:cstheme="minorHAnsi"/>
          <w:sz w:val="24"/>
          <w:szCs w:val="24"/>
        </w:rPr>
        <w:t>While the authors followed guidelines on achieving a comprehensive search, it is possible that not all evaluations of MCA (</w:t>
      </w:r>
      <w:r w:rsidR="0034087F" w:rsidRPr="004D6B8B">
        <w:rPr>
          <w:rFonts w:cstheme="minorHAnsi"/>
          <w:sz w:val="24"/>
          <w:szCs w:val="24"/>
        </w:rPr>
        <w:t xml:space="preserve">DH, </w:t>
      </w:r>
      <w:r w:rsidRPr="004D6B8B">
        <w:rPr>
          <w:rFonts w:cstheme="minorHAnsi"/>
          <w:sz w:val="24"/>
          <w:szCs w:val="24"/>
        </w:rPr>
        <w:t xml:space="preserve">2005) training have been reported or published in peer reviewed journals. Our review process aimed to </w:t>
      </w:r>
      <w:proofErr w:type="spellStart"/>
      <w:r w:rsidRPr="004D6B8B">
        <w:rPr>
          <w:rFonts w:cstheme="minorHAnsi"/>
          <w:sz w:val="24"/>
          <w:szCs w:val="24"/>
        </w:rPr>
        <w:t>minimise</w:t>
      </w:r>
      <w:proofErr w:type="spellEnd"/>
      <w:r w:rsidRPr="004D6B8B">
        <w:rPr>
          <w:rFonts w:cstheme="minorHAnsi"/>
          <w:sz w:val="24"/>
          <w:szCs w:val="24"/>
        </w:rPr>
        <w:t xml:space="preserve"> risk of bias, but despite this it is possible that some bias occurred.  A team approach using independent perspectives was used to promote objectivity.</w:t>
      </w:r>
    </w:p>
    <w:p w14:paraId="62BCD1E7" w14:textId="4187BFE5" w:rsidR="005A13A0" w:rsidRPr="004D6B8B" w:rsidRDefault="009111C9" w:rsidP="005A13A0">
      <w:pPr>
        <w:rPr>
          <w:rFonts w:eastAsia="Times New Roman" w:cstheme="minorHAnsi"/>
          <w:sz w:val="24"/>
          <w:szCs w:val="24"/>
        </w:rPr>
      </w:pPr>
      <w:r w:rsidRPr="004D6B8B">
        <w:rPr>
          <w:rFonts w:eastAsia="Times New Roman" w:cstheme="minorHAnsi"/>
          <w:sz w:val="24"/>
          <w:szCs w:val="24"/>
        </w:rPr>
        <w:t>Although</w:t>
      </w:r>
      <w:r w:rsidR="005A13A0" w:rsidRPr="004D6B8B">
        <w:rPr>
          <w:rFonts w:eastAsia="Times New Roman" w:cstheme="minorHAnsi"/>
          <w:sz w:val="24"/>
          <w:szCs w:val="24"/>
        </w:rPr>
        <w:t xml:space="preserve"> this review focuses on </w:t>
      </w:r>
      <w:r w:rsidR="003264A0" w:rsidRPr="004D6B8B">
        <w:rPr>
          <w:rFonts w:eastAsia="Times New Roman" w:cstheme="minorHAnsi"/>
          <w:sz w:val="24"/>
          <w:szCs w:val="24"/>
        </w:rPr>
        <w:t>legislation that applies in England and Wales,</w:t>
      </w:r>
      <w:r w:rsidR="005A13A0" w:rsidRPr="004D6B8B">
        <w:rPr>
          <w:rFonts w:eastAsia="Times New Roman" w:cstheme="minorHAnsi"/>
          <w:sz w:val="24"/>
          <w:szCs w:val="24"/>
        </w:rPr>
        <w:t xml:space="preserve"> it has relevance internationally because of global legislative changes following the CRPD directive. Therefore, the implications for capacity legislation training design and evaluation are transferable.</w:t>
      </w:r>
    </w:p>
    <w:p w14:paraId="00CD8594" w14:textId="1BB54554" w:rsidR="005A13A0" w:rsidRPr="004D6B8B" w:rsidRDefault="003E3FD9" w:rsidP="005A13A0">
      <w:pPr>
        <w:rPr>
          <w:rFonts w:eastAsia="Times New Roman" w:cstheme="minorHAnsi"/>
          <w:b/>
          <w:sz w:val="24"/>
          <w:szCs w:val="24"/>
        </w:rPr>
      </w:pPr>
      <w:r w:rsidRPr="004D6B8B">
        <w:rPr>
          <w:rFonts w:eastAsia="Times New Roman" w:cstheme="minorHAnsi"/>
          <w:b/>
          <w:bCs/>
          <w:sz w:val="24"/>
          <w:szCs w:val="24"/>
        </w:rPr>
        <w:t>Conclusion</w:t>
      </w:r>
    </w:p>
    <w:p w14:paraId="678A3F80" w14:textId="0270183D" w:rsidR="005A13A0" w:rsidRPr="004D6B8B" w:rsidRDefault="005A13A0" w:rsidP="005A13A0">
      <w:pPr>
        <w:rPr>
          <w:rFonts w:cstheme="minorHAnsi"/>
          <w:sz w:val="24"/>
          <w:szCs w:val="24"/>
        </w:rPr>
      </w:pPr>
      <w:r w:rsidRPr="004D6B8B">
        <w:rPr>
          <w:rFonts w:cstheme="minorHAnsi"/>
          <w:sz w:val="24"/>
          <w:szCs w:val="24"/>
        </w:rPr>
        <w:t xml:space="preserve">This review </w:t>
      </w:r>
      <w:r w:rsidR="004F79DD" w:rsidRPr="004D6B8B">
        <w:rPr>
          <w:rFonts w:cstheme="minorHAnsi"/>
          <w:sz w:val="24"/>
          <w:szCs w:val="24"/>
        </w:rPr>
        <w:t xml:space="preserve">is the first to </w:t>
      </w:r>
      <w:r w:rsidRPr="004D6B8B">
        <w:rPr>
          <w:rFonts w:cstheme="minorHAnsi"/>
          <w:sz w:val="24"/>
          <w:szCs w:val="24"/>
        </w:rPr>
        <w:t>explore and evaluate the range of training available for health and social care professionals who need to comply with the MCA (</w:t>
      </w:r>
      <w:r w:rsidR="0034087F" w:rsidRPr="004D6B8B">
        <w:rPr>
          <w:rFonts w:cstheme="minorHAnsi"/>
          <w:sz w:val="24"/>
          <w:szCs w:val="24"/>
        </w:rPr>
        <w:t xml:space="preserve">DH, </w:t>
      </w:r>
      <w:r w:rsidRPr="004D6B8B">
        <w:rPr>
          <w:rFonts w:cstheme="minorHAnsi"/>
          <w:sz w:val="24"/>
          <w:szCs w:val="24"/>
        </w:rPr>
        <w:t xml:space="preserve">2005) to empower service-users. The review authors discussed the contextual and cultural barriers to achieving successful implementation of the legislation, considering how </w:t>
      </w:r>
      <w:r w:rsidR="00EA3024" w:rsidRPr="004D6B8B">
        <w:rPr>
          <w:rFonts w:cstheme="minorHAnsi"/>
          <w:sz w:val="24"/>
          <w:szCs w:val="24"/>
        </w:rPr>
        <w:t>under-resourcing</w:t>
      </w:r>
      <w:r w:rsidRPr="004D6B8B">
        <w:rPr>
          <w:rFonts w:cstheme="minorHAnsi"/>
          <w:sz w:val="24"/>
          <w:szCs w:val="24"/>
        </w:rPr>
        <w:t xml:space="preserve"> and hierarchical professional relationships </w:t>
      </w:r>
      <w:r w:rsidR="008F39CB" w:rsidRPr="004D6B8B">
        <w:rPr>
          <w:rFonts w:cstheme="minorHAnsi"/>
          <w:sz w:val="24"/>
          <w:szCs w:val="24"/>
        </w:rPr>
        <w:t>may undermine application of the legislation.</w:t>
      </w:r>
      <w:r w:rsidRPr="004D6B8B">
        <w:rPr>
          <w:rFonts w:cstheme="minorHAnsi"/>
          <w:sz w:val="24"/>
          <w:szCs w:val="24"/>
        </w:rPr>
        <w:t xml:space="preserve"> </w:t>
      </w:r>
      <w:r w:rsidR="00C62ED7" w:rsidRPr="004D6B8B">
        <w:rPr>
          <w:rFonts w:cstheme="minorHAnsi"/>
          <w:sz w:val="24"/>
          <w:szCs w:val="24"/>
        </w:rPr>
        <w:t>S</w:t>
      </w:r>
      <w:r w:rsidRPr="004D6B8B">
        <w:rPr>
          <w:rFonts w:cstheme="minorHAnsi"/>
          <w:sz w:val="24"/>
          <w:szCs w:val="24"/>
        </w:rPr>
        <w:t>uccessful knowledge transfer and subsequent impact for people who may require support with decision-making will be dependent on development of</w:t>
      </w:r>
      <w:r w:rsidR="008F39CB" w:rsidRPr="004D6B8B">
        <w:rPr>
          <w:rFonts w:cstheme="minorHAnsi"/>
          <w:sz w:val="24"/>
          <w:szCs w:val="24"/>
        </w:rPr>
        <w:t xml:space="preserve"> </w:t>
      </w:r>
      <w:r w:rsidRPr="004D6B8B">
        <w:rPr>
          <w:rFonts w:cstheme="minorHAnsi"/>
          <w:sz w:val="24"/>
          <w:szCs w:val="24"/>
        </w:rPr>
        <w:t xml:space="preserve">professional relationships which </w:t>
      </w:r>
      <w:r w:rsidR="008F39CB" w:rsidRPr="004D6B8B">
        <w:rPr>
          <w:rFonts w:cstheme="minorHAnsi"/>
          <w:sz w:val="24"/>
          <w:szCs w:val="24"/>
        </w:rPr>
        <w:t xml:space="preserve">empower </w:t>
      </w:r>
      <w:r w:rsidRPr="004D6B8B">
        <w:rPr>
          <w:rFonts w:cstheme="minorHAnsi"/>
          <w:sz w:val="24"/>
          <w:szCs w:val="24"/>
        </w:rPr>
        <w:t>practitioners</w:t>
      </w:r>
      <w:r w:rsidR="008F39CB" w:rsidRPr="004D6B8B">
        <w:rPr>
          <w:rFonts w:cstheme="minorHAnsi"/>
          <w:sz w:val="24"/>
          <w:szCs w:val="24"/>
        </w:rPr>
        <w:t xml:space="preserve"> with</w:t>
      </w:r>
      <w:r w:rsidRPr="004D6B8B">
        <w:rPr>
          <w:rFonts w:cstheme="minorHAnsi"/>
          <w:sz w:val="24"/>
          <w:szCs w:val="24"/>
        </w:rPr>
        <w:t xml:space="preserve"> the confidence to advocate effectively for the rights of others. </w:t>
      </w:r>
      <w:r w:rsidR="004F79DD" w:rsidRPr="004D6B8B">
        <w:rPr>
          <w:rFonts w:cstheme="minorHAnsi"/>
          <w:sz w:val="24"/>
          <w:szCs w:val="24"/>
        </w:rPr>
        <w:t xml:space="preserve">Further research </w:t>
      </w:r>
      <w:r w:rsidR="00EA3024" w:rsidRPr="004D6B8B">
        <w:rPr>
          <w:rFonts w:cstheme="minorHAnsi"/>
          <w:sz w:val="24"/>
          <w:szCs w:val="24"/>
        </w:rPr>
        <w:t>is required, to explore</w:t>
      </w:r>
      <w:r w:rsidR="004F79DD" w:rsidRPr="004D6B8B">
        <w:rPr>
          <w:rFonts w:cstheme="minorHAnsi"/>
          <w:sz w:val="24"/>
          <w:szCs w:val="24"/>
        </w:rPr>
        <w:t xml:space="preserve"> the </w:t>
      </w:r>
      <w:r w:rsidR="00EA3024" w:rsidRPr="004D6B8B">
        <w:rPr>
          <w:rFonts w:cstheme="minorHAnsi"/>
          <w:sz w:val="24"/>
          <w:szCs w:val="24"/>
        </w:rPr>
        <w:t xml:space="preserve">factors within the </w:t>
      </w:r>
      <w:r w:rsidR="004F79DD" w:rsidRPr="004D6B8B">
        <w:rPr>
          <w:rFonts w:cstheme="minorHAnsi"/>
          <w:sz w:val="24"/>
          <w:szCs w:val="24"/>
        </w:rPr>
        <w:t xml:space="preserve">care </w:t>
      </w:r>
      <w:r w:rsidR="00EA3024" w:rsidRPr="004D6B8B">
        <w:rPr>
          <w:rFonts w:cstheme="minorHAnsi"/>
          <w:sz w:val="24"/>
          <w:szCs w:val="24"/>
        </w:rPr>
        <w:t>environment that may constrain or facilitate</w:t>
      </w:r>
      <w:r w:rsidR="004F79DD" w:rsidRPr="004D6B8B">
        <w:rPr>
          <w:rFonts w:cstheme="minorHAnsi"/>
          <w:sz w:val="24"/>
          <w:szCs w:val="24"/>
        </w:rPr>
        <w:t xml:space="preserve"> </w:t>
      </w:r>
      <w:r w:rsidR="00EA3024" w:rsidRPr="004D6B8B">
        <w:rPr>
          <w:rFonts w:cstheme="minorHAnsi"/>
          <w:sz w:val="24"/>
          <w:szCs w:val="24"/>
        </w:rPr>
        <w:t>application</w:t>
      </w:r>
      <w:r w:rsidR="004F79DD" w:rsidRPr="004D6B8B">
        <w:rPr>
          <w:rFonts w:cstheme="minorHAnsi"/>
          <w:sz w:val="24"/>
          <w:szCs w:val="24"/>
        </w:rPr>
        <w:t xml:space="preserve"> of learning from </w:t>
      </w:r>
      <w:r w:rsidR="00EA3024" w:rsidRPr="004D6B8B">
        <w:rPr>
          <w:rFonts w:cstheme="minorHAnsi"/>
          <w:sz w:val="24"/>
          <w:szCs w:val="24"/>
        </w:rPr>
        <w:t xml:space="preserve">MCA </w:t>
      </w:r>
      <w:r w:rsidR="004F79DD" w:rsidRPr="004D6B8B">
        <w:rPr>
          <w:rFonts w:cstheme="minorHAnsi"/>
          <w:sz w:val="24"/>
          <w:szCs w:val="24"/>
        </w:rPr>
        <w:t>training</w:t>
      </w:r>
      <w:r w:rsidR="00EA3024" w:rsidRPr="004D6B8B">
        <w:rPr>
          <w:rFonts w:cstheme="minorHAnsi"/>
          <w:sz w:val="24"/>
          <w:szCs w:val="24"/>
        </w:rPr>
        <w:t xml:space="preserve">.  </w:t>
      </w:r>
    </w:p>
    <w:p w14:paraId="215E9BA0" w14:textId="77777777" w:rsidR="003E3FD9" w:rsidRPr="004D6B8B" w:rsidRDefault="003E3FD9" w:rsidP="005A13A0">
      <w:pPr>
        <w:rPr>
          <w:rFonts w:cstheme="minorHAnsi"/>
          <w:sz w:val="24"/>
          <w:szCs w:val="24"/>
        </w:rPr>
      </w:pPr>
    </w:p>
    <w:p w14:paraId="4F961C88" w14:textId="77777777" w:rsidR="003E3FD9" w:rsidRPr="004D6B8B" w:rsidRDefault="003E3FD9" w:rsidP="003E3FD9">
      <w:pPr>
        <w:rPr>
          <w:rFonts w:eastAsia="Times New Roman" w:cstheme="minorHAnsi"/>
          <w:sz w:val="24"/>
          <w:szCs w:val="24"/>
          <w:u w:val="single"/>
        </w:rPr>
      </w:pPr>
      <w:r w:rsidRPr="004D6B8B">
        <w:rPr>
          <w:rFonts w:eastAsia="Times New Roman" w:cstheme="minorHAnsi"/>
          <w:sz w:val="24"/>
          <w:szCs w:val="24"/>
          <w:u w:val="single"/>
        </w:rPr>
        <w:t>Relevance to Clinical practice</w:t>
      </w:r>
    </w:p>
    <w:p w14:paraId="4CD17388" w14:textId="77777777" w:rsidR="003E3FD9" w:rsidRPr="004D6B8B" w:rsidRDefault="003E3FD9" w:rsidP="003E3FD9">
      <w:pPr>
        <w:rPr>
          <w:rFonts w:eastAsia="Times New Roman" w:cstheme="minorHAnsi"/>
          <w:sz w:val="24"/>
          <w:szCs w:val="24"/>
        </w:rPr>
      </w:pPr>
      <w:r w:rsidRPr="004D6B8B">
        <w:rPr>
          <w:rFonts w:eastAsia="Times New Roman" w:cstheme="minorHAnsi"/>
          <w:sz w:val="24"/>
          <w:szCs w:val="24"/>
        </w:rPr>
        <w:t xml:space="preserve">NICE (2018) suggest that further qualitative studies are required to explore the nature of effective training and the barriers to compliance with legislation following training. This review </w:t>
      </w:r>
      <w:r w:rsidRPr="004D6B8B">
        <w:rPr>
          <w:rFonts w:eastAsia="Times New Roman" w:cstheme="minorHAnsi"/>
          <w:sz w:val="24"/>
          <w:szCs w:val="24"/>
        </w:rPr>
        <w:lastRenderedPageBreak/>
        <w:t>indicates that these barriers may lie partly in the culture and context of clinical practice in which the MCA is implemented. The under-resourced, hierarchical culture of health and social care environments may be impediments to correct implementation of the law. In addition, we argue that holding individuals responsible for poor practice and self-education in these circumstances is unjust. Nevertheless, the MCA is legislation and complying with it is not optional. Training recommendations should be considered in tandem with ensuring an adequately resourced, mutually supportive workplace.</w:t>
      </w:r>
    </w:p>
    <w:p w14:paraId="1A4A185A" w14:textId="77777777" w:rsidR="003E3FD9" w:rsidRPr="004D6B8B" w:rsidRDefault="003E3FD9" w:rsidP="003E3FD9">
      <w:pPr>
        <w:rPr>
          <w:rFonts w:eastAsia="Times New Roman" w:cstheme="minorHAnsi"/>
          <w:sz w:val="24"/>
          <w:szCs w:val="24"/>
        </w:rPr>
      </w:pPr>
      <w:r w:rsidRPr="004D6B8B">
        <w:rPr>
          <w:rFonts w:eastAsia="Times New Roman" w:cstheme="minorHAnsi"/>
          <w:sz w:val="24"/>
          <w:szCs w:val="24"/>
        </w:rPr>
        <w:t xml:space="preserve">As part of this culture change, identification as ‘learning </w:t>
      </w:r>
      <w:proofErr w:type="spellStart"/>
      <w:r w:rsidRPr="004D6B8B">
        <w:rPr>
          <w:rFonts w:eastAsia="Times New Roman" w:cstheme="minorHAnsi"/>
          <w:sz w:val="24"/>
          <w:szCs w:val="24"/>
        </w:rPr>
        <w:t>organisations’</w:t>
      </w:r>
      <w:proofErr w:type="spellEnd"/>
      <w:r w:rsidRPr="004D6B8B">
        <w:rPr>
          <w:rFonts w:eastAsia="Times New Roman" w:cstheme="minorHAnsi"/>
          <w:sz w:val="24"/>
          <w:szCs w:val="24"/>
        </w:rPr>
        <w:t xml:space="preserve"> would </w:t>
      </w:r>
      <w:proofErr w:type="spellStart"/>
      <w:r w:rsidRPr="004D6B8B">
        <w:rPr>
          <w:rFonts w:eastAsia="Times New Roman" w:cstheme="minorHAnsi"/>
          <w:sz w:val="24"/>
          <w:szCs w:val="24"/>
        </w:rPr>
        <w:t>emphasise</w:t>
      </w:r>
      <w:proofErr w:type="spellEnd"/>
      <w:r w:rsidRPr="004D6B8B">
        <w:rPr>
          <w:rFonts w:eastAsia="Times New Roman" w:cstheme="minorHAnsi"/>
          <w:sz w:val="24"/>
          <w:szCs w:val="24"/>
        </w:rPr>
        <w:t xml:space="preserve"> the key importance of the nature of the workplace in knowledge transfer for effective practice. Our findings indicate that MCA training should be interdisciplinary, face to face, involve realistic, challenging scenarios, and be further embedded in practice using support from ‘champions’. Expected training content is outlined in the recent NICE (2018) guidance. While we agree with recommendations for further research to explore best practice in training for use of the MCA, we suggest that the impact of any training is also dependent on positive changes in the workplace.</w:t>
      </w:r>
    </w:p>
    <w:p w14:paraId="3DB30F4E" w14:textId="77777777" w:rsidR="005A13A0" w:rsidRPr="004D6B8B" w:rsidRDefault="005A13A0" w:rsidP="005A13A0">
      <w:pPr>
        <w:rPr>
          <w:rFonts w:eastAsia="Times New Roman" w:cstheme="minorHAnsi"/>
          <w:sz w:val="24"/>
          <w:szCs w:val="24"/>
        </w:rPr>
      </w:pPr>
    </w:p>
    <w:p w14:paraId="195F07AB" w14:textId="25F08C51" w:rsidR="005A13A0" w:rsidRPr="004D6B8B" w:rsidRDefault="005A13A0" w:rsidP="005A13A0">
      <w:pPr>
        <w:rPr>
          <w:rFonts w:eastAsia="Times New Roman" w:cstheme="minorHAnsi"/>
          <w:sz w:val="24"/>
          <w:szCs w:val="24"/>
        </w:rPr>
      </w:pPr>
      <w:r w:rsidRPr="004D6B8B">
        <w:rPr>
          <w:rFonts w:eastAsia="Times New Roman" w:cstheme="minorHAnsi"/>
          <w:b/>
          <w:bCs/>
          <w:sz w:val="24"/>
          <w:szCs w:val="24"/>
        </w:rPr>
        <w:t>Conflict of Interest statement</w:t>
      </w:r>
      <w:r w:rsidR="005F3235" w:rsidRPr="004D6B8B">
        <w:rPr>
          <w:rFonts w:eastAsia="Times New Roman" w:cstheme="minorHAnsi"/>
          <w:b/>
          <w:bCs/>
          <w:sz w:val="24"/>
          <w:szCs w:val="24"/>
        </w:rPr>
        <w:t xml:space="preserve"> </w:t>
      </w:r>
      <w:proofErr w:type="gramStart"/>
      <w:r w:rsidR="005F3235" w:rsidRPr="004D6B8B">
        <w:rPr>
          <w:rFonts w:eastAsia="Times New Roman" w:cstheme="minorHAnsi"/>
          <w:bCs/>
          <w:sz w:val="24"/>
          <w:szCs w:val="24"/>
        </w:rPr>
        <w:t>The</w:t>
      </w:r>
      <w:proofErr w:type="gramEnd"/>
      <w:r w:rsidR="005F3235" w:rsidRPr="004D6B8B">
        <w:rPr>
          <w:rFonts w:eastAsia="Times New Roman" w:cstheme="minorHAnsi"/>
          <w:bCs/>
          <w:sz w:val="24"/>
          <w:szCs w:val="24"/>
        </w:rPr>
        <w:t xml:space="preserve"> authors report no conflict of interest</w:t>
      </w:r>
      <w:r w:rsidRPr="004D6B8B">
        <w:rPr>
          <w:rFonts w:eastAsia="Times New Roman" w:cstheme="minorHAnsi"/>
          <w:b/>
          <w:bCs/>
          <w:sz w:val="24"/>
          <w:szCs w:val="24"/>
        </w:rPr>
        <w:t xml:space="preserve"> </w:t>
      </w:r>
    </w:p>
    <w:p w14:paraId="244B75C6" w14:textId="10EAB679" w:rsidR="00CC67CD" w:rsidRPr="004D6B8B" w:rsidRDefault="00CC67CD" w:rsidP="00CC67CD">
      <w:pPr>
        <w:rPr>
          <w:rFonts w:cstheme="minorHAnsi"/>
        </w:rPr>
      </w:pPr>
    </w:p>
    <w:p w14:paraId="28A4F396"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b/>
          <w:bCs/>
        </w:rPr>
        <w:t>References</w:t>
      </w:r>
      <w:r w:rsidRPr="004D6B8B">
        <w:rPr>
          <w:rFonts w:asciiTheme="minorHAnsi" w:hAnsiTheme="minorHAnsi" w:cstheme="minorHAnsi"/>
        </w:rPr>
        <w:t xml:space="preserve"> </w:t>
      </w:r>
    </w:p>
    <w:p w14:paraId="13A7CF25" w14:textId="69ED278C" w:rsidR="005C20F3" w:rsidRPr="004D6B8B" w:rsidRDefault="005C20F3" w:rsidP="00416668">
      <w:pPr>
        <w:pStyle w:val="NormalWeb"/>
        <w:rPr>
          <w:rFonts w:asciiTheme="minorHAnsi" w:hAnsiTheme="minorHAnsi" w:cstheme="minorHAnsi"/>
        </w:rPr>
      </w:pPr>
      <w:r w:rsidRPr="004D6B8B">
        <w:rPr>
          <w:rFonts w:asciiTheme="minorHAnsi" w:hAnsiTheme="minorHAnsi" w:cstheme="minorHAnsi"/>
          <w:lang w:val="en-US"/>
        </w:rPr>
        <w:t xml:space="preserve">Bose, A., &amp; </w:t>
      </w:r>
      <w:proofErr w:type="spellStart"/>
      <w:r w:rsidRPr="004D6B8B">
        <w:rPr>
          <w:rFonts w:asciiTheme="minorHAnsi" w:hAnsiTheme="minorHAnsi" w:cstheme="minorHAnsi"/>
          <w:lang w:val="en-US"/>
        </w:rPr>
        <w:t>McFiggans</w:t>
      </w:r>
      <w:proofErr w:type="spellEnd"/>
      <w:r w:rsidRPr="004D6B8B">
        <w:rPr>
          <w:rFonts w:asciiTheme="minorHAnsi" w:hAnsiTheme="minorHAnsi" w:cstheme="minorHAnsi"/>
          <w:lang w:val="en-US"/>
        </w:rPr>
        <w:t>, L. (2019). Profession-specific training on decision-making and capacity assessment in aphasia for speech-language therapy students. </w:t>
      </w:r>
      <w:proofErr w:type="spellStart"/>
      <w:r w:rsidRPr="004D6B8B">
        <w:rPr>
          <w:rFonts w:asciiTheme="minorHAnsi" w:hAnsiTheme="minorHAnsi" w:cstheme="minorHAnsi"/>
          <w:i/>
          <w:iCs/>
          <w:lang w:val="en-US"/>
        </w:rPr>
        <w:t>Aphasiology</w:t>
      </w:r>
      <w:proofErr w:type="spellEnd"/>
      <w:r w:rsidRPr="004D6B8B">
        <w:rPr>
          <w:rFonts w:asciiTheme="minorHAnsi" w:hAnsiTheme="minorHAnsi" w:cstheme="minorHAnsi"/>
          <w:i/>
          <w:iCs/>
          <w:lang w:val="en-US"/>
        </w:rPr>
        <w:t>, 33, </w:t>
      </w:r>
      <w:r w:rsidRPr="004D6B8B">
        <w:rPr>
          <w:rFonts w:asciiTheme="minorHAnsi" w:hAnsiTheme="minorHAnsi" w:cstheme="minorHAnsi"/>
          <w:lang w:val="en-US"/>
        </w:rPr>
        <w:t>10, 1270-1289.</w:t>
      </w:r>
    </w:p>
    <w:p w14:paraId="5B217C9C" w14:textId="4B22DDE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Care Quality Commission (2013). Monitoring the use of the MCA deprivation of liberty safeguards in 2011/12, London, UK: Care Quality Commission. Retrieved from </w:t>
      </w:r>
      <w:hyperlink r:id="rId10" w:history="1">
        <w:r w:rsidRPr="004D6B8B">
          <w:rPr>
            <w:rStyle w:val="Hyperlink"/>
            <w:rFonts w:asciiTheme="minorHAnsi" w:hAnsiTheme="minorHAnsi" w:cstheme="minorHAnsi"/>
            <w:color w:val="auto"/>
          </w:rPr>
          <w:t>https://www.cqc.org.uk/sites/default/files/documents/dols_2014.pdf</w:t>
        </w:r>
      </w:hyperlink>
      <w:r w:rsidRPr="004D6B8B">
        <w:rPr>
          <w:rFonts w:asciiTheme="minorHAnsi" w:hAnsiTheme="minorHAnsi" w:cstheme="minorHAnsi"/>
        </w:rPr>
        <w:t xml:space="preserve"> </w:t>
      </w:r>
    </w:p>
    <w:p w14:paraId="2EB65293"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Chechak</w:t>
      </w:r>
      <w:proofErr w:type="spellEnd"/>
      <w:r w:rsidRPr="004D6B8B">
        <w:rPr>
          <w:rFonts w:asciiTheme="minorHAnsi" w:hAnsiTheme="minorHAnsi" w:cstheme="minorHAnsi"/>
        </w:rPr>
        <w:t xml:space="preserve">, D. (2015). Social Work as a Value-Based Profession: Value </w:t>
      </w:r>
      <w:proofErr w:type="spellStart"/>
      <w:r w:rsidRPr="004D6B8B">
        <w:rPr>
          <w:rFonts w:asciiTheme="minorHAnsi" w:hAnsiTheme="minorHAnsi" w:cstheme="minorHAnsi"/>
        </w:rPr>
        <w:t>Conficts</w:t>
      </w:r>
      <w:proofErr w:type="spellEnd"/>
      <w:r w:rsidRPr="004D6B8B">
        <w:rPr>
          <w:rFonts w:asciiTheme="minorHAnsi" w:hAnsiTheme="minorHAnsi" w:cstheme="minorHAnsi"/>
        </w:rPr>
        <w:t xml:space="preserve"> and Implications for Practitioners’ Self-Concepts </w:t>
      </w:r>
      <w:r w:rsidRPr="004D6B8B">
        <w:rPr>
          <w:rFonts w:asciiTheme="minorHAnsi" w:hAnsiTheme="minorHAnsi" w:cstheme="minorHAnsi"/>
          <w:i/>
          <w:iCs/>
        </w:rPr>
        <w:t>Journal of Social Work Values and Ethics.</w:t>
      </w:r>
      <w:r w:rsidRPr="004D6B8B">
        <w:rPr>
          <w:rFonts w:asciiTheme="minorHAnsi" w:hAnsiTheme="minorHAnsi" w:cstheme="minorHAnsi"/>
        </w:rPr>
        <w:t xml:space="preserve"> 12, 2, 41-48.</w:t>
      </w:r>
    </w:p>
    <w:p w14:paraId="238AAC71"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Croucher</w:t>
      </w:r>
      <w:proofErr w:type="spellEnd"/>
      <w:r w:rsidRPr="004D6B8B">
        <w:rPr>
          <w:rFonts w:asciiTheme="minorHAnsi" w:hAnsiTheme="minorHAnsi" w:cstheme="minorHAnsi"/>
        </w:rPr>
        <w:t xml:space="preserve">, R. (2016). Seismic shifts – reconfiguring ‘capacity’ in law and the challenges of article 12 of the United Nations convention on the rights of persons with disabilities.  </w:t>
      </w:r>
      <w:r w:rsidRPr="004D6B8B">
        <w:rPr>
          <w:rFonts w:asciiTheme="minorHAnsi" w:hAnsiTheme="minorHAnsi" w:cstheme="minorHAnsi"/>
          <w:i/>
        </w:rPr>
        <w:t xml:space="preserve">International Journal of Mental Health and Capacity Law. </w:t>
      </w:r>
      <w:r w:rsidRPr="004D6B8B">
        <w:rPr>
          <w:rFonts w:asciiTheme="minorHAnsi" w:hAnsiTheme="minorHAnsi" w:cstheme="minorHAnsi"/>
        </w:rPr>
        <w:t xml:space="preserve">22, 7-16. </w:t>
      </w:r>
      <w:r w:rsidRPr="004D6B8B">
        <w:rPr>
          <w:rStyle w:val="Hyperlink"/>
          <w:rFonts w:asciiTheme="minorHAnsi" w:hAnsiTheme="minorHAnsi" w:cstheme="minorHAnsi"/>
          <w:color w:val="auto"/>
          <w:sz w:val="22"/>
          <w:szCs w:val="22"/>
        </w:rPr>
        <w:t>https://www.northumbriajournals.co.uk/index.php/IJMHMCL/article/view/548/945</w:t>
      </w:r>
      <w:r w:rsidRPr="004D6B8B">
        <w:rPr>
          <w:rFonts w:asciiTheme="minorHAnsi" w:hAnsiTheme="minorHAnsi" w:cstheme="minorHAnsi"/>
          <w:sz w:val="22"/>
          <w:szCs w:val="22"/>
        </w:rPr>
        <w:t xml:space="preserve"> </w:t>
      </w:r>
    </w:p>
    <w:p w14:paraId="1A063921"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Daniel, D., &amp; Dewing, J. (2012). Practising the principles of the Mental Capacity Act. </w:t>
      </w:r>
      <w:r w:rsidRPr="004D6B8B">
        <w:rPr>
          <w:rFonts w:asciiTheme="minorHAnsi" w:hAnsiTheme="minorHAnsi" w:cstheme="minorHAnsi"/>
          <w:i/>
        </w:rPr>
        <w:t>Nursing &amp; Residential Care.</w:t>
      </w:r>
      <w:r w:rsidRPr="004D6B8B">
        <w:rPr>
          <w:rFonts w:asciiTheme="minorHAnsi" w:hAnsiTheme="minorHAnsi" w:cstheme="minorHAnsi"/>
        </w:rPr>
        <w:t xml:space="preserve"> 14, 243-245.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w:t>
      </w:r>
      <w:hyperlink r:id="rId11" w:history="1">
        <w:r w:rsidRPr="004D6B8B">
          <w:rPr>
            <w:rStyle w:val="Hyperlink"/>
            <w:rFonts w:asciiTheme="minorHAnsi" w:hAnsiTheme="minorHAnsi" w:cstheme="minorHAnsi"/>
            <w:color w:val="auto"/>
          </w:rPr>
          <w:t>https://doi.org/10.12968/nrec.2012.14.5.243</w:t>
        </w:r>
      </w:hyperlink>
      <w:r w:rsidRPr="004D6B8B">
        <w:rPr>
          <w:rFonts w:asciiTheme="minorHAnsi" w:hAnsiTheme="minorHAnsi" w:cstheme="minorHAnsi"/>
        </w:rPr>
        <w:t xml:space="preserve"> </w:t>
      </w:r>
    </w:p>
    <w:p w14:paraId="7BCA64CD"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lastRenderedPageBreak/>
        <w:t xml:space="preserve">Department for Constitutional Affairs (2007). Mental Capacity Act 2005 Code of Practice. The Stationery Office, London. Retrieved from </w:t>
      </w:r>
      <w:hyperlink r:id="rId12" w:history="1">
        <w:r w:rsidRPr="004D6B8B">
          <w:rPr>
            <w:rStyle w:val="Hyperlink"/>
            <w:rFonts w:asciiTheme="minorHAnsi" w:hAnsiTheme="minorHAnsi" w:cstheme="minorHAnsi"/>
            <w:color w:val="auto"/>
          </w:rPr>
          <w:t>http://bit.ly/1QD8ydh</w:t>
        </w:r>
      </w:hyperlink>
      <w:r w:rsidRPr="004D6B8B">
        <w:rPr>
          <w:rFonts w:asciiTheme="minorHAnsi" w:hAnsiTheme="minorHAnsi" w:cstheme="minorHAnsi"/>
        </w:rPr>
        <w:t xml:space="preserve">  </w:t>
      </w:r>
    </w:p>
    <w:p w14:paraId="1E8A070F"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Department of Health (2005). Mental Capacity Act. London: HMSO. Retrieved from </w:t>
      </w:r>
      <w:hyperlink r:id="rId13" w:history="1">
        <w:r w:rsidRPr="004D6B8B">
          <w:rPr>
            <w:rStyle w:val="Hyperlink"/>
            <w:rFonts w:asciiTheme="minorHAnsi" w:hAnsiTheme="minorHAnsi" w:cstheme="minorHAnsi"/>
            <w:color w:val="auto"/>
          </w:rPr>
          <w:t>http://www.legislation.gov.uk/ukpga/2005/9/contents</w:t>
        </w:r>
      </w:hyperlink>
    </w:p>
    <w:p w14:paraId="303D8438"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Dunlop, C., &amp; </w:t>
      </w:r>
      <w:proofErr w:type="spellStart"/>
      <w:r w:rsidRPr="004D6B8B">
        <w:rPr>
          <w:rFonts w:asciiTheme="minorHAnsi" w:hAnsiTheme="minorHAnsi" w:cstheme="minorHAnsi"/>
        </w:rPr>
        <w:t>Sorinmade</w:t>
      </w:r>
      <w:proofErr w:type="spellEnd"/>
      <w:r w:rsidRPr="004D6B8B">
        <w:rPr>
          <w:rFonts w:asciiTheme="minorHAnsi" w:hAnsiTheme="minorHAnsi" w:cstheme="minorHAnsi"/>
        </w:rPr>
        <w:t xml:space="preserve">, O. (2014). Embedding the Mental Capacity Act 2005 in clinical practice: an audit review. </w:t>
      </w:r>
      <w:r w:rsidRPr="004D6B8B">
        <w:rPr>
          <w:rFonts w:asciiTheme="minorHAnsi" w:hAnsiTheme="minorHAnsi" w:cstheme="minorHAnsi"/>
          <w:i/>
        </w:rPr>
        <w:t>Psychiatric Bulletin.</w:t>
      </w:r>
      <w:r w:rsidRPr="004D6B8B">
        <w:rPr>
          <w:rFonts w:asciiTheme="minorHAnsi" w:hAnsiTheme="minorHAnsi" w:cstheme="minorHAnsi"/>
        </w:rPr>
        <w:t xml:space="preserve"> 38 291-293.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10.1192/pb.bp.114.046870</w:t>
      </w:r>
    </w:p>
    <w:p w14:paraId="430633E8"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European Union Agency for Fundamental Rights. (2013). Legal capacity of persons with intellectual disabilities and persons with mental health problems. Retrieved from </w:t>
      </w:r>
      <w:hyperlink r:id="rId14" w:history="1">
        <w:r w:rsidRPr="004D6B8B">
          <w:rPr>
            <w:rStyle w:val="Hyperlink"/>
            <w:rFonts w:ascii="Verdana" w:eastAsiaTheme="minorHAnsi" w:hAnsi="Verdana" w:cstheme="minorBidi"/>
            <w:color w:val="auto"/>
            <w:sz w:val="20"/>
            <w:szCs w:val="22"/>
            <w:lang w:eastAsia="en-US"/>
          </w:rPr>
          <w:t>https://fra.europa.eu/en/publication/2013/legal-capacity-persons-intellectual-disabilities-and-persons-mental-health-problems</w:t>
        </w:r>
      </w:hyperlink>
    </w:p>
    <w:p w14:paraId="600223C5"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Foster, S. (2017). The benefits of values-based recruitment. </w:t>
      </w:r>
      <w:r w:rsidRPr="004D6B8B">
        <w:rPr>
          <w:rFonts w:asciiTheme="minorHAnsi" w:hAnsiTheme="minorHAnsi" w:cstheme="minorHAnsi"/>
          <w:i/>
        </w:rPr>
        <w:t>British Journal of Nursing</w:t>
      </w:r>
      <w:r w:rsidRPr="004D6B8B">
        <w:rPr>
          <w:rFonts w:asciiTheme="minorHAnsi" w:hAnsiTheme="minorHAnsi" w:cstheme="minorHAnsi"/>
        </w:rPr>
        <w:t xml:space="preserve">, 26, 579.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w:t>
      </w:r>
      <w:hyperlink r:id="rId15" w:history="1">
        <w:r w:rsidRPr="004D6B8B">
          <w:rPr>
            <w:rStyle w:val="Hyperlink"/>
            <w:rFonts w:asciiTheme="minorHAnsi" w:hAnsiTheme="minorHAnsi" w:cstheme="minorHAnsi"/>
            <w:color w:val="auto"/>
          </w:rPr>
          <w:t>https://doi.org/10.12968/bjon.2017.26.10.579</w:t>
        </w:r>
      </w:hyperlink>
      <w:r w:rsidRPr="004D6B8B">
        <w:rPr>
          <w:rFonts w:asciiTheme="minorHAnsi" w:hAnsiTheme="minorHAnsi" w:cstheme="minorHAnsi"/>
        </w:rPr>
        <w:t xml:space="preserve"> </w:t>
      </w:r>
    </w:p>
    <w:p w14:paraId="4D232A43"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Giles, T., </w:t>
      </w:r>
      <w:proofErr w:type="spellStart"/>
      <w:r w:rsidRPr="004D6B8B">
        <w:rPr>
          <w:rFonts w:asciiTheme="minorHAnsi" w:hAnsiTheme="minorHAnsi" w:cstheme="minorHAnsi"/>
        </w:rPr>
        <w:t>Lacey</w:t>
      </w:r>
      <w:proofErr w:type="spellEnd"/>
      <w:r w:rsidRPr="004D6B8B">
        <w:rPr>
          <w:rFonts w:asciiTheme="minorHAnsi" w:hAnsiTheme="minorHAnsi" w:cstheme="minorHAnsi"/>
        </w:rPr>
        <w:t xml:space="preserve">, S., &amp; Muir-Cochrane, E. (2018). How do clinicians practise the principles of beneficence when deciding to allow or deny family presence during resuscitation? </w:t>
      </w:r>
      <w:r w:rsidRPr="004D6B8B">
        <w:rPr>
          <w:rFonts w:asciiTheme="minorHAnsi" w:hAnsiTheme="minorHAnsi" w:cstheme="minorHAnsi"/>
          <w:i/>
        </w:rPr>
        <w:t>Journal of Clinical Nursing</w:t>
      </w:r>
      <w:r w:rsidRPr="004D6B8B">
        <w:rPr>
          <w:rFonts w:asciiTheme="minorHAnsi" w:hAnsiTheme="minorHAnsi" w:cstheme="minorHAnsi"/>
        </w:rPr>
        <w:t>. 27, (5-6), e1214-e1224. DOI: 10.1111/jocn.14222</w:t>
      </w:r>
    </w:p>
    <w:p w14:paraId="5919232E"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Goodman, B. (2016). The missing two Cs – commodity and critique: Obscuring the political economy of the ‘gift’ of nursing. </w:t>
      </w:r>
      <w:r w:rsidRPr="004D6B8B">
        <w:rPr>
          <w:rFonts w:asciiTheme="minorHAnsi" w:hAnsiTheme="minorHAnsi" w:cstheme="minorHAnsi"/>
          <w:i/>
        </w:rPr>
        <w:t>Journal of Research in Nursing</w:t>
      </w:r>
      <w:r w:rsidRPr="004D6B8B">
        <w:rPr>
          <w:rFonts w:asciiTheme="minorHAnsi" w:hAnsiTheme="minorHAnsi" w:cstheme="minorHAnsi"/>
        </w:rPr>
        <w:t xml:space="preserve">, 21, 325-335.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w:t>
      </w:r>
      <w:hyperlink r:id="rId16" w:history="1">
        <w:r w:rsidRPr="004D6B8B">
          <w:rPr>
            <w:rStyle w:val="Hyperlink"/>
            <w:rFonts w:asciiTheme="minorHAnsi" w:hAnsiTheme="minorHAnsi" w:cstheme="minorHAnsi"/>
            <w:color w:val="auto"/>
          </w:rPr>
          <w:t>https://doi.org/10.1177/1744987116630023</w:t>
        </w:r>
      </w:hyperlink>
      <w:r w:rsidRPr="004D6B8B">
        <w:rPr>
          <w:rFonts w:asciiTheme="minorHAnsi" w:hAnsiTheme="minorHAnsi" w:cstheme="minorHAnsi"/>
        </w:rPr>
        <w:t xml:space="preserve"> </w:t>
      </w:r>
    </w:p>
    <w:p w14:paraId="3467898F"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Gough, M., &amp; </w:t>
      </w:r>
      <w:proofErr w:type="spellStart"/>
      <w:r w:rsidRPr="004D6B8B">
        <w:rPr>
          <w:rFonts w:asciiTheme="minorHAnsi" w:hAnsiTheme="minorHAnsi" w:cstheme="minorHAnsi"/>
        </w:rPr>
        <w:t>Kerlin</w:t>
      </w:r>
      <w:proofErr w:type="spellEnd"/>
      <w:r w:rsidRPr="004D6B8B">
        <w:rPr>
          <w:rFonts w:asciiTheme="minorHAnsi" w:hAnsiTheme="minorHAnsi" w:cstheme="minorHAnsi"/>
        </w:rPr>
        <w:t xml:space="preserve">, L. (2012). Limits of Mental Capacity Act training for residential care homes. </w:t>
      </w:r>
      <w:r w:rsidRPr="004D6B8B">
        <w:rPr>
          <w:rFonts w:asciiTheme="minorHAnsi" w:hAnsiTheme="minorHAnsi" w:cstheme="minorHAnsi"/>
          <w:i/>
        </w:rPr>
        <w:t>Journal of Adult Protection</w:t>
      </w:r>
      <w:r w:rsidRPr="004D6B8B">
        <w:rPr>
          <w:rFonts w:asciiTheme="minorHAnsi" w:hAnsiTheme="minorHAnsi" w:cstheme="minorHAnsi"/>
        </w:rPr>
        <w:t xml:space="preserve">, 14, 271-279.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w:t>
      </w:r>
      <w:hyperlink r:id="rId17" w:history="1">
        <w:r w:rsidRPr="004D6B8B">
          <w:rPr>
            <w:rStyle w:val="Hyperlink"/>
            <w:rFonts w:asciiTheme="minorHAnsi" w:hAnsiTheme="minorHAnsi" w:cstheme="minorHAnsi"/>
            <w:color w:val="auto"/>
          </w:rPr>
          <w:t>http://dx.doi.org/10.1108/14668201211286048</w:t>
        </w:r>
      </w:hyperlink>
      <w:r w:rsidRPr="004D6B8B">
        <w:rPr>
          <w:rFonts w:asciiTheme="minorHAnsi" w:hAnsiTheme="minorHAnsi" w:cstheme="minorHAnsi"/>
        </w:rPr>
        <w:t xml:space="preserve"> </w:t>
      </w:r>
    </w:p>
    <w:p w14:paraId="0314F15E"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Hawker, S., Payne, S., Kerr, C., </w:t>
      </w:r>
      <w:proofErr w:type="spellStart"/>
      <w:r w:rsidRPr="004D6B8B">
        <w:rPr>
          <w:rFonts w:asciiTheme="minorHAnsi" w:hAnsiTheme="minorHAnsi" w:cstheme="minorHAnsi"/>
        </w:rPr>
        <w:t>Hardey</w:t>
      </w:r>
      <w:proofErr w:type="spellEnd"/>
      <w:r w:rsidRPr="004D6B8B">
        <w:rPr>
          <w:rFonts w:asciiTheme="minorHAnsi" w:hAnsiTheme="minorHAnsi" w:cstheme="minorHAnsi"/>
        </w:rPr>
        <w:t xml:space="preserve">, M., &amp; Powell, J. (2002). Appraising the Evidence: Reviewing Disparate Data Systematically. </w:t>
      </w:r>
      <w:r w:rsidRPr="004D6B8B">
        <w:rPr>
          <w:rFonts w:asciiTheme="minorHAnsi" w:hAnsiTheme="minorHAnsi" w:cstheme="minorHAnsi"/>
          <w:i/>
        </w:rPr>
        <w:t>Qualitative Health Research</w:t>
      </w:r>
      <w:r w:rsidRPr="004D6B8B">
        <w:rPr>
          <w:rFonts w:asciiTheme="minorHAnsi" w:hAnsiTheme="minorHAnsi" w:cstheme="minorHAnsi"/>
        </w:rPr>
        <w:t xml:space="preserve"> 12, 1284-1299. </w:t>
      </w:r>
      <w:proofErr w:type="gramStart"/>
      <w:r w:rsidRPr="004D6B8B">
        <w:rPr>
          <w:rFonts w:asciiTheme="minorHAnsi" w:hAnsiTheme="minorHAnsi" w:cstheme="minorHAnsi"/>
        </w:rPr>
        <w:t>doi:</w:t>
      </w:r>
      <w:proofErr w:type="gramEnd"/>
      <w:r w:rsidRPr="004D6B8B">
        <w:rPr>
          <w:rFonts w:asciiTheme="minorHAnsi" w:hAnsiTheme="minorHAnsi" w:cstheme="minorHAnsi"/>
        </w:rPr>
        <w:t xml:space="preserve">10.1177/1049732302238251 </w:t>
      </w:r>
    </w:p>
    <w:p w14:paraId="557C6263"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Hinsliff</w:t>
      </w:r>
      <w:proofErr w:type="spellEnd"/>
      <w:r w:rsidRPr="004D6B8B">
        <w:rPr>
          <w:rFonts w:asciiTheme="minorHAnsi" w:hAnsiTheme="minorHAnsi" w:cstheme="minorHAnsi"/>
        </w:rPr>
        <w:t xml:space="preserve">-Smith, K., </w:t>
      </w:r>
      <w:proofErr w:type="spellStart"/>
      <w:r w:rsidRPr="004D6B8B">
        <w:rPr>
          <w:rFonts w:asciiTheme="minorHAnsi" w:hAnsiTheme="minorHAnsi" w:cstheme="minorHAnsi"/>
        </w:rPr>
        <w:t>Feakes</w:t>
      </w:r>
      <w:proofErr w:type="spellEnd"/>
      <w:r w:rsidRPr="004D6B8B">
        <w:rPr>
          <w:rFonts w:asciiTheme="minorHAnsi" w:hAnsiTheme="minorHAnsi" w:cstheme="minorHAnsi"/>
        </w:rPr>
        <w:t xml:space="preserve">, R., Whitworth, G., Seymour, J., </w:t>
      </w:r>
      <w:proofErr w:type="spellStart"/>
      <w:r w:rsidRPr="004D6B8B">
        <w:rPr>
          <w:rFonts w:asciiTheme="minorHAnsi" w:hAnsiTheme="minorHAnsi" w:cstheme="minorHAnsi"/>
        </w:rPr>
        <w:t>Moghaddam</w:t>
      </w:r>
      <w:proofErr w:type="spellEnd"/>
      <w:r w:rsidRPr="004D6B8B">
        <w:rPr>
          <w:rFonts w:asciiTheme="minorHAnsi" w:hAnsiTheme="minorHAnsi" w:cstheme="minorHAnsi"/>
        </w:rPr>
        <w:t xml:space="preserve">, N., </w:t>
      </w:r>
      <w:proofErr w:type="spellStart"/>
      <w:r w:rsidRPr="004D6B8B">
        <w:rPr>
          <w:rFonts w:asciiTheme="minorHAnsi" w:hAnsiTheme="minorHAnsi" w:cstheme="minorHAnsi"/>
        </w:rPr>
        <w:t>Dening</w:t>
      </w:r>
      <w:proofErr w:type="spellEnd"/>
      <w:r w:rsidRPr="004D6B8B">
        <w:rPr>
          <w:rFonts w:asciiTheme="minorHAnsi" w:hAnsiTheme="minorHAnsi" w:cstheme="minorHAnsi"/>
        </w:rPr>
        <w:t xml:space="preserve">, T., &amp; Cox, K. (2017). What do we know about the application of the Mental Capacity Act (2005) in healthcare practice regarding decision-making for frail and older people? A systematic literature review. </w:t>
      </w:r>
      <w:r w:rsidRPr="004D6B8B">
        <w:rPr>
          <w:rFonts w:asciiTheme="minorHAnsi" w:hAnsiTheme="minorHAnsi" w:cstheme="minorHAnsi"/>
          <w:i/>
        </w:rPr>
        <w:t>Health &amp; Social Care in the Community</w:t>
      </w:r>
      <w:r w:rsidRPr="004D6B8B">
        <w:rPr>
          <w:rFonts w:asciiTheme="minorHAnsi" w:hAnsiTheme="minorHAnsi" w:cstheme="minorHAnsi"/>
        </w:rPr>
        <w:t xml:space="preserve">, 25, 2, 295-308.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10.1111/hsc.12310 </w:t>
      </w:r>
    </w:p>
    <w:p w14:paraId="1FD7557F"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House of Lords (2014). Mental Capacity Act 2005: post-legislative scrutiny. House of Lords. London. Retrieved from </w:t>
      </w:r>
      <w:hyperlink r:id="rId18" w:history="1">
        <w:r w:rsidRPr="004D6B8B">
          <w:rPr>
            <w:rStyle w:val="Hyperlink"/>
            <w:rFonts w:asciiTheme="minorHAnsi" w:hAnsiTheme="minorHAnsi" w:cstheme="minorHAnsi"/>
            <w:color w:val="auto"/>
          </w:rPr>
          <w:t>https://publications.parliament.uk/pa/ld201314/ldselect/ldmentalcap/139/139.pdf</w:t>
        </w:r>
      </w:hyperlink>
      <w:r w:rsidRPr="004D6B8B">
        <w:rPr>
          <w:rFonts w:asciiTheme="minorHAnsi" w:hAnsiTheme="minorHAnsi" w:cstheme="minorHAnsi"/>
        </w:rPr>
        <w:t xml:space="preserve"> </w:t>
      </w:r>
    </w:p>
    <w:p w14:paraId="22F7B857"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Jackson, E. (2018). From -Doctor Knows Best- to Dignity: Placing Adults Who Lack Capacity at the Centre of Decisions About Their Medical Treatment. </w:t>
      </w:r>
      <w:r w:rsidRPr="004D6B8B">
        <w:rPr>
          <w:rFonts w:asciiTheme="minorHAnsi" w:hAnsiTheme="minorHAnsi" w:cstheme="minorHAnsi"/>
          <w:i/>
        </w:rPr>
        <w:t>Modern Law Review</w:t>
      </w:r>
      <w:r w:rsidRPr="004D6B8B">
        <w:rPr>
          <w:rFonts w:asciiTheme="minorHAnsi" w:hAnsiTheme="minorHAnsi" w:cstheme="minorHAnsi"/>
        </w:rPr>
        <w:t xml:space="preserve">, 81, 2, 247-281. </w:t>
      </w:r>
      <w:hyperlink r:id="rId19" w:history="1">
        <w:r w:rsidRPr="004D6B8B">
          <w:rPr>
            <w:rStyle w:val="Hyperlink"/>
            <w:rFonts w:asciiTheme="minorHAnsi" w:hAnsiTheme="minorHAnsi" w:cstheme="minorHAnsi"/>
            <w:color w:val="auto"/>
          </w:rPr>
          <w:t>https://doi.org/10.1111/1468-2230.12328</w:t>
        </w:r>
      </w:hyperlink>
      <w:r w:rsidRPr="004D6B8B">
        <w:rPr>
          <w:rFonts w:asciiTheme="minorHAnsi" w:hAnsiTheme="minorHAnsi" w:cstheme="minorHAnsi"/>
        </w:rPr>
        <w:t xml:space="preserve"> </w:t>
      </w:r>
    </w:p>
    <w:p w14:paraId="146794DC"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iCs/>
        </w:rPr>
        <w:lastRenderedPageBreak/>
        <w:t xml:space="preserve">Jenkins, C., Cowdell, F., </w:t>
      </w:r>
      <w:proofErr w:type="spellStart"/>
      <w:r w:rsidRPr="004D6B8B">
        <w:rPr>
          <w:rFonts w:asciiTheme="minorHAnsi" w:hAnsiTheme="minorHAnsi" w:cstheme="minorHAnsi"/>
          <w:iCs/>
        </w:rPr>
        <w:t>Smythe</w:t>
      </w:r>
      <w:proofErr w:type="spellEnd"/>
      <w:r w:rsidRPr="004D6B8B">
        <w:rPr>
          <w:rFonts w:asciiTheme="minorHAnsi" w:hAnsiTheme="minorHAnsi" w:cstheme="minorHAnsi"/>
          <w:iCs/>
        </w:rPr>
        <w:t xml:space="preserve">, A. </w:t>
      </w:r>
      <w:r w:rsidRPr="004D6B8B">
        <w:rPr>
          <w:rFonts w:asciiTheme="minorHAnsi" w:hAnsiTheme="minorHAnsi" w:cstheme="minorHAnsi"/>
          <w:i/>
          <w:iCs/>
        </w:rPr>
        <w:t>How do registered health and social care practitioners who have attended Mental Capacity Act Training change their practice post-training? A narrative review</w:t>
      </w:r>
      <w:r w:rsidRPr="004D6B8B">
        <w:rPr>
          <w:rFonts w:asciiTheme="minorHAnsi" w:hAnsiTheme="minorHAnsi" w:cstheme="minorHAnsi"/>
        </w:rPr>
        <w:t xml:space="preserve"> Registration number: CRD42018094478 </w:t>
      </w:r>
      <w:hyperlink r:id="rId20" w:history="1">
        <w:r w:rsidRPr="004D6B8B">
          <w:rPr>
            <w:rStyle w:val="Hyperlink"/>
            <w:rFonts w:asciiTheme="minorHAnsi" w:hAnsiTheme="minorHAnsi" w:cstheme="minorHAnsi"/>
            <w:color w:val="auto"/>
          </w:rPr>
          <w:t>https://www.crd.york.ac.uk/PROSPERO</w:t>
        </w:r>
      </w:hyperlink>
      <w:r w:rsidRPr="004D6B8B">
        <w:rPr>
          <w:rFonts w:asciiTheme="minorHAnsi" w:hAnsiTheme="minorHAnsi" w:cstheme="minorHAnsi"/>
        </w:rPr>
        <w:t xml:space="preserve"> </w:t>
      </w:r>
    </w:p>
    <w:p w14:paraId="64C678B0"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Kastner</w:t>
      </w:r>
      <w:proofErr w:type="spellEnd"/>
      <w:r w:rsidRPr="004D6B8B">
        <w:rPr>
          <w:rFonts w:asciiTheme="minorHAnsi" w:hAnsiTheme="minorHAnsi" w:cstheme="minorHAnsi"/>
        </w:rPr>
        <w:t xml:space="preserve">, M., Antony, J., </w:t>
      </w:r>
      <w:proofErr w:type="spellStart"/>
      <w:r w:rsidRPr="004D6B8B">
        <w:rPr>
          <w:rFonts w:asciiTheme="minorHAnsi" w:hAnsiTheme="minorHAnsi" w:cstheme="minorHAnsi"/>
        </w:rPr>
        <w:t>Soobiah</w:t>
      </w:r>
      <w:proofErr w:type="spellEnd"/>
      <w:r w:rsidRPr="004D6B8B">
        <w:rPr>
          <w:rFonts w:asciiTheme="minorHAnsi" w:hAnsiTheme="minorHAnsi" w:cstheme="minorHAnsi"/>
        </w:rPr>
        <w:t xml:space="preserve">, C., Straus, S. E., &amp; </w:t>
      </w:r>
      <w:proofErr w:type="spellStart"/>
      <w:r w:rsidRPr="004D6B8B">
        <w:rPr>
          <w:rFonts w:asciiTheme="minorHAnsi" w:hAnsiTheme="minorHAnsi" w:cstheme="minorHAnsi"/>
        </w:rPr>
        <w:t>Tricco</w:t>
      </w:r>
      <w:proofErr w:type="spellEnd"/>
      <w:r w:rsidRPr="004D6B8B">
        <w:rPr>
          <w:rFonts w:asciiTheme="minorHAnsi" w:hAnsiTheme="minorHAnsi" w:cstheme="minorHAnsi"/>
        </w:rPr>
        <w:t xml:space="preserve">, A. C. (2016). Conceptual recommendations for selecting the most appropriate knowledge synthesis method to answer research questions related to complex evidence. </w:t>
      </w:r>
      <w:r w:rsidRPr="004D6B8B">
        <w:rPr>
          <w:rFonts w:asciiTheme="minorHAnsi" w:hAnsiTheme="minorHAnsi" w:cstheme="minorHAnsi"/>
          <w:i/>
        </w:rPr>
        <w:t>Journal of Clinical Epidemiology</w:t>
      </w:r>
      <w:r w:rsidRPr="004D6B8B">
        <w:rPr>
          <w:rFonts w:asciiTheme="minorHAnsi" w:hAnsiTheme="minorHAnsi" w:cstheme="minorHAnsi"/>
        </w:rPr>
        <w:t xml:space="preserve">, 73, 43 –49.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10.1016/j.jclinepi.2015.11.022 </w:t>
      </w:r>
    </w:p>
    <w:p w14:paraId="2D10DDB1"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Lee-Foster, A. (2010). Capacity to Communicate: Sense's three-year project training independent mental capacity advocates in communication skills. </w:t>
      </w:r>
      <w:r w:rsidRPr="004D6B8B">
        <w:rPr>
          <w:rFonts w:asciiTheme="minorHAnsi" w:hAnsiTheme="minorHAnsi" w:cstheme="minorHAnsi"/>
          <w:i/>
        </w:rPr>
        <w:t>Journal of Adult Protection</w:t>
      </w:r>
      <w:r w:rsidRPr="004D6B8B">
        <w:rPr>
          <w:rFonts w:asciiTheme="minorHAnsi" w:hAnsiTheme="minorHAnsi" w:cstheme="minorHAnsi"/>
        </w:rPr>
        <w:t xml:space="preserve">, 12, 32-42.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w:t>
      </w:r>
      <w:hyperlink r:id="rId21" w:history="1">
        <w:r w:rsidRPr="004D6B8B">
          <w:rPr>
            <w:rStyle w:val="Hyperlink"/>
            <w:rFonts w:asciiTheme="minorHAnsi" w:hAnsiTheme="minorHAnsi" w:cstheme="minorHAnsi"/>
            <w:color w:val="auto"/>
          </w:rPr>
          <w:t>https://doi.org/10.5042/jap.2010.0092</w:t>
        </w:r>
      </w:hyperlink>
      <w:r w:rsidRPr="004D6B8B">
        <w:rPr>
          <w:rFonts w:asciiTheme="minorHAnsi" w:hAnsiTheme="minorHAnsi" w:cstheme="minorHAnsi"/>
        </w:rPr>
        <w:t xml:space="preserve"> </w:t>
      </w:r>
    </w:p>
    <w:p w14:paraId="7B159C66"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Lipley, N. (2018). Why online learning offers nurses new development opportunities. </w:t>
      </w:r>
      <w:r w:rsidRPr="004D6B8B">
        <w:rPr>
          <w:rFonts w:asciiTheme="minorHAnsi" w:hAnsiTheme="minorHAnsi" w:cstheme="minorHAnsi"/>
          <w:i/>
        </w:rPr>
        <w:t>Nursing Management</w:t>
      </w:r>
      <w:r w:rsidRPr="004D6B8B">
        <w:rPr>
          <w:rFonts w:asciiTheme="minorHAnsi" w:hAnsiTheme="minorHAnsi" w:cstheme="minorHAnsi"/>
        </w:rPr>
        <w:t xml:space="preserve">, 25, 1, 5-5 </w:t>
      </w:r>
      <w:proofErr w:type="spellStart"/>
      <w:r w:rsidRPr="004D6B8B">
        <w:rPr>
          <w:rFonts w:asciiTheme="minorHAnsi" w:hAnsiTheme="minorHAnsi" w:cstheme="minorHAnsi"/>
        </w:rPr>
        <w:t>doi</w:t>
      </w:r>
      <w:proofErr w:type="spellEnd"/>
      <w:r w:rsidRPr="004D6B8B">
        <w:rPr>
          <w:rFonts w:asciiTheme="minorHAnsi" w:hAnsiTheme="minorHAnsi" w:cstheme="minorHAnsi"/>
        </w:rPr>
        <w:t>: 10.7748/nm.25.1.5.s1</w:t>
      </w:r>
    </w:p>
    <w:p w14:paraId="071DF1BD"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Mackenzie, C., &amp; Rogers, W. (2013). Autonomy, vulnerability and capacity: a philosophical appraisal of the Mental Capacity Act. </w:t>
      </w:r>
      <w:r w:rsidRPr="004D6B8B">
        <w:rPr>
          <w:rFonts w:asciiTheme="minorHAnsi" w:hAnsiTheme="minorHAnsi" w:cstheme="minorHAnsi"/>
          <w:i/>
        </w:rPr>
        <w:t>International Journal of Law in Context</w:t>
      </w:r>
      <w:r w:rsidRPr="004D6B8B">
        <w:rPr>
          <w:rFonts w:asciiTheme="minorHAnsi" w:hAnsiTheme="minorHAnsi" w:cstheme="minorHAnsi"/>
        </w:rPr>
        <w:t xml:space="preserve">. 9, 1, 37-52. </w:t>
      </w:r>
      <w:proofErr w:type="gramStart"/>
      <w:r w:rsidRPr="004D6B8B">
        <w:rPr>
          <w:rFonts w:asciiTheme="minorHAnsi" w:hAnsiTheme="minorHAnsi" w:cstheme="minorHAnsi"/>
        </w:rPr>
        <w:t>doi:</w:t>
      </w:r>
      <w:proofErr w:type="gramEnd"/>
      <w:r w:rsidRPr="004D6B8B">
        <w:rPr>
          <w:rFonts w:asciiTheme="minorHAnsi" w:hAnsiTheme="minorHAnsi" w:cstheme="minorHAnsi"/>
        </w:rPr>
        <w:t>10.1017/S174455231200047X</w:t>
      </w:r>
    </w:p>
    <w:p w14:paraId="22CF9CBB"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Marshall, H., &amp; Sprung, S. (2016a). The Mental Capacity Act: a review of the current literature </w:t>
      </w:r>
      <w:r w:rsidRPr="004D6B8B">
        <w:rPr>
          <w:rFonts w:asciiTheme="minorHAnsi" w:hAnsiTheme="minorHAnsi" w:cstheme="minorHAnsi"/>
          <w:i/>
        </w:rPr>
        <w:t>British Journal of Community Nursing,</w:t>
      </w:r>
      <w:r w:rsidRPr="004D6B8B">
        <w:rPr>
          <w:rFonts w:asciiTheme="minorHAnsi" w:hAnsiTheme="minorHAnsi" w:cstheme="minorHAnsi"/>
        </w:rPr>
        <w:t xml:space="preserve"> 21, 406-410 </w:t>
      </w:r>
      <w:proofErr w:type="spellStart"/>
      <w:r w:rsidRPr="004D6B8B">
        <w:rPr>
          <w:rFonts w:asciiTheme="minorHAnsi" w:hAnsiTheme="minorHAnsi" w:cstheme="minorHAnsi"/>
        </w:rPr>
        <w:t>doi</w:t>
      </w:r>
      <w:proofErr w:type="spellEnd"/>
      <w:r w:rsidRPr="004D6B8B">
        <w:rPr>
          <w:rFonts w:asciiTheme="minorHAnsi" w:hAnsiTheme="minorHAnsi" w:cstheme="minorHAnsi"/>
        </w:rPr>
        <w:t xml:space="preserve">: 10.12968/bjcn.2016.21.8.406 </w:t>
      </w:r>
    </w:p>
    <w:p w14:paraId="11BC66D6"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Marshall, H., &amp; Sprung, S. (2016b). Community nurse's knowledge, confidence and experience of the Mental Capacity Act in practice. </w:t>
      </w:r>
      <w:r w:rsidRPr="004D6B8B">
        <w:rPr>
          <w:rFonts w:asciiTheme="minorHAnsi" w:hAnsiTheme="minorHAnsi" w:cstheme="minorHAnsi"/>
          <w:i/>
        </w:rPr>
        <w:t>British Journal of Community Nursing,</w:t>
      </w:r>
      <w:r w:rsidRPr="004D6B8B">
        <w:rPr>
          <w:rFonts w:asciiTheme="minorHAnsi" w:hAnsiTheme="minorHAnsi" w:cstheme="minorHAnsi"/>
        </w:rPr>
        <w:t xml:space="preserve"> 21, 615-622.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10.12968/bjcn.2016.21.12.615</w:t>
      </w:r>
    </w:p>
    <w:p w14:paraId="03C1DC5D"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Manthorpe</w:t>
      </w:r>
      <w:proofErr w:type="spellEnd"/>
      <w:r w:rsidRPr="004D6B8B">
        <w:rPr>
          <w:rFonts w:asciiTheme="minorHAnsi" w:hAnsiTheme="minorHAnsi" w:cstheme="minorHAnsi"/>
        </w:rPr>
        <w:t xml:space="preserve">, J., Rapaport, J., Harris, J., &amp; </w:t>
      </w:r>
      <w:proofErr w:type="spellStart"/>
      <w:r w:rsidRPr="004D6B8B">
        <w:rPr>
          <w:rFonts w:asciiTheme="minorHAnsi" w:hAnsiTheme="minorHAnsi" w:cstheme="minorHAnsi"/>
        </w:rPr>
        <w:t>Samsi</w:t>
      </w:r>
      <w:proofErr w:type="spellEnd"/>
      <w:r w:rsidRPr="004D6B8B">
        <w:rPr>
          <w:rFonts w:asciiTheme="minorHAnsi" w:hAnsiTheme="minorHAnsi" w:cstheme="minorHAnsi"/>
        </w:rPr>
        <w:t xml:space="preserve">, K. (2009). Realising the safeguarding potential of the Mental Capacity Act 2005: early reports from adult safeguarding staff </w:t>
      </w:r>
      <w:r w:rsidRPr="004D6B8B">
        <w:rPr>
          <w:rFonts w:asciiTheme="minorHAnsi" w:hAnsiTheme="minorHAnsi" w:cstheme="minorHAnsi"/>
          <w:i/>
          <w:iCs/>
        </w:rPr>
        <w:t>The Journal of Adult Protection,</w:t>
      </w:r>
      <w:r w:rsidRPr="004D6B8B">
        <w:rPr>
          <w:rFonts w:asciiTheme="minorHAnsi" w:hAnsiTheme="minorHAnsi" w:cstheme="minorHAnsi"/>
        </w:rPr>
        <w:t xml:space="preserve"> 11, 2, 13-24 https://doi.org/10.1108/14668203200900010</w:t>
      </w:r>
    </w:p>
    <w:p w14:paraId="3F2F8D3D"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Manthorpe</w:t>
      </w:r>
      <w:proofErr w:type="spellEnd"/>
      <w:r w:rsidRPr="004D6B8B">
        <w:rPr>
          <w:rFonts w:asciiTheme="minorHAnsi" w:hAnsiTheme="minorHAnsi" w:cstheme="minorHAnsi"/>
        </w:rPr>
        <w:t xml:space="preserve">, J., </w:t>
      </w:r>
      <w:proofErr w:type="spellStart"/>
      <w:r w:rsidRPr="004D6B8B">
        <w:rPr>
          <w:rFonts w:asciiTheme="minorHAnsi" w:hAnsiTheme="minorHAnsi" w:cstheme="minorHAnsi"/>
        </w:rPr>
        <w:t>Samsi</w:t>
      </w:r>
      <w:proofErr w:type="spellEnd"/>
      <w:r w:rsidRPr="004D6B8B">
        <w:rPr>
          <w:rFonts w:asciiTheme="minorHAnsi" w:hAnsiTheme="minorHAnsi" w:cstheme="minorHAnsi"/>
        </w:rPr>
        <w:t xml:space="preserve">, K., Charles, N., &amp; Heath, H. (2011). 'Early days': Knowledge and use of the Mental Capacity Act 2005 by care home managers and staff. </w:t>
      </w:r>
      <w:r w:rsidRPr="004D6B8B">
        <w:rPr>
          <w:rFonts w:asciiTheme="minorHAnsi" w:hAnsiTheme="minorHAnsi" w:cstheme="minorHAnsi"/>
          <w:i/>
        </w:rPr>
        <w:t>Dementia</w:t>
      </w:r>
      <w:r w:rsidRPr="004D6B8B">
        <w:rPr>
          <w:rFonts w:asciiTheme="minorHAnsi" w:hAnsiTheme="minorHAnsi" w:cstheme="minorHAnsi"/>
        </w:rPr>
        <w:t xml:space="preserve">, 10, 283-298.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10.1177/1471301211403970</w:t>
      </w:r>
    </w:p>
    <w:p w14:paraId="1E4A3282"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Manthorpe</w:t>
      </w:r>
      <w:proofErr w:type="spellEnd"/>
      <w:r w:rsidRPr="004D6B8B">
        <w:rPr>
          <w:rFonts w:asciiTheme="minorHAnsi" w:hAnsiTheme="minorHAnsi" w:cstheme="minorHAnsi"/>
        </w:rPr>
        <w:t xml:space="preserve">, J., &amp; </w:t>
      </w:r>
      <w:proofErr w:type="spellStart"/>
      <w:r w:rsidRPr="004D6B8B">
        <w:rPr>
          <w:rFonts w:asciiTheme="minorHAnsi" w:hAnsiTheme="minorHAnsi" w:cstheme="minorHAnsi"/>
        </w:rPr>
        <w:t>Samsi</w:t>
      </w:r>
      <w:proofErr w:type="spellEnd"/>
      <w:r w:rsidRPr="004D6B8B">
        <w:rPr>
          <w:rFonts w:asciiTheme="minorHAnsi" w:hAnsiTheme="minorHAnsi" w:cstheme="minorHAnsi"/>
        </w:rPr>
        <w:t xml:space="preserve">, K. (2016). Care homes and the Mental Capacity Act 2005: Changes in understanding and practice over time. </w:t>
      </w:r>
      <w:r w:rsidRPr="004D6B8B">
        <w:rPr>
          <w:rFonts w:asciiTheme="minorHAnsi" w:hAnsiTheme="minorHAnsi" w:cstheme="minorHAnsi"/>
          <w:i/>
        </w:rPr>
        <w:t>Dementia</w:t>
      </w:r>
      <w:r w:rsidRPr="004D6B8B">
        <w:rPr>
          <w:rFonts w:asciiTheme="minorHAnsi" w:hAnsiTheme="minorHAnsi" w:cstheme="minorHAnsi"/>
        </w:rPr>
        <w:t xml:space="preserve">, 15, 4, 858-871.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10.1177/1471301214542623 </w:t>
      </w:r>
    </w:p>
    <w:p w14:paraId="1F80546F" w14:textId="77777777" w:rsidR="00416668" w:rsidRPr="004D6B8B" w:rsidRDefault="00416668" w:rsidP="00416668">
      <w:pPr>
        <w:pStyle w:val="NormalWeb"/>
        <w:rPr>
          <w:rStyle w:val="Hyperlink"/>
          <w:color w:val="auto"/>
        </w:rPr>
      </w:pPr>
      <w:r w:rsidRPr="004D6B8B">
        <w:rPr>
          <w:rFonts w:asciiTheme="minorHAnsi" w:hAnsiTheme="minorHAnsi" w:cstheme="minorHAnsi"/>
        </w:rPr>
        <w:t xml:space="preserve">McCormick, M., Bose, A., &amp; </w:t>
      </w:r>
      <w:proofErr w:type="spellStart"/>
      <w:r w:rsidRPr="004D6B8B">
        <w:rPr>
          <w:rFonts w:asciiTheme="minorHAnsi" w:hAnsiTheme="minorHAnsi" w:cstheme="minorHAnsi"/>
        </w:rPr>
        <w:t>Marinis</w:t>
      </w:r>
      <w:proofErr w:type="spellEnd"/>
      <w:r w:rsidRPr="004D6B8B">
        <w:rPr>
          <w:rFonts w:asciiTheme="minorHAnsi" w:hAnsiTheme="minorHAnsi" w:cstheme="minorHAnsi"/>
        </w:rPr>
        <w:t xml:space="preserve">, T. (2017). Decision-making capacity in aphasia: SLT’s contribution in England. </w:t>
      </w:r>
      <w:proofErr w:type="spellStart"/>
      <w:r w:rsidRPr="004D6B8B">
        <w:rPr>
          <w:rFonts w:asciiTheme="minorHAnsi" w:hAnsiTheme="minorHAnsi" w:cstheme="minorHAnsi"/>
          <w:i/>
        </w:rPr>
        <w:t>Aphasiology</w:t>
      </w:r>
      <w:proofErr w:type="spellEnd"/>
      <w:r w:rsidRPr="004D6B8B">
        <w:rPr>
          <w:rFonts w:asciiTheme="minorHAnsi" w:hAnsiTheme="minorHAnsi" w:cstheme="minorHAnsi"/>
        </w:rPr>
        <w:t xml:space="preserve">, 31, 1344-1358.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w:t>
      </w:r>
      <w:hyperlink r:id="rId22" w:history="1">
        <w:r w:rsidRPr="004D6B8B">
          <w:rPr>
            <w:rStyle w:val="Hyperlink"/>
            <w:rFonts w:asciiTheme="minorHAnsi" w:hAnsiTheme="minorHAnsi" w:cstheme="minorHAnsi"/>
            <w:color w:val="auto"/>
          </w:rPr>
          <w:t>https://doi.org/10.1080/02687038.2017.1355441</w:t>
        </w:r>
      </w:hyperlink>
    </w:p>
    <w:p w14:paraId="1933EA70" w14:textId="77504D6C"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lastRenderedPageBreak/>
        <w:t xml:space="preserve">Mental Disability Advocacy </w:t>
      </w:r>
      <w:proofErr w:type="spellStart"/>
      <w:r w:rsidRPr="004D6B8B">
        <w:rPr>
          <w:rFonts w:asciiTheme="minorHAnsi" w:hAnsiTheme="minorHAnsi" w:cstheme="minorHAnsi"/>
        </w:rPr>
        <w:t>Center</w:t>
      </w:r>
      <w:proofErr w:type="spellEnd"/>
      <w:r w:rsidRPr="004D6B8B">
        <w:rPr>
          <w:rFonts w:asciiTheme="minorHAnsi" w:hAnsiTheme="minorHAnsi" w:cstheme="minorHAnsi"/>
        </w:rPr>
        <w:t xml:space="preserve"> (2016)</w:t>
      </w:r>
      <w:r w:rsidR="005F54AA" w:rsidRPr="004D6B8B">
        <w:rPr>
          <w:rFonts w:asciiTheme="minorHAnsi" w:hAnsiTheme="minorHAnsi" w:cstheme="minorHAnsi"/>
        </w:rPr>
        <w:t>.</w:t>
      </w:r>
      <w:r w:rsidRPr="004D6B8B">
        <w:rPr>
          <w:rFonts w:asciiTheme="minorHAnsi" w:hAnsiTheme="minorHAnsi" w:cstheme="minorHAnsi"/>
        </w:rPr>
        <w:t xml:space="preserve"> Regional African treaty has potential to “strengthen implementation” of disability rights on the continent. Retrieved from </w:t>
      </w:r>
      <w:hyperlink r:id="rId23" w:history="1">
        <w:r w:rsidRPr="004D6B8B">
          <w:rPr>
            <w:rStyle w:val="Hyperlink"/>
            <w:rFonts w:asciiTheme="minorHAnsi" w:hAnsiTheme="minorHAnsi" w:cstheme="minorHAnsi"/>
            <w:color w:val="auto"/>
          </w:rPr>
          <w:t>https://www.mdac.org/en/news/regional-african-treaty-has-potential-strengthen-implementation-disability-rights-continent</w:t>
        </w:r>
      </w:hyperlink>
    </w:p>
    <w:p w14:paraId="77B5826E" w14:textId="5EB71BB3"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Moher D, </w:t>
      </w:r>
      <w:proofErr w:type="spellStart"/>
      <w:r w:rsidRPr="004D6B8B">
        <w:rPr>
          <w:rFonts w:asciiTheme="minorHAnsi" w:hAnsiTheme="minorHAnsi" w:cstheme="minorHAnsi"/>
        </w:rPr>
        <w:t>Liberati</w:t>
      </w:r>
      <w:proofErr w:type="spellEnd"/>
      <w:r w:rsidRPr="004D6B8B">
        <w:rPr>
          <w:rFonts w:asciiTheme="minorHAnsi" w:hAnsiTheme="minorHAnsi" w:cstheme="minorHAnsi"/>
        </w:rPr>
        <w:t xml:space="preserve"> A, </w:t>
      </w:r>
      <w:proofErr w:type="spellStart"/>
      <w:r w:rsidRPr="004D6B8B">
        <w:rPr>
          <w:rFonts w:asciiTheme="minorHAnsi" w:hAnsiTheme="minorHAnsi" w:cstheme="minorHAnsi"/>
        </w:rPr>
        <w:t>Tetzlaff</w:t>
      </w:r>
      <w:proofErr w:type="spellEnd"/>
      <w:r w:rsidRPr="004D6B8B">
        <w:rPr>
          <w:rFonts w:asciiTheme="minorHAnsi" w:hAnsiTheme="minorHAnsi" w:cstheme="minorHAnsi"/>
        </w:rPr>
        <w:t xml:space="preserve"> J, Altman DG</w:t>
      </w:r>
      <w:proofErr w:type="gramStart"/>
      <w:r w:rsidRPr="004D6B8B">
        <w:rPr>
          <w:rFonts w:asciiTheme="minorHAnsi" w:hAnsiTheme="minorHAnsi" w:cstheme="minorHAnsi"/>
        </w:rPr>
        <w:t>,  PRISMA</w:t>
      </w:r>
      <w:proofErr w:type="gramEnd"/>
      <w:r w:rsidRPr="004D6B8B">
        <w:rPr>
          <w:rFonts w:asciiTheme="minorHAnsi" w:hAnsiTheme="minorHAnsi" w:cstheme="minorHAnsi"/>
        </w:rPr>
        <w:t xml:space="preserve"> Group (2009)</w:t>
      </w:r>
      <w:r w:rsidR="005F54AA" w:rsidRPr="004D6B8B">
        <w:rPr>
          <w:rFonts w:asciiTheme="minorHAnsi" w:hAnsiTheme="minorHAnsi" w:cstheme="minorHAnsi"/>
        </w:rPr>
        <w:t>.</w:t>
      </w:r>
      <w:r w:rsidRPr="004D6B8B">
        <w:rPr>
          <w:rFonts w:asciiTheme="minorHAnsi" w:hAnsiTheme="minorHAnsi" w:cstheme="minorHAnsi"/>
        </w:rPr>
        <w:t xml:space="preserve"> Preferred Reporting Items for Systematic Reviews and Meta-Analyses: The PRISMA Statement. </w:t>
      </w:r>
      <w:proofErr w:type="spellStart"/>
      <w:r w:rsidRPr="004D6B8B">
        <w:rPr>
          <w:rFonts w:asciiTheme="minorHAnsi" w:hAnsiTheme="minorHAnsi" w:cstheme="minorHAnsi"/>
          <w:i/>
        </w:rPr>
        <w:t>PLoS</w:t>
      </w:r>
      <w:proofErr w:type="spellEnd"/>
      <w:r w:rsidRPr="004D6B8B">
        <w:rPr>
          <w:rFonts w:asciiTheme="minorHAnsi" w:hAnsiTheme="minorHAnsi" w:cstheme="minorHAnsi"/>
          <w:i/>
        </w:rPr>
        <w:t xml:space="preserve"> Med</w:t>
      </w:r>
      <w:r w:rsidRPr="004D6B8B">
        <w:rPr>
          <w:rFonts w:asciiTheme="minorHAnsi" w:hAnsiTheme="minorHAnsi" w:cstheme="minorHAnsi"/>
        </w:rPr>
        <w:t xml:space="preserve"> 6(7) - </w:t>
      </w:r>
      <w:hyperlink r:id="rId24" w:history="1">
        <w:r w:rsidRPr="004D6B8B">
          <w:rPr>
            <w:rStyle w:val="Hyperlink"/>
            <w:rFonts w:asciiTheme="minorHAnsi" w:hAnsiTheme="minorHAnsi" w:cstheme="minorHAnsi"/>
            <w:color w:val="auto"/>
          </w:rPr>
          <w:t>www.plosmedicine.org/article/info:doi/10.1371/journal.pmed.1000097</w:t>
        </w:r>
      </w:hyperlink>
      <w:r w:rsidRPr="004D6B8B">
        <w:rPr>
          <w:rFonts w:asciiTheme="minorHAnsi" w:hAnsiTheme="minorHAnsi" w:cstheme="minorHAnsi"/>
        </w:rPr>
        <w:t xml:space="preserve"> </w:t>
      </w:r>
    </w:p>
    <w:p w14:paraId="0959BB90"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Morriss</w:t>
      </w:r>
      <w:proofErr w:type="spellEnd"/>
      <w:r w:rsidRPr="004D6B8B">
        <w:rPr>
          <w:rFonts w:asciiTheme="minorHAnsi" w:hAnsiTheme="minorHAnsi" w:cstheme="minorHAnsi"/>
        </w:rPr>
        <w:t xml:space="preserve">, R., </w:t>
      </w:r>
      <w:proofErr w:type="spellStart"/>
      <w:r w:rsidRPr="004D6B8B">
        <w:rPr>
          <w:rFonts w:asciiTheme="minorHAnsi" w:hAnsiTheme="minorHAnsi" w:cstheme="minorHAnsi"/>
        </w:rPr>
        <w:t>Mudigonda</w:t>
      </w:r>
      <w:proofErr w:type="spellEnd"/>
      <w:r w:rsidRPr="004D6B8B">
        <w:rPr>
          <w:rFonts w:asciiTheme="minorHAnsi" w:hAnsiTheme="minorHAnsi" w:cstheme="minorHAnsi"/>
        </w:rPr>
        <w:t xml:space="preserve">, M., Bartlett, P., Chopra, A., &amp; Jones, S. (2017). National survey of training of psychiatrists on advance directives to refuse treatment in bipolar disorder. </w:t>
      </w:r>
      <w:r w:rsidRPr="004D6B8B">
        <w:rPr>
          <w:rFonts w:asciiTheme="minorHAnsi" w:hAnsiTheme="minorHAnsi" w:cstheme="minorHAnsi"/>
          <w:i/>
        </w:rPr>
        <w:t>Psychiatrist,</w:t>
      </w:r>
      <w:r w:rsidRPr="004D6B8B">
        <w:rPr>
          <w:rFonts w:asciiTheme="minorHAnsi" w:hAnsiTheme="minorHAnsi" w:cstheme="minorHAnsi"/>
        </w:rPr>
        <w:t xml:space="preserve"> 41, 6, 320-324.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10.1192/pb.bp.116.055343 </w:t>
      </w:r>
    </w:p>
    <w:p w14:paraId="527D31B1"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Murrell, A., &amp; </w:t>
      </w:r>
      <w:proofErr w:type="spellStart"/>
      <w:r w:rsidRPr="004D6B8B">
        <w:rPr>
          <w:rFonts w:asciiTheme="minorHAnsi" w:hAnsiTheme="minorHAnsi" w:cstheme="minorHAnsi"/>
        </w:rPr>
        <w:t>McCalla</w:t>
      </w:r>
      <w:proofErr w:type="spellEnd"/>
      <w:r w:rsidRPr="004D6B8B">
        <w:rPr>
          <w:rFonts w:asciiTheme="minorHAnsi" w:hAnsiTheme="minorHAnsi" w:cstheme="minorHAnsi"/>
        </w:rPr>
        <w:t xml:space="preserve">, L. (2016). Assessing Decision-making Capacity: The Interpretation and Implementation of the Mental Capacity Act 2005 </w:t>
      </w:r>
      <w:proofErr w:type="gramStart"/>
      <w:r w:rsidRPr="004D6B8B">
        <w:rPr>
          <w:rFonts w:asciiTheme="minorHAnsi" w:hAnsiTheme="minorHAnsi" w:cstheme="minorHAnsi"/>
        </w:rPr>
        <w:t>Amongst</w:t>
      </w:r>
      <w:proofErr w:type="gramEnd"/>
      <w:r w:rsidRPr="004D6B8B">
        <w:rPr>
          <w:rFonts w:asciiTheme="minorHAnsi" w:hAnsiTheme="minorHAnsi" w:cstheme="minorHAnsi"/>
        </w:rPr>
        <w:t xml:space="preserve"> Social Care Professionals. Practice. 28, 1, 21-36. DOI: 10.1080/09503153.2015.1074667</w:t>
      </w:r>
    </w:p>
    <w:p w14:paraId="27E83DDA" w14:textId="31AE786C"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National Institute for Health and Care Excellence (2018)</w:t>
      </w:r>
      <w:r w:rsidR="005F54AA" w:rsidRPr="004D6B8B">
        <w:rPr>
          <w:rFonts w:asciiTheme="minorHAnsi" w:hAnsiTheme="minorHAnsi" w:cstheme="minorHAnsi"/>
        </w:rPr>
        <w:t>.</w:t>
      </w:r>
      <w:r w:rsidRPr="004D6B8B">
        <w:rPr>
          <w:rFonts w:asciiTheme="minorHAnsi" w:hAnsiTheme="minorHAnsi" w:cstheme="minorHAnsi"/>
        </w:rPr>
        <w:t xml:space="preserve"> Decision-making and mental capacity (NG108). Retrieved from </w:t>
      </w:r>
      <w:hyperlink r:id="rId25" w:history="1">
        <w:r w:rsidRPr="004D6B8B">
          <w:rPr>
            <w:rStyle w:val="Hyperlink"/>
            <w:rFonts w:asciiTheme="minorHAnsi" w:hAnsiTheme="minorHAnsi" w:cstheme="minorHAnsi"/>
            <w:color w:val="auto"/>
          </w:rPr>
          <w:t>https://www.nice.org.uk/guidance/ng108</w:t>
        </w:r>
      </w:hyperlink>
      <w:r w:rsidRPr="004D6B8B">
        <w:rPr>
          <w:rFonts w:asciiTheme="minorHAnsi" w:hAnsiTheme="minorHAnsi" w:cstheme="minorHAnsi"/>
        </w:rPr>
        <w:t xml:space="preserve"> </w:t>
      </w:r>
    </w:p>
    <w:p w14:paraId="139992EA"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Phair</w:t>
      </w:r>
      <w:proofErr w:type="spellEnd"/>
      <w:r w:rsidRPr="004D6B8B">
        <w:rPr>
          <w:rFonts w:asciiTheme="minorHAnsi" w:hAnsiTheme="minorHAnsi" w:cstheme="minorHAnsi"/>
        </w:rPr>
        <w:t xml:space="preserve">, L., &amp; </w:t>
      </w:r>
      <w:proofErr w:type="spellStart"/>
      <w:r w:rsidRPr="004D6B8B">
        <w:rPr>
          <w:rFonts w:asciiTheme="minorHAnsi" w:hAnsiTheme="minorHAnsi" w:cstheme="minorHAnsi"/>
        </w:rPr>
        <w:t>Manthorpe</w:t>
      </w:r>
      <w:proofErr w:type="spellEnd"/>
      <w:r w:rsidRPr="004D6B8B">
        <w:rPr>
          <w:rFonts w:asciiTheme="minorHAnsi" w:hAnsiTheme="minorHAnsi" w:cstheme="minorHAnsi"/>
        </w:rPr>
        <w:t xml:space="preserve">, J. (2012). The use of the Mental Capacity Act among hospital patients: Findings from a case study of one Acute Hospital Trust in England. </w:t>
      </w:r>
      <w:r w:rsidRPr="004D6B8B">
        <w:rPr>
          <w:rFonts w:asciiTheme="minorHAnsi" w:hAnsiTheme="minorHAnsi" w:cstheme="minorHAnsi"/>
          <w:i/>
        </w:rPr>
        <w:t>Journal of Adult Protection</w:t>
      </w:r>
      <w:r w:rsidRPr="004D6B8B">
        <w:rPr>
          <w:rFonts w:asciiTheme="minorHAnsi" w:hAnsiTheme="minorHAnsi" w:cstheme="minorHAnsi"/>
        </w:rPr>
        <w:t xml:space="preserve">, 14, 259-270.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10.1108/14668201211286020 </w:t>
      </w:r>
    </w:p>
    <w:p w14:paraId="05A5CFC3"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Pike, L., </w:t>
      </w:r>
      <w:proofErr w:type="spellStart"/>
      <w:r w:rsidRPr="004D6B8B">
        <w:rPr>
          <w:rFonts w:asciiTheme="minorHAnsi" w:hAnsiTheme="minorHAnsi" w:cstheme="minorHAnsi"/>
        </w:rPr>
        <w:t>Indge</w:t>
      </w:r>
      <w:proofErr w:type="spellEnd"/>
      <w:r w:rsidRPr="004D6B8B">
        <w:rPr>
          <w:rFonts w:asciiTheme="minorHAnsi" w:hAnsiTheme="minorHAnsi" w:cstheme="minorHAnsi"/>
        </w:rPr>
        <w:t xml:space="preserve">, R., </w:t>
      </w:r>
      <w:proofErr w:type="spellStart"/>
      <w:r w:rsidRPr="004D6B8B">
        <w:rPr>
          <w:rFonts w:asciiTheme="minorHAnsi" w:hAnsiTheme="minorHAnsi" w:cstheme="minorHAnsi"/>
        </w:rPr>
        <w:t>Leverton</w:t>
      </w:r>
      <w:proofErr w:type="spellEnd"/>
      <w:r w:rsidRPr="004D6B8B">
        <w:rPr>
          <w:rFonts w:asciiTheme="minorHAnsi" w:hAnsiTheme="minorHAnsi" w:cstheme="minorHAnsi"/>
        </w:rPr>
        <w:t xml:space="preserve">, C., Ford, D., &amp; Gilbert, T. (2010). Bridging the gap between learning and practice: From where we were to where we are now. </w:t>
      </w:r>
      <w:r w:rsidRPr="004D6B8B">
        <w:rPr>
          <w:rFonts w:asciiTheme="minorHAnsi" w:hAnsiTheme="minorHAnsi" w:cstheme="minorHAnsi"/>
          <w:i/>
        </w:rPr>
        <w:t>Journal of Adult Protection</w:t>
      </w:r>
      <w:r w:rsidRPr="004D6B8B">
        <w:rPr>
          <w:rFonts w:asciiTheme="minorHAnsi" w:hAnsiTheme="minorHAnsi" w:cstheme="minorHAnsi"/>
        </w:rPr>
        <w:t xml:space="preserve">, 12, 2, 28-38.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w:t>
      </w:r>
      <w:hyperlink r:id="rId26" w:history="1">
        <w:r w:rsidRPr="004D6B8B">
          <w:rPr>
            <w:rStyle w:val="Hyperlink"/>
            <w:rFonts w:asciiTheme="minorHAnsi" w:hAnsiTheme="minorHAnsi" w:cstheme="minorHAnsi"/>
            <w:color w:val="auto"/>
          </w:rPr>
          <w:t>https://doi.org/10.5042/jap.2010.0293</w:t>
        </w:r>
      </w:hyperlink>
      <w:r w:rsidRPr="004D6B8B">
        <w:rPr>
          <w:rFonts w:asciiTheme="minorHAnsi" w:hAnsiTheme="minorHAnsi" w:cstheme="minorHAnsi"/>
        </w:rPr>
        <w:t xml:space="preserve"> </w:t>
      </w:r>
    </w:p>
    <w:p w14:paraId="7BA6405F" w14:textId="1941AD36"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Popay</w:t>
      </w:r>
      <w:proofErr w:type="spellEnd"/>
      <w:r w:rsidRPr="004D6B8B">
        <w:rPr>
          <w:rFonts w:asciiTheme="minorHAnsi" w:hAnsiTheme="minorHAnsi" w:cstheme="minorHAnsi"/>
        </w:rPr>
        <w:t xml:space="preserve">, J., Roberts, H., Sowden, A., </w:t>
      </w:r>
      <w:proofErr w:type="spellStart"/>
      <w:r w:rsidRPr="004D6B8B">
        <w:rPr>
          <w:rFonts w:asciiTheme="minorHAnsi" w:hAnsiTheme="minorHAnsi" w:cstheme="minorHAnsi"/>
        </w:rPr>
        <w:t>Petticrew</w:t>
      </w:r>
      <w:proofErr w:type="spellEnd"/>
      <w:r w:rsidRPr="004D6B8B">
        <w:rPr>
          <w:rFonts w:asciiTheme="minorHAnsi" w:hAnsiTheme="minorHAnsi" w:cstheme="minorHAnsi"/>
        </w:rPr>
        <w:t>, M., Arai, L., &amp; Rodgers M, et al. (2006)</w:t>
      </w:r>
      <w:r w:rsidR="005F54AA" w:rsidRPr="004D6B8B">
        <w:rPr>
          <w:rFonts w:asciiTheme="minorHAnsi" w:hAnsiTheme="minorHAnsi" w:cstheme="minorHAnsi"/>
        </w:rPr>
        <w:t>.</w:t>
      </w:r>
      <w:r w:rsidRPr="004D6B8B">
        <w:rPr>
          <w:rFonts w:asciiTheme="minorHAnsi" w:hAnsiTheme="minorHAnsi" w:cstheme="minorHAnsi"/>
        </w:rPr>
        <w:t xml:space="preserve"> Guidance on the conduct of narrative synthesis in systematic reviews: a product from the ESRC methods programme Lancaster University. Retrieved from </w:t>
      </w:r>
      <w:hyperlink r:id="rId27" w:history="1">
        <w:r w:rsidRPr="004D6B8B">
          <w:rPr>
            <w:rStyle w:val="Hyperlink"/>
            <w:rFonts w:asciiTheme="minorHAnsi" w:hAnsiTheme="minorHAnsi" w:cstheme="minorHAnsi"/>
            <w:color w:val="auto"/>
          </w:rPr>
          <w:t>https://www.lancaster.ac.uk/shm/research/nssr/research/dissemination/publications/NS_Synthesis_Guidance_v1.pdf</w:t>
        </w:r>
      </w:hyperlink>
      <w:r w:rsidRPr="004D6B8B">
        <w:rPr>
          <w:rFonts w:asciiTheme="minorHAnsi" w:hAnsiTheme="minorHAnsi" w:cstheme="minorHAnsi"/>
        </w:rPr>
        <w:t xml:space="preserve"> </w:t>
      </w:r>
    </w:p>
    <w:p w14:paraId="34007778"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Samsi</w:t>
      </w:r>
      <w:proofErr w:type="spellEnd"/>
      <w:r w:rsidRPr="004D6B8B">
        <w:rPr>
          <w:rFonts w:asciiTheme="minorHAnsi" w:hAnsiTheme="minorHAnsi" w:cstheme="minorHAnsi"/>
        </w:rPr>
        <w:t xml:space="preserve">, K., </w:t>
      </w:r>
      <w:proofErr w:type="spellStart"/>
      <w:r w:rsidRPr="004D6B8B">
        <w:rPr>
          <w:rFonts w:asciiTheme="minorHAnsi" w:hAnsiTheme="minorHAnsi" w:cstheme="minorHAnsi"/>
        </w:rPr>
        <w:t>Manthorpe</w:t>
      </w:r>
      <w:proofErr w:type="spellEnd"/>
      <w:r w:rsidRPr="004D6B8B">
        <w:rPr>
          <w:rFonts w:asciiTheme="minorHAnsi" w:hAnsiTheme="minorHAnsi" w:cstheme="minorHAnsi"/>
        </w:rPr>
        <w:t xml:space="preserve">, J., </w:t>
      </w:r>
      <w:proofErr w:type="spellStart"/>
      <w:r w:rsidRPr="004D6B8B">
        <w:rPr>
          <w:rFonts w:asciiTheme="minorHAnsi" w:hAnsiTheme="minorHAnsi" w:cstheme="minorHAnsi"/>
        </w:rPr>
        <w:t>Nagendran</w:t>
      </w:r>
      <w:proofErr w:type="spellEnd"/>
      <w:r w:rsidRPr="004D6B8B">
        <w:rPr>
          <w:rFonts w:asciiTheme="minorHAnsi" w:hAnsiTheme="minorHAnsi" w:cstheme="minorHAnsi"/>
        </w:rPr>
        <w:t xml:space="preserve">, T., &amp; Heath, H. (2012). Challenges and expectations of the Mental Capacity Act 2005: an interview-based study of community-based specialist nurses working in dementia care. </w:t>
      </w:r>
      <w:r w:rsidRPr="004D6B8B">
        <w:rPr>
          <w:rFonts w:asciiTheme="minorHAnsi" w:hAnsiTheme="minorHAnsi" w:cstheme="minorHAnsi"/>
          <w:i/>
        </w:rPr>
        <w:t>Journal of Clinical Nursing</w:t>
      </w:r>
      <w:r w:rsidRPr="004D6B8B">
        <w:rPr>
          <w:rFonts w:asciiTheme="minorHAnsi" w:hAnsiTheme="minorHAnsi" w:cstheme="minorHAnsi"/>
        </w:rPr>
        <w:t xml:space="preserve">, 21, 11-12.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10.1111/j.1365-2702.2011.03912.x </w:t>
      </w:r>
    </w:p>
    <w:p w14:paraId="10F41349"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Sawhney</w:t>
      </w:r>
      <w:proofErr w:type="spellEnd"/>
      <w:r w:rsidRPr="004D6B8B">
        <w:rPr>
          <w:rFonts w:asciiTheme="minorHAnsi" w:hAnsiTheme="minorHAnsi" w:cstheme="minorHAnsi"/>
        </w:rPr>
        <w:t xml:space="preserve">, I., </w:t>
      </w:r>
      <w:proofErr w:type="spellStart"/>
      <w:r w:rsidRPr="004D6B8B">
        <w:rPr>
          <w:rFonts w:asciiTheme="minorHAnsi" w:hAnsiTheme="minorHAnsi" w:cstheme="minorHAnsi"/>
        </w:rPr>
        <w:t>Mukhopadhyay</w:t>
      </w:r>
      <w:proofErr w:type="spellEnd"/>
      <w:r w:rsidRPr="004D6B8B">
        <w:rPr>
          <w:rFonts w:asciiTheme="minorHAnsi" w:hAnsiTheme="minorHAnsi" w:cstheme="minorHAnsi"/>
        </w:rPr>
        <w:t xml:space="preserve">, A., &amp; </w:t>
      </w:r>
      <w:proofErr w:type="spellStart"/>
      <w:r w:rsidRPr="004D6B8B">
        <w:rPr>
          <w:rFonts w:asciiTheme="minorHAnsi" w:hAnsiTheme="minorHAnsi" w:cstheme="minorHAnsi"/>
        </w:rPr>
        <w:t>Karki</w:t>
      </w:r>
      <w:proofErr w:type="spellEnd"/>
      <w:r w:rsidRPr="004D6B8B">
        <w:rPr>
          <w:rFonts w:asciiTheme="minorHAnsi" w:hAnsiTheme="minorHAnsi" w:cstheme="minorHAnsi"/>
        </w:rPr>
        <w:t xml:space="preserve">, C. (2009). Mental Capacity Act 2005: views and experiences of learning disability psychiatrists. </w:t>
      </w:r>
      <w:r w:rsidRPr="004D6B8B">
        <w:rPr>
          <w:rFonts w:asciiTheme="minorHAnsi" w:hAnsiTheme="minorHAnsi" w:cstheme="minorHAnsi"/>
          <w:i/>
        </w:rPr>
        <w:t>Psychiatric Bulletin</w:t>
      </w:r>
      <w:r w:rsidRPr="004D6B8B">
        <w:rPr>
          <w:rFonts w:asciiTheme="minorHAnsi" w:hAnsiTheme="minorHAnsi" w:cstheme="minorHAnsi"/>
        </w:rPr>
        <w:t xml:space="preserve">, 33, 234-236.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10.1192/pb.bp.108.020479 </w:t>
      </w:r>
    </w:p>
    <w:p w14:paraId="7E947F14" w14:textId="079EAD9D"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lastRenderedPageBreak/>
        <w:t xml:space="preserve">Schoﬁeld Z, di </w:t>
      </w:r>
      <w:proofErr w:type="spellStart"/>
      <w:r w:rsidRPr="004D6B8B">
        <w:rPr>
          <w:rFonts w:asciiTheme="minorHAnsi" w:hAnsiTheme="minorHAnsi" w:cstheme="minorHAnsi"/>
        </w:rPr>
        <w:t>Mambro</w:t>
      </w:r>
      <w:proofErr w:type="spellEnd"/>
      <w:r w:rsidRPr="004D6B8B">
        <w:rPr>
          <w:rFonts w:asciiTheme="minorHAnsi" w:hAnsiTheme="minorHAnsi" w:cstheme="minorHAnsi"/>
        </w:rPr>
        <w:t xml:space="preserve"> B &amp; Schoﬁeld C, (2012). E-learning package on the Mental Capacity Act 2005 for junior doctors and medical students. </w:t>
      </w:r>
      <w:r w:rsidRPr="004D6B8B">
        <w:rPr>
          <w:rFonts w:asciiTheme="minorHAnsi" w:hAnsiTheme="minorHAnsi" w:cstheme="minorHAnsi"/>
          <w:i/>
        </w:rPr>
        <w:t>The Psychiatrist</w:t>
      </w:r>
      <w:r w:rsidRPr="004D6B8B">
        <w:rPr>
          <w:rFonts w:asciiTheme="minorHAnsi" w:hAnsiTheme="minorHAnsi" w:cstheme="minorHAnsi"/>
        </w:rPr>
        <w:t xml:space="preserve">, 36, 434-436.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10.1192/pb.bp.112.039081</w:t>
      </w:r>
    </w:p>
    <w:p w14:paraId="21DC1EE0"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Sheehan, R., </w:t>
      </w:r>
      <w:proofErr w:type="spellStart"/>
      <w:r w:rsidRPr="004D6B8B">
        <w:rPr>
          <w:rFonts w:asciiTheme="minorHAnsi" w:hAnsiTheme="minorHAnsi" w:cstheme="minorHAnsi"/>
        </w:rPr>
        <w:t>Gandesha</w:t>
      </w:r>
      <w:proofErr w:type="spellEnd"/>
      <w:r w:rsidRPr="004D6B8B">
        <w:rPr>
          <w:rFonts w:asciiTheme="minorHAnsi" w:hAnsiTheme="minorHAnsi" w:cstheme="minorHAnsi"/>
        </w:rPr>
        <w:t xml:space="preserve">, A., </w:t>
      </w:r>
      <w:proofErr w:type="spellStart"/>
      <w:r w:rsidRPr="004D6B8B">
        <w:rPr>
          <w:rFonts w:asciiTheme="minorHAnsi" w:hAnsiTheme="minorHAnsi" w:cstheme="minorHAnsi"/>
        </w:rPr>
        <w:t>Hassiotis</w:t>
      </w:r>
      <w:proofErr w:type="spellEnd"/>
      <w:r w:rsidRPr="004D6B8B">
        <w:rPr>
          <w:rFonts w:asciiTheme="minorHAnsi" w:hAnsiTheme="minorHAnsi" w:cstheme="minorHAnsi"/>
        </w:rPr>
        <w:t xml:space="preserve">, A., Gallagher, P., </w:t>
      </w:r>
      <w:proofErr w:type="spellStart"/>
      <w:r w:rsidRPr="004D6B8B">
        <w:rPr>
          <w:rFonts w:asciiTheme="minorHAnsi" w:hAnsiTheme="minorHAnsi" w:cstheme="minorHAnsi"/>
        </w:rPr>
        <w:t>Burnell</w:t>
      </w:r>
      <w:proofErr w:type="spellEnd"/>
      <w:r w:rsidRPr="004D6B8B">
        <w:rPr>
          <w:rFonts w:asciiTheme="minorHAnsi" w:hAnsiTheme="minorHAnsi" w:cstheme="minorHAnsi"/>
        </w:rPr>
        <w:t xml:space="preserve">, M., Jones, G., Kerr, M., Hall, I., Chaplin, R., &amp; Crawford, M. J. (2016). An audit of the quality of inpatient care for adults with learning disability in the UK. </w:t>
      </w:r>
      <w:r w:rsidRPr="004D6B8B">
        <w:rPr>
          <w:rFonts w:asciiTheme="minorHAnsi" w:hAnsiTheme="minorHAnsi" w:cstheme="minorHAnsi"/>
          <w:i/>
          <w:iCs/>
        </w:rPr>
        <w:t>BMJ Open</w:t>
      </w:r>
      <w:r w:rsidRPr="004D6B8B">
        <w:rPr>
          <w:rFonts w:asciiTheme="minorHAnsi" w:hAnsiTheme="minorHAnsi" w:cstheme="minorHAnsi"/>
        </w:rPr>
        <w:t xml:space="preserve">. 6, e010480. </w:t>
      </w:r>
      <w:proofErr w:type="gramStart"/>
      <w:r w:rsidRPr="004D6B8B">
        <w:rPr>
          <w:rFonts w:asciiTheme="minorHAnsi" w:hAnsiTheme="minorHAnsi" w:cstheme="minorHAnsi"/>
        </w:rPr>
        <w:t>doi:</w:t>
      </w:r>
      <w:proofErr w:type="gramEnd"/>
      <w:r w:rsidRPr="004D6B8B">
        <w:rPr>
          <w:rFonts w:asciiTheme="minorHAnsi" w:hAnsiTheme="minorHAnsi" w:cstheme="minorHAnsi"/>
        </w:rPr>
        <w:t xml:space="preserve">10.1136/ bmjopen-2015-010480 </w:t>
      </w:r>
    </w:p>
    <w:p w14:paraId="14992D8D" w14:textId="6D770DF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Social Care Institute for Excellence. (2016)</w:t>
      </w:r>
      <w:r w:rsidR="005F54AA" w:rsidRPr="004D6B8B">
        <w:rPr>
          <w:rFonts w:asciiTheme="minorHAnsi" w:hAnsiTheme="minorHAnsi" w:cstheme="minorHAnsi"/>
        </w:rPr>
        <w:t>.</w:t>
      </w:r>
      <w:r w:rsidRPr="004D6B8B">
        <w:rPr>
          <w:rFonts w:asciiTheme="minorHAnsi" w:hAnsiTheme="minorHAnsi" w:cstheme="minorHAnsi"/>
        </w:rPr>
        <w:t xml:space="preserve"> Mental Capacity Act 2005 at a glance. Retrieved from </w:t>
      </w:r>
      <w:hyperlink r:id="rId28" w:history="1">
        <w:r w:rsidRPr="004D6B8B">
          <w:rPr>
            <w:rStyle w:val="Hyperlink"/>
            <w:rFonts w:asciiTheme="minorHAnsi" w:hAnsiTheme="minorHAnsi" w:cstheme="minorHAnsi"/>
            <w:color w:val="auto"/>
          </w:rPr>
          <w:t>https://www.scie.org.uk/mca/introduction/mental-capacity-act-2005-at-a-glance</w:t>
        </w:r>
      </w:hyperlink>
      <w:r w:rsidRPr="004D6B8B">
        <w:rPr>
          <w:rFonts w:asciiTheme="minorHAnsi" w:hAnsiTheme="minorHAnsi" w:cstheme="minorHAnsi"/>
        </w:rPr>
        <w:t xml:space="preserve"> </w:t>
      </w:r>
    </w:p>
    <w:p w14:paraId="53753A36" w14:textId="0B5FA3D6"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Social Care Institute for Excellence. (2019)</w:t>
      </w:r>
      <w:r w:rsidR="005F54AA" w:rsidRPr="004D6B8B">
        <w:rPr>
          <w:rFonts w:asciiTheme="minorHAnsi" w:hAnsiTheme="minorHAnsi" w:cstheme="minorHAnsi"/>
        </w:rPr>
        <w:t>.</w:t>
      </w:r>
      <w:r w:rsidRPr="004D6B8B">
        <w:rPr>
          <w:rFonts w:asciiTheme="minorHAnsi" w:hAnsiTheme="minorHAnsi" w:cstheme="minorHAnsi"/>
        </w:rPr>
        <w:t xml:space="preserve"> Liberty Protection Safeguards (LPS). Retrieved from </w:t>
      </w:r>
      <w:hyperlink r:id="rId29" w:history="1">
        <w:r w:rsidRPr="004D6B8B">
          <w:rPr>
            <w:rStyle w:val="Hyperlink"/>
            <w:rFonts w:asciiTheme="minorHAnsi" w:hAnsiTheme="minorHAnsi" w:cstheme="minorHAnsi"/>
            <w:color w:val="auto"/>
          </w:rPr>
          <w:t>https://www.scie.org.uk/mca/dols/practice/lps</w:t>
        </w:r>
      </w:hyperlink>
      <w:r w:rsidRPr="004D6B8B">
        <w:rPr>
          <w:rFonts w:asciiTheme="minorHAnsi" w:hAnsiTheme="minorHAnsi" w:cstheme="minorHAnsi"/>
        </w:rPr>
        <w:t xml:space="preserve"> </w:t>
      </w:r>
    </w:p>
    <w:p w14:paraId="5347081A"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Shah, A., Banner, N., </w:t>
      </w:r>
      <w:proofErr w:type="spellStart"/>
      <w:r w:rsidRPr="004D6B8B">
        <w:rPr>
          <w:rFonts w:asciiTheme="minorHAnsi" w:hAnsiTheme="minorHAnsi" w:cstheme="minorHAnsi"/>
        </w:rPr>
        <w:t>Heginbotham</w:t>
      </w:r>
      <w:proofErr w:type="spellEnd"/>
      <w:r w:rsidRPr="004D6B8B">
        <w:rPr>
          <w:rFonts w:asciiTheme="minorHAnsi" w:hAnsiTheme="minorHAnsi" w:cstheme="minorHAnsi"/>
        </w:rPr>
        <w:t xml:space="preserve">, C., &amp; </w:t>
      </w:r>
      <w:proofErr w:type="spellStart"/>
      <w:r w:rsidRPr="004D6B8B">
        <w:rPr>
          <w:rFonts w:asciiTheme="minorHAnsi" w:hAnsiTheme="minorHAnsi" w:cstheme="minorHAnsi"/>
        </w:rPr>
        <w:t>Fulford</w:t>
      </w:r>
      <w:proofErr w:type="spellEnd"/>
      <w:r w:rsidRPr="004D6B8B">
        <w:rPr>
          <w:rFonts w:asciiTheme="minorHAnsi" w:hAnsiTheme="minorHAnsi" w:cstheme="minorHAnsi"/>
        </w:rPr>
        <w:t xml:space="preserve">, B. (2010). The early experience of Old Age Psychiatrists in the application of the Mental Capacity Act 2005: A pilot study. </w:t>
      </w:r>
      <w:r w:rsidRPr="004D6B8B">
        <w:rPr>
          <w:rFonts w:asciiTheme="minorHAnsi" w:hAnsiTheme="minorHAnsi" w:cstheme="minorHAnsi"/>
          <w:i/>
        </w:rPr>
        <w:t xml:space="preserve">International </w:t>
      </w:r>
      <w:proofErr w:type="spellStart"/>
      <w:r w:rsidRPr="004D6B8B">
        <w:rPr>
          <w:rFonts w:asciiTheme="minorHAnsi" w:hAnsiTheme="minorHAnsi" w:cstheme="minorHAnsi"/>
          <w:i/>
        </w:rPr>
        <w:t>Psychogeriatrics</w:t>
      </w:r>
      <w:proofErr w:type="spellEnd"/>
      <w:r w:rsidRPr="004D6B8B">
        <w:rPr>
          <w:rFonts w:asciiTheme="minorHAnsi" w:hAnsiTheme="minorHAnsi" w:cstheme="minorHAnsi"/>
        </w:rPr>
        <w:t xml:space="preserve">, 22, 147-157.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10.1017/S1041610209990202 </w:t>
      </w:r>
    </w:p>
    <w:p w14:paraId="670EA928" w14:textId="77777777" w:rsidR="00416668" w:rsidRPr="004D6B8B" w:rsidRDefault="00416668" w:rsidP="00416668">
      <w:pPr>
        <w:pStyle w:val="NormalWeb"/>
        <w:rPr>
          <w:rFonts w:asciiTheme="minorHAnsi" w:eastAsiaTheme="minorHAnsi" w:hAnsiTheme="minorHAnsi" w:cstheme="minorHAnsi"/>
          <w:sz w:val="22"/>
          <w:szCs w:val="22"/>
          <w:lang w:val="en-US" w:eastAsia="en-US"/>
        </w:rPr>
      </w:pPr>
      <w:proofErr w:type="spellStart"/>
      <w:r w:rsidRPr="004D6B8B">
        <w:rPr>
          <w:rFonts w:asciiTheme="minorHAnsi" w:hAnsiTheme="minorHAnsi" w:cstheme="minorHAnsi"/>
        </w:rPr>
        <w:t>Smythe</w:t>
      </w:r>
      <w:proofErr w:type="spellEnd"/>
      <w:r w:rsidRPr="004D6B8B">
        <w:rPr>
          <w:rFonts w:asciiTheme="minorHAnsi" w:hAnsiTheme="minorHAnsi" w:cstheme="minorHAnsi"/>
        </w:rPr>
        <w:t>, A., Jenkins, C., Galant-</w:t>
      </w:r>
      <w:proofErr w:type="spellStart"/>
      <w:r w:rsidRPr="004D6B8B">
        <w:rPr>
          <w:rFonts w:asciiTheme="minorHAnsi" w:hAnsiTheme="minorHAnsi" w:cstheme="minorHAnsi"/>
        </w:rPr>
        <w:t>Miecznikowska</w:t>
      </w:r>
      <w:proofErr w:type="spellEnd"/>
      <w:r w:rsidRPr="004D6B8B">
        <w:rPr>
          <w:rFonts w:asciiTheme="minorHAnsi" w:hAnsiTheme="minorHAnsi" w:cstheme="minorHAnsi"/>
        </w:rPr>
        <w:t xml:space="preserve">, M., Bentham, P., &amp; Oyebode, J. (2017). A qualitative study investigating training requirements of nurses working with people with dementia in nursing homes. </w:t>
      </w:r>
      <w:r w:rsidRPr="004D6B8B">
        <w:rPr>
          <w:rFonts w:asciiTheme="minorHAnsi" w:hAnsiTheme="minorHAnsi" w:cstheme="minorHAnsi"/>
          <w:i/>
          <w:iCs/>
        </w:rPr>
        <w:t>Nurse Education Today,</w:t>
      </w:r>
      <w:r w:rsidRPr="004D6B8B">
        <w:rPr>
          <w:rFonts w:asciiTheme="minorHAnsi" w:hAnsiTheme="minorHAnsi" w:cstheme="minorHAnsi"/>
        </w:rPr>
        <w:t xml:space="preserve"> 50, 119-123.</w:t>
      </w:r>
      <w:r w:rsidRPr="004D6B8B">
        <w:rPr>
          <w:rFonts w:asciiTheme="minorHAnsi" w:hAnsiTheme="minorHAnsi" w:cstheme="minorHAnsi"/>
          <w:sz w:val="22"/>
          <w:szCs w:val="22"/>
        </w:rPr>
        <w:t xml:space="preserve"> </w:t>
      </w:r>
      <w:proofErr w:type="spellStart"/>
      <w:r w:rsidRPr="004D6B8B">
        <w:rPr>
          <w:rFonts w:asciiTheme="minorHAnsi" w:hAnsiTheme="minorHAnsi" w:cstheme="minorHAnsi"/>
          <w:sz w:val="22"/>
          <w:szCs w:val="22"/>
        </w:rPr>
        <w:t>Doi</w:t>
      </w:r>
      <w:proofErr w:type="spellEnd"/>
      <w:r w:rsidRPr="004D6B8B">
        <w:rPr>
          <w:rFonts w:asciiTheme="minorHAnsi" w:hAnsiTheme="minorHAnsi" w:cstheme="minorHAnsi"/>
          <w:sz w:val="22"/>
          <w:szCs w:val="22"/>
        </w:rPr>
        <w:t xml:space="preserve">: </w:t>
      </w:r>
      <w:hyperlink r:id="rId30" w:tgtFrame="_blank" w:history="1">
        <w:r w:rsidRPr="004D6B8B">
          <w:rPr>
            <w:rStyle w:val="Hyperlink"/>
            <w:rFonts w:asciiTheme="minorHAnsi" w:hAnsiTheme="minorHAnsi" w:cstheme="minorHAnsi"/>
            <w:color w:val="auto"/>
            <w:sz w:val="22"/>
            <w:szCs w:val="22"/>
          </w:rPr>
          <w:t>10.1016/j.nedt.2016.12.015</w:t>
        </w:r>
      </w:hyperlink>
    </w:p>
    <w:p w14:paraId="132E2176"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Stevens, E. (2013). The Mental Capacity Act 2005: considerations for nursing practice. </w:t>
      </w:r>
      <w:r w:rsidRPr="004D6B8B">
        <w:rPr>
          <w:rFonts w:asciiTheme="minorHAnsi" w:hAnsiTheme="minorHAnsi" w:cstheme="minorHAnsi"/>
          <w:i/>
        </w:rPr>
        <w:t>Nursing Standard</w:t>
      </w:r>
      <w:r w:rsidRPr="004D6B8B">
        <w:rPr>
          <w:rFonts w:asciiTheme="minorHAnsi" w:hAnsiTheme="minorHAnsi" w:cstheme="minorHAnsi"/>
        </w:rPr>
        <w:t xml:space="preserve">, 28, 11-17.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10.7748/ns2013.09.28.2.35.e7909 </w:t>
      </w:r>
    </w:p>
    <w:p w14:paraId="6BC65D18"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Taghizadeh</w:t>
      </w:r>
      <w:proofErr w:type="spellEnd"/>
      <w:r w:rsidRPr="004D6B8B">
        <w:rPr>
          <w:rFonts w:asciiTheme="minorHAnsi" w:hAnsiTheme="minorHAnsi" w:cstheme="minorHAnsi"/>
        </w:rPr>
        <w:t xml:space="preserve"> Larsson, A., &amp; </w:t>
      </w:r>
      <w:proofErr w:type="spellStart"/>
      <w:r w:rsidRPr="004D6B8B">
        <w:rPr>
          <w:rFonts w:asciiTheme="minorHAnsi" w:hAnsiTheme="minorHAnsi" w:cstheme="minorHAnsi"/>
        </w:rPr>
        <w:t>Österholm</w:t>
      </w:r>
      <w:proofErr w:type="spellEnd"/>
      <w:r w:rsidRPr="004D6B8B">
        <w:rPr>
          <w:rFonts w:asciiTheme="minorHAnsi" w:hAnsiTheme="minorHAnsi" w:cstheme="minorHAnsi"/>
        </w:rPr>
        <w:t xml:space="preserve">, J. (2014). How are decisions on care services for people with dementia made and experienced? A systematic review and qualitative synthesis of recent empirical findings. </w:t>
      </w:r>
      <w:r w:rsidRPr="004D6B8B">
        <w:rPr>
          <w:rFonts w:asciiTheme="minorHAnsi" w:hAnsiTheme="minorHAnsi" w:cstheme="minorHAnsi"/>
          <w:i/>
        </w:rPr>
        <w:t xml:space="preserve">International </w:t>
      </w:r>
      <w:proofErr w:type="spellStart"/>
      <w:r w:rsidRPr="004D6B8B">
        <w:rPr>
          <w:rFonts w:asciiTheme="minorHAnsi" w:hAnsiTheme="minorHAnsi" w:cstheme="minorHAnsi"/>
          <w:i/>
        </w:rPr>
        <w:t>Psychogeriatrics</w:t>
      </w:r>
      <w:proofErr w:type="spellEnd"/>
      <w:r w:rsidRPr="004D6B8B">
        <w:rPr>
          <w:rFonts w:asciiTheme="minorHAnsi" w:hAnsiTheme="minorHAnsi" w:cstheme="minorHAnsi"/>
          <w:i/>
        </w:rPr>
        <w:t>,</w:t>
      </w:r>
      <w:r w:rsidRPr="004D6B8B">
        <w:rPr>
          <w:rFonts w:asciiTheme="minorHAnsi" w:hAnsiTheme="minorHAnsi" w:cstheme="minorHAnsi"/>
        </w:rPr>
        <w:t xml:space="preserve"> 26, 1849-1862.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10.1017/S104161021400132X </w:t>
      </w:r>
    </w:p>
    <w:p w14:paraId="33EE4885"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United Nations (2006). Convention on the rights of persons with disabilities. Retrieved from </w:t>
      </w:r>
      <w:hyperlink r:id="rId31" w:history="1">
        <w:r w:rsidRPr="004D6B8B">
          <w:rPr>
            <w:rStyle w:val="Hyperlink"/>
            <w:rFonts w:asciiTheme="minorHAnsi" w:hAnsiTheme="minorHAnsi" w:cstheme="minorHAnsi"/>
            <w:color w:val="auto"/>
          </w:rPr>
          <w:t>https://www.un.org/development/desa/disabilities/convention-on-the-rights-of-persons-with-disabilities.html</w:t>
        </w:r>
      </w:hyperlink>
      <w:r w:rsidRPr="004D6B8B">
        <w:rPr>
          <w:rFonts w:asciiTheme="minorHAnsi" w:hAnsiTheme="minorHAnsi" w:cstheme="minorHAnsi"/>
        </w:rPr>
        <w:t xml:space="preserve"> </w:t>
      </w:r>
    </w:p>
    <w:p w14:paraId="5760F83F"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Ward, O. (2005). A New Legal Framework for Decision Making: the Mental Capacity </w:t>
      </w:r>
      <w:proofErr w:type="spellStart"/>
      <w:r w:rsidRPr="004D6B8B">
        <w:rPr>
          <w:rFonts w:asciiTheme="minorHAnsi" w:hAnsiTheme="minorHAnsi" w:cstheme="minorHAnsi"/>
        </w:rPr>
        <w:t>ALRCRefJl</w:t>
      </w:r>
      <w:proofErr w:type="spellEnd"/>
      <w:r w:rsidRPr="004D6B8B">
        <w:rPr>
          <w:rFonts w:asciiTheme="minorHAnsi" w:hAnsiTheme="minorHAnsi" w:cstheme="minorHAnsi"/>
        </w:rPr>
        <w:t xml:space="preserve"> 18</w:t>
      </w:r>
      <w:proofErr w:type="gramStart"/>
      <w:r w:rsidRPr="004D6B8B">
        <w:rPr>
          <w:rFonts w:asciiTheme="minorHAnsi" w:hAnsiTheme="minorHAnsi" w:cstheme="minorHAnsi"/>
        </w:rPr>
        <w:t>,  86</w:t>
      </w:r>
      <w:proofErr w:type="gramEnd"/>
      <w:r w:rsidRPr="004D6B8B">
        <w:rPr>
          <w:rFonts w:asciiTheme="minorHAnsi" w:hAnsiTheme="minorHAnsi" w:cstheme="minorHAnsi"/>
        </w:rPr>
        <w:t xml:space="preserve"> </w:t>
      </w:r>
      <w:r w:rsidRPr="004D6B8B">
        <w:rPr>
          <w:rFonts w:asciiTheme="minorHAnsi" w:hAnsiTheme="minorHAnsi" w:cstheme="minorHAnsi"/>
          <w:i/>
        </w:rPr>
        <w:t>Australian Law Reform Commission Reform Journal</w:t>
      </w:r>
      <w:r w:rsidRPr="004D6B8B">
        <w:rPr>
          <w:rFonts w:asciiTheme="minorHAnsi" w:hAnsiTheme="minorHAnsi" w:cstheme="minorHAnsi"/>
        </w:rPr>
        <w:t xml:space="preserve"> 67-70 </w:t>
      </w:r>
      <w:proofErr w:type="spellStart"/>
      <w:r w:rsidRPr="004D6B8B">
        <w:rPr>
          <w:rFonts w:asciiTheme="minorHAnsi" w:hAnsiTheme="minorHAnsi" w:cstheme="minorHAnsi"/>
        </w:rPr>
        <w:t>doi</w:t>
      </w:r>
      <w:proofErr w:type="spellEnd"/>
      <w:r w:rsidRPr="004D6B8B">
        <w:rPr>
          <w:rFonts w:asciiTheme="minorHAnsi" w:hAnsiTheme="minorHAnsi" w:cstheme="minorHAnsi"/>
        </w:rPr>
        <w:t xml:space="preserve">: </w:t>
      </w:r>
      <w:hyperlink r:id="rId32" w:history="1">
        <w:r w:rsidRPr="004D6B8B">
          <w:rPr>
            <w:rStyle w:val="Hyperlink"/>
            <w:rFonts w:asciiTheme="minorHAnsi" w:hAnsiTheme="minorHAnsi" w:cstheme="minorHAnsi"/>
            <w:color w:val="auto"/>
          </w:rPr>
          <w:t>http://www.austlii.edu.au/au/journals/ALRCRefJl/2005/18.html</w:t>
        </w:r>
      </w:hyperlink>
      <w:r w:rsidRPr="004D6B8B">
        <w:rPr>
          <w:rFonts w:asciiTheme="minorHAnsi" w:hAnsiTheme="minorHAnsi" w:cstheme="minorHAnsi"/>
        </w:rPr>
        <w:t xml:space="preserve"> </w:t>
      </w:r>
    </w:p>
    <w:p w14:paraId="3E20723D"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t>Willner</w:t>
      </w:r>
      <w:proofErr w:type="spellEnd"/>
      <w:r w:rsidRPr="004D6B8B">
        <w:rPr>
          <w:rFonts w:asciiTheme="minorHAnsi" w:hAnsiTheme="minorHAnsi" w:cstheme="minorHAnsi"/>
        </w:rPr>
        <w:t xml:space="preserve">, P., Bridle, J., Dymond, S., &amp; Lewis, G. (2011). What do newly appointed health staff know about the Mental Capacity Act (2005)? </w:t>
      </w:r>
      <w:r w:rsidRPr="004D6B8B">
        <w:rPr>
          <w:rFonts w:asciiTheme="minorHAnsi" w:hAnsiTheme="minorHAnsi" w:cstheme="minorHAnsi"/>
          <w:i/>
        </w:rPr>
        <w:t>Medicine, Science and the Law</w:t>
      </w:r>
      <w:r w:rsidRPr="004D6B8B">
        <w:rPr>
          <w:rFonts w:asciiTheme="minorHAnsi" w:hAnsiTheme="minorHAnsi" w:cstheme="minorHAnsi"/>
        </w:rPr>
        <w:t xml:space="preserve">, 51, 2, 97-101.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10.1258/msl.2011.010120  </w:t>
      </w:r>
    </w:p>
    <w:p w14:paraId="7DCB5078" w14:textId="77777777" w:rsidR="00416668" w:rsidRPr="004D6B8B" w:rsidRDefault="00416668" w:rsidP="00416668">
      <w:pPr>
        <w:pStyle w:val="NormalWeb"/>
        <w:rPr>
          <w:rFonts w:asciiTheme="minorHAnsi" w:hAnsiTheme="minorHAnsi" w:cstheme="minorHAnsi"/>
        </w:rPr>
      </w:pPr>
      <w:proofErr w:type="spellStart"/>
      <w:r w:rsidRPr="004D6B8B">
        <w:rPr>
          <w:rFonts w:asciiTheme="minorHAnsi" w:hAnsiTheme="minorHAnsi" w:cstheme="minorHAnsi"/>
        </w:rPr>
        <w:lastRenderedPageBreak/>
        <w:t>Willner</w:t>
      </w:r>
      <w:proofErr w:type="spellEnd"/>
      <w:r w:rsidRPr="004D6B8B">
        <w:rPr>
          <w:rFonts w:asciiTheme="minorHAnsi" w:hAnsiTheme="minorHAnsi" w:cstheme="minorHAnsi"/>
        </w:rPr>
        <w:t xml:space="preserve">, P., Bridle, J., Price, V., Dymond, S., &amp; Lewis, G. (2013). What do NHS staff learn from training on the Mental Capacity Act (2005)? </w:t>
      </w:r>
      <w:r w:rsidRPr="004D6B8B">
        <w:rPr>
          <w:rFonts w:asciiTheme="minorHAnsi" w:hAnsiTheme="minorHAnsi" w:cstheme="minorHAnsi"/>
          <w:i/>
        </w:rPr>
        <w:t>Legal and Criminological Psychology</w:t>
      </w:r>
      <w:r w:rsidRPr="004D6B8B">
        <w:rPr>
          <w:rFonts w:asciiTheme="minorHAnsi" w:hAnsiTheme="minorHAnsi" w:cstheme="minorHAnsi"/>
        </w:rPr>
        <w:t xml:space="preserve">, 18, 83-101.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10.1111/j.2044-8333.2011.02035.x </w:t>
      </w:r>
    </w:p>
    <w:p w14:paraId="7BDB0247"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Wilson, E., Seymour, J. E., &amp; Perkins, P. (2010). Working with the Mental Capacity Act: findings from specialist palliative and neurological care settings. </w:t>
      </w:r>
      <w:r w:rsidRPr="004D6B8B">
        <w:rPr>
          <w:rFonts w:asciiTheme="minorHAnsi" w:hAnsiTheme="minorHAnsi" w:cstheme="minorHAnsi"/>
          <w:i/>
        </w:rPr>
        <w:t>Palliative Medicine</w:t>
      </w:r>
      <w:r w:rsidRPr="004D6B8B">
        <w:rPr>
          <w:rFonts w:asciiTheme="minorHAnsi" w:hAnsiTheme="minorHAnsi" w:cstheme="minorHAnsi"/>
        </w:rPr>
        <w:t xml:space="preserve">, 24, 396-402.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10.1177/0269216309360739</w:t>
      </w:r>
    </w:p>
    <w:p w14:paraId="1BF35335" w14:textId="77777777" w:rsidR="00416668" w:rsidRPr="004D6B8B" w:rsidRDefault="00416668" w:rsidP="00416668">
      <w:pPr>
        <w:pStyle w:val="NormalWeb"/>
        <w:rPr>
          <w:rFonts w:asciiTheme="minorHAnsi" w:hAnsiTheme="minorHAnsi" w:cstheme="minorHAnsi"/>
        </w:rPr>
      </w:pPr>
      <w:r w:rsidRPr="004D6B8B">
        <w:rPr>
          <w:rFonts w:asciiTheme="minorHAnsi" w:hAnsiTheme="minorHAnsi" w:cstheme="minorHAnsi"/>
        </w:rPr>
        <w:t xml:space="preserve">Wu, X. V., Chan, Y. S., Tan, K. H. S., &amp; Wang, W. (2018). A systematic review of online learning programs for nurse preceptors. </w:t>
      </w:r>
      <w:r w:rsidRPr="004D6B8B">
        <w:rPr>
          <w:rFonts w:asciiTheme="minorHAnsi" w:hAnsiTheme="minorHAnsi" w:cstheme="minorHAnsi"/>
          <w:i/>
        </w:rPr>
        <w:t>Nurse Education Today</w:t>
      </w:r>
      <w:r w:rsidRPr="004D6B8B">
        <w:rPr>
          <w:rFonts w:asciiTheme="minorHAnsi" w:hAnsiTheme="minorHAnsi" w:cstheme="minorHAnsi"/>
        </w:rPr>
        <w:t xml:space="preserve">, 60, 11-22. </w:t>
      </w:r>
      <w:proofErr w:type="spellStart"/>
      <w:proofErr w:type="gramStart"/>
      <w:r w:rsidRPr="004D6B8B">
        <w:rPr>
          <w:rFonts w:asciiTheme="minorHAnsi" w:hAnsiTheme="minorHAnsi" w:cstheme="minorHAnsi"/>
        </w:rPr>
        <w:t>doi</w:t>
      </w:r>
      <w:proofErr w:type="spellEnd"/>
      <w:proofErr w:type="gramEnd"/>
      <w:r w:rsidRPr="004D6B8B">
        <w:rPr>
          <w:rFonts w:asciiTheme="minorHAnsi" w:hAnsiTheme="minorHAnsi" w:cstheme="minorHAnsi"/>
        </w:rPr>
        <w:t xml:space="preserve">: </w:t>
      </w:r>
      <w:hyperlink r:id="rId33" w:history="1">
        <w:r w:rsidRPr="004D6B8B">
          <w:rPr>
            <w:rStyle w:val="Hyperlink"/>
            <w:rFonts w:asciiTheme="minorHAnsi" w:hAnsiTheme="minorHAnsi" w:cstheme="minorHAnsi"/>
            <w:color w:val="auto"/>
          </w:rPr>
          <w:t>https://doi.org/10.1016/j.nedt.2017.09.010</w:t>
        </w:r>
      </w:hyperlink>
    </w:p>
    <w:p w14:paraId="60CBE401" w14:textId="77777777" w:rsidR="00416668" w:rsidRPr="004D6B8B" w:rsidRDefault="00416668" w:rsidP="00416668">
      <w:pPr>
        <w:rPr>
          <w:rFonts w:ascii="Verdana" w:hAnsi="Verdana"/>
        </w:rPr>
      </w:pPr>
    </w:p>
    <w:p w14:paraId="1766F84E" w14:textId="37FACD2E" w:rsidR="00416668" w:rsidRPr="004D6B8B" w:rsidRDefault="00416668" w:rsidP="00CC67CD">
      <w:pPr>
        <w:rPr>
          <w:rFonts w:cstheme="minorHAnsi"/>
        </w:rPr>
      </w:pPr>
    </w:p>
    <w:p w14:paraId="2B9E2A4A" w14:textId="77777777" w:rsidR="00416668" w:rsidRPr="004D6B8B" w:rsidRDefault="00416668" w:rsidP="00CC67CD">
      <w:pPr>
        <w:rPr>
          <w:rFonts w:cstheme="minorHAnsi"/>
        </w:rPr>
        <w:sectPr w:rsidR="00416668" w:rsidRPr="004D6B8B">
          <w:headerReference w:type="default" r:id="rId34"/>
          <w:footerReference w:type="default" r:id="rId35"/>
          <w:pgSz w:w="12240" w:h="15840"/>
          <w:pgMar w:top="1440" w:right="1440" w:bottom="1440" w:left="1440" w:header="708" w:footer="708" w:gutter="0"/>
          <w:cols w:space="708"/>
          <w:docGrid w:linePitch="360"/>
        </w:sectPr>
      </w:pPr>
      <w:bookmarkStart w:id="10" w:name="_GoBack"/>
      <w:bookmarkEnd w:id="10"/>
    </w:p>
    <w:p w14:paraId="36183064" w14:textId="77777777" w:rsidR="00EC4365" w:rsidRPr="004D6B8B" w:rsidRDefault="00EC4365" w:rsidP="1B21B23D">
      <w:pPr>
        <w:rPr>
          <w:rFonts w:cstheme="minorHAnsi"/>
          <w:sz w:val="20"/>
          <w:szCs w:val="20"/>
        </w:rPr>
      </w:pPr>
    </w:p>
    <w:sectPr w:rsidR="00EC4365" w:rsidRPr="004D6B8B" w:rsidSect="00EC4365">
      <w:headerReference w:type="default" r:id="rId36"/>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AAEAD" w14:textId="77777777" w:rsidR="00C06B48" w:rsidRDefault="00C06B48" w:rsidP="00E03642">
      <w:pPr>
        <w:spacing w:after="0" w:line="240" w:lineRule="auto"/>
      </w:pPr>
      <w:r>
        <w:separator/>
      </w:r>
    </w:p>
  </w:endnote>
  <w:endnote w:type="continuationSeparator" w:id="0">
    <w:p w14:paraId="502734C2" w14:textId="77777777" w:rsidR="00C06B48" w:rsidRDefault="00C06B48" w:rsidP="00E0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603979"/>
      <w:docPartObj>
        <w:docPartGallery w:val="Page Numbers (Bottom of Page)"/>
        <w:docPartUnique/>
      </w:docPartObj>
    </w:sdtPr>
    <w:sdtEndPr>
      <w:rPr>
        <w:noProof/>
      </w:rPr>
    </w:sdtEndPr>
    <w:sdtContent>
      <w:p w14:paraId="2EFC9207" w14:textId="727E761D" w:rsidR="00CB0B72" w:rsidRDefault="00CB0B72">
        <w:pPr>
          <w:pStyle w:val="Footer"/>
          <w:jc w:val="center"/>
        </w:pPr>
        <w:r>
          <w:fldChar w:fldCharType="begin"/>
        </w:r>
        <w:r>
          <w:instrText xml:space="preserve"> PAGE   \* MERGEFORMAT </w:instrText>
        </w:r>
        <w:r>
          <w:fldChar w:fldCharType="separate"/>
        </w:r>
        <w:r w:rsidR="00140A93">
          <w:rPr>
            <w:noProof/>
          </w:rPr>
          <w:t>24</w:t>
        </w:r>
        <w:r>
          <w:rPr>
            <w:noProof/>
          </w:rPr>
          <w:fldChar w:fldCharType="end"/>
        </w:r>
      </w:p>
    </w:sdtContent>
  </w:sdt>
  <w:p w14:paraId="62EB6A10" w14:textId="77777777" w:rsidR="00FD0585" w:rsidRDefault="00FD0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D91DE" w14:textId="77777777" w:rsidR="00C06B48" w:rsidRDefault="00C06B48" w:rsidP="00E03642">
      <w:pPr>
        <w:spacing w:after="0" w:line="240" w:lineRule="auto"/>
      </w:pPr>
      <w:r>
        <w:separator/>
      </w:r>
    </w:p>
  </w:footnote>
  <w:footnote w:type="continuationSeparator" w:id="0">
    <w:p w14:paraId="17EBB2D0" w14:textId="77777777" w:rsidR="00C06B48" w:rsidRDefault="00C06B48" w:rsidP="00E0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61368" w14:textId="667EAA97" w:rsidR="00EA17EF" w:rsidRDefault="00EA17EF">
    <w:pPr>
      <w:pStyle w:val="Header"/>
    </w:pPr>
    <w:r w:rsidRPr="00EA17EF">
      <w:t>'What is the nature of Mental Capacity Act training and how do health and social care practitioners change their practice post-training? A narrative review</w:t>
    </w:r>
  </w:p>
  <w:p w14:paraId="7E2320A5" w14:textId="77777777" w:rsidR="00FD0585" w:rsidRDefault="00FD0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DE38A" w14:textId="563DA462" w:rsidR="00FD0585" w:rsidRPr="00F26709" w:rsidRDefault="00FD0585" w:rsidP="00E03642">
    <w:pPr>
      <w:rPr>
        <w:rFonts w:cstheme="minorHAnsi"/>
        <w:strike/>
        <w:sz w:val="16"/>
        <w:szCs w:val="16"/>
      </w:rPr>
    </w:pPr>
    <w:bookmarkStart w:id="11" w:name="_Hlk527291139"/>
    <w:r w:rsidRPr="00F26709">
      <w:rPr>
        <w:rFonts w:cstheme="minorHAnsi"/>
        <w:sz w:val="16"/>
        <w:szCs w:val="16"/>
        <w:lang w:val="en-GB"/>
      </w:rPr>
      <w:t>How do registered health and social care practitioners change their practice post Mental Capacity Act training</w:t>
    </w:r>
    <w:bookmarkEnd w:id="11"/>
    <w:r w:rsidRPr="00F26709">
      <w:rPr>
        <w:rFonts w:cstheme="minorHAnsi"/>
        <w:sz w:val="16"/>
        <w:szCs w:val="16"/>
        <w:lang w:val="en-GB"/>
      </w:rPr>
      <w:t>? A narrative review</w:t>
    </w:r>
    <w:r>
      <w:rPr>
        <w:rFonts w:cstheme="minorHAnsi"/>
        <w:sz w:val="16"/>
        <w:szCs w:val="16"/>
        <w:lang w:val="en-GB"/>
      </w:rPr>
      <w:t xml:space="preserve"> FC4.4.19</w:t>
    </w:r>
    <w:r w:rsidRPr="00F26709">
      <w:rPr>
        <w:rFonts w:cstheme="minorHAnsi"/>
        <w:sz w:val="16"/>
        <w:szCs w:val="16"/>
        <w:lang w:val="en-GB"/>
      </w:rPr>
      <w:t xml:space="preserve">  </w:t>
    </w:r>
  </w:p>
  <w:p w14:paraId="4BFFA743" w14:textId="1245AC86" w:rsidR="00FD0585" w:rsidRDefault="00FD0585">
    <w:pPr>
      <w:pStyle w:val="Header"/>
    </w:pPr>
  </w:p>
  <w:p w14:paraId="25BBC057" w14:textId="77777777" w:rsidR="00FD0585" w:rsidRDefault="00FD0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6E70"/>
    <w:multiLevelType w:val="hybridMultilevel"/>
    <w:tmpl w:val="0718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F0474"/>
    <w:multiLevelType w:val="hybridMultilevel"/>
    <w:tmpl w:val="8C64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A4B85"/>
    <w:multiLevelType w:val="hybridMultilevel"/>
    <w:tmpl w:val="4E1A8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A0A6B"/>
    <w:multiLevelType w:val="hybridMultilevel"/>
    <w:tmpl w:val="D7B0F258"/>
    <w:lvl w:ilvl="0" w:tplc="BDDC4434">
      <w:start w:val="1"/>
      <w:numFmt w:val="bullet"/>
      <w:lvlText w:val=""/>
      <w:lvlJc w:val="left"/>
      <w:pPr>
        <w:ind w:left="720" w:hanging="360"/>
      </w:pPr>
      <w:rPr>
        <w:rFonts w:ascii="Symbol" w:hAnsi="Symbol" w:hint="default"/>
      </w:rPr>
    </w:lvl>
    <w:lvl w:ilvl="1" w:tplc="EE221474">
      <w:start w:val="1"/>
      <w:numFmt w:val="bullet"/>
      <w:lvlText w:val="o"/>
      <w:lvlJc w:val="left"/>
      <w:pPr>
        <w:ind w:left="1440" w:hanging="360"/>
      </w:pPr>
      <w:rPr>
        <w:rFonts w:ascii="Courier New" w:hAnsi="Courier New" w:hint="default"/>
      </w:rPr>
    </w:lvl>
    <w:lvl w:ilvl="2" w:tplc="299A7674">
      <w:start w:val="1"/>
      <w:numFmt w:val="bullet"/>
      <w:lvlText w:val=""/>
      <w:lvlJc w:val="left"/>
      <w:pPr>
        <w:ind w:left="2160" w:hanging="360"/>
      </w:pPr>
      <w:rPr>
        <w:rFonts w:ascii="Wingdings" w:hAnsi="Wingdings" w:hint="default"/>
      </w:rPr>
    </w:lvl>
    <w:lvl w:ilvl="3" w:tplc="BF30040E">
      <w:start w:val="1"/>
      <w:numFmt w:val="bullet"/>
      <w:lvlText w:val=""/>
      <w:lvlJc w:val="left"/>
      <w:pPr>
        <w:ind w:left="2880" w:hanging="360"/>
      </w:pPr>
      <w:rPr>
        <w:rFonts w:ascii="Symbol" w:hAnsi="Symbol" w:hint="default"/>
      </w:rPr>
    </w:lvl>
    <w:lvl w:ilvl="4" w:tplc="D29429B0">
      <w:start w:val="1"/>
      <w:numFmt w:val="bullet"/>
      <w:lvlText w:val="o"/>
      <w:lvlJc w:val="left"/>
      <w:pPr>
        <w:ind w:left="3600" w:hanging="360"/>
      </w:pPr>
      <w:rPr>
        <w:rFonts w:ascii="Courier New" w:hAnsi="Courier New" w:hint="default"/>
      </w:rPr>
    </w:lvl>
    <w:lvl w:ilvl="5" w:tplc="BD862FCC">
      <w:start w:val="1"/>
      <w:numFmt w:val="bullet"/>
      <w:lvlText w:val=""/>
      <w:lvlJc w:val="left"/>
      <w:pPr>
        <w:ind w:left="4320" w:hanging="360"/>
      </w:pPr>
      <w:rPr>
        <w:rFonts w:ascii="Wingdings" w:hAnsi="Wingdings" w:hint="default"/>
      </w:rPr>
    </w:lvl>
    <w:lvl w:ilvl="6" w:tplc="0E6ED0DA">
      <w:start w:val="1"/>
      <w:numFmt w:val="bullet"/>
      <w:lvlText w:val=""/>
      <w:lvlJc w:val="left"/>
      <w:pPr>
        <w:ind w:left="5040" w:hanging="360"/>
      </w:pPr>
      <w:rPr>
        <w:rFonts w:ascii="Symbol" w:hAnsi="Symbol" w:hint="default"/>
      </w:rPr>
    </w:lvl>
    <w:lvl w:ilvl="7" w:tplc="CAA6E096">
      <w:start w:val="1"/>
      <w:numFmt w:val="bullet"/>
      <w:lvlText w:val="o"/>
      <w:lvlJc w:val="left"/>
      <w:pPr>
        <w:ind w:left="5760" w:hanging="360"/>
      </w:pPr>
      <w:rPr>
        <w:rFonts w:ascii="Courier New" w:hAnsi="Courier New" w:hint="default"/>
      </w:rPr>
    </w:lvl>
    <w:lvl w:ilvl="8" w:tplc="6B90DCB8">
      <w:start w:val="1"/>
      <w:numFmt w:val="bullet"/>
      <w:lvlText w:val=""/>
      <w:lvlJc w:val="left"/>
      <w:pPr>
        <w:ind w:left="6480" w:hanging="360"/>
      </w:pPr>
      <w:rPr>
        <w:rFonts w:ascii="Wingdings" w:hAnsi="Wingdings" w:hint="default"/>
      </w:rPr>
    </w:lvl>
  </w:abstractNum>
  <w:abstractNum w:abstractNumId="4" w15:restartNumberingAfterBreak="0">
    <w:nsid w:val="2AB34579"/>
    <w:multiLevelType w:val="hybridMultilevel"/>
    <w:tmpl w:val="06622290"/>
    <w:lvl w:ilvl="0" w:tplc="5C36E130">
      <w:start w:val="1"/>
      <w:numFmt w:val="bullet"/>
      <w:lvlText w:val=""/>
      <w:lvlJc w:val="left"/>
      <w:pPr>
        <w:ind w:left="720" w:hanging="360"/>
      </w:pPr>
      <w:rPr>
        <w:rFonts w:ascii="Symbol" w:hAnsi="Symbol" w:hint="default"/>
      </w:rPr>
    </w:lvl>
    <w:lvl w:ilvl="1" w:tplc="8E803DCA">
      <w:start w:val="1"/>
      <w:numFmt w:val="bullet"/>
      <w:lvlText w:val="o"/>
      <w:lvlJc w:val="left"/>
      <w:pPr>
        <w:ind w:left="1440" w:hanging="360"/>
      </w:pPr>
      <w:rPr>
        <w:rFonts w:ascii="Courier New" w:hAnsi="Courier New" w:hint="default"/>
      </w:rPr>
    </w:lvl>
    <w:lvl w:ilvl="2" w:tplc="EB9C653E">
      <w:start w:val="1"/>
      <w:numFmt w:val="bullet"/>
      <w:lvlText w:val=""/>
      <w:lvlJc w:val="left"/>
      <w:pPr>
        <w:ind w:left="2160" w:hanging="360"/>
      </w:pPr>
      <w:rPr>
        <w:rFonts w:ascii="Wingdings" w:hAnsi="Wingdings" w:hint="default"/>
      </w:rPr>
    </w:lvl>
    <w:lvl w:ilvl="3" w:tplc="92F89DC2">
      <w:start w:val="1"/>
      <w:numFmt w:val="bullet"/>
      <w:lvlText w:val=""/>
      <w:lvlJc w:val="left"/>
      <w:pPr>
        <w:ind w:left="2880" w:hanging="360"/>
      </w:pPr>
      <w:rPr>
        <w:rFonts w:ascii="Symbol" w:hAnsi="Symbol" w:hint="default"/>
      </w:rPr>
    </w:lvl>
    <w:lvl w:ilvl="4" w:tplc="8F0A1E94">
      <w:start w:val="1"/>
      <w:numFmt w:val="bullet"/>
      <w:lvlText w:val="o"/>
      <w:lvlJc w:val="left"/>
      <w:pPr>
        <w:ind w:left="3600" w:hanging="360"/>
      </w:pPr>
      <w:rPr>
        <w:rFonts w:ascii="Courier New" w:hAnsi="Courier New" w:hint="default"/>
      </w:rPr>
    </w:lvl>
    <w:lvl w:ilvl="5" w:tplc="7492A3C4">
      <w:start w:val="1"/>
      <w:numFmt w:val="bullet"/>
      <w:lvlText w:val=""/>
      <w:lvlJc w:val="left"/>
      <w:pPr>
        <w:ind w:left="4320" w:hanging="360"/>
      </w:pPr>
      <w:rPr>
        <w:rFonts w:ascii="Wingdings" w:hAnsi="Wingdings" w:hint="default"/>
      </w:rPr>
    </w:lvl>
    <w:lvl w:ilvl="6" w:tplc="0374BFF6">
      <w:start w:val="1"/>
      <w:numFmt w:val="bullet"/>
      <w:lvlText w:val=""/>
      <w:lvlJc w:val="left"/>
      <w:pPr>
        <w:ind w:left="5040" w:hanging="360"/>
      </w:pPr>
      <w:rPr>
        <w:rFonts w:ascii="Symbol" w:hAnsi="Symbol" w:hint="default"/>
      </w:rPr>
    </w:lvl>
    <w:lvl w:ilvl="7" w:tplc="BE4045E4">
      <w:start w:val="1"/>
      <w:numFmt w:val="bullet"/>
      <w:lvlText w:val="o"/>
      <w:lvlJc w:val="left"/>
      <w:pPr>
        <w:ind w:left="5760" w:hanging="360"/>
      </w:pPr>
      <w:rPr>
        <w:rFonts w:ascii="Courier New" w:hAnsi="Courier New" w:hint="default"/>
      </w:rPr>
    </w:lvl>
    <w:lvl w:ilvl="8" w:tplc="B95A695A">
      <w:start w:val="1"/>
      <w:numFmt w:val="bullet"/>
      <w:lvlText w:val=""/>
      <w:lvlJc w:val="left"/>
      <w:pPr>
        <w:ind w:left="6480" w:hanging="360"/>
      </w:pPr>
      <w:rPr>
        <w:rFonts w:ascii="Wingdings" w:hAnsi="Wingdings" w:hint="default"/>
      </w:rPr>
    </w:lvl>
  </w:abstractNum>
  <w:abstractNum w:abstractNumId="5" w15:restartNumberingAfterBreak="0">
    <w:nsid w:val="31E97025"/>
    <w:multiLevelType w:val="hybridMultilevel"/>
    <w:tmpl w:val="A28EBEB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6" w15:restartNumberingAfterBreak="0">
    <w:nsid w:val="620A53A2"/>
    <w:multiLevelType w:val="hybridMultilevel"/>
    <w:tmpl w:val="8F78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B819F7"/>
    <w:multiLevelType w:val="hybridMultilevel"/>
    <w:tmpl w:val="9138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B70B72"/>
    <w:multiLevelType w:val="hybridMultilevel"/>
    <w:tmpl w:val="8896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0"/>
  </w:num>
  <w:num w:numId="5">
    <w:abstractNumId w:val="7"/>
  </w:num>
  <w:num w:numId="6">
    <w:abstractNumId w:val="4"/>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E0"/>
    <w:rsid w:val="00003F33"/>
    <w:rsid w:val="00010D7D"/>
    <w:rsid w:val="00031345"/>
    <w:rsid w:val="00035BE1"/>
    <w:rsid w:val="00040C1C"/>
    <w:rsid w:val="000477C1"/>
    <w:rsid w:val="000543A2"/>
    <w:rsid w:val="000544D4"/>
    <w:rsid w:val="00064D29"/>
    <w:rsid w:val="000777E0"/>
    <w:rsid w:val="00086FA0"/>
    <w:rsid w:val="0009496E"/>
    <w:rsid w:val="000A1C66"/>
    <w:rsid w:val="000C281F"/>
    <w:rsid w:val="000C3462"/>
    <w:rsid w:val="000C59F0"/>
    <w:rsid w:val="000D15AD"/>
    <w:rsid w:val="000F5045"/>
    <w:rsid w:val="00104CB2"/>
    <w:rsid w:val="001259AF"/>
    <w:rsid w:val="001268BD"/>
    <w:rsid w:val="00140A93"/>
    <w:rsid w:val="00144609"/>
    <w:rsid w:val="00162853"/>
    <w:rsid w:val="0016551F"/>
    <w:rsid w:val="0017061A"/>
    <w:rsid w:val="00181AAB"/>
    <w:rsid w:val="00183287"/>
    <w:rsid w:val="00197D4B"/>
    <w:rsid w:val="001A0F54"/>
    <w:rsid w:val="001A412C"/>
    <w:rsid w:val="001B136D"/>
    <w:rsid w:val="001C1CFC"/>
    <w:rsid w:val="001C2837"/>
    <w:rsid w:val="001C60A8"/>
    <w:rsid w:val="001C6E65"/>
    <w:rsid w:val="001D040D"/>
    <w:rsid w:val="001F3F29"/>
    <w:rsid w:val="001F4093"/>
    <w:rsid w:val="001F50F0"/>
    <w:rsid w:val="001F7790"/>
    <w:rsid w:val="00202CA1"/>
    <w:rsid w:val="0020790F"/>
    <w:rsid w:val="00210882"/>
    <w:rsid w:val="002157FD"/>
    <w:rsid w:val="002203EB"/>
    <w:rsid w:val="002224DB"/>
    <w:rsid w:val="00226760"/>
    <w:rsid w:val="002325CF"/>
    <w:rsid w:val="00236291"/>
    <w:rsid w:val="0024196A"/>
    <w:rsid w:val="0024380C"/>
    <w:rsid w:val="002472BA"/>
    <w:rsid w:val="00253C65"/>
    <w:rsid w:val="00254F25"/>
    <w:rsid w:val="002552F2"/>
    <w:rsid w:val="00263112"/>
    <w:rsid w:val="002638E8"/>
    <w:rsid w:val="0027457E"/>
    <w:rsid w:val="00274675"/>
    <w:rsid w:val="00275BFC"/>
    <w:rsid w:val="002944EB"/>
    <w:rsid w:val="00295002"/>
    <w:rsid w:val="002975A5"/>
    <w:rsid w:val="002A189B"/>
    <w:rsid w:val="002A6AFC"/>
    <w:rsid w:val="002C1503"/>
    <w:rsid w:val="002E39DB"/>
    <w:rsid w:val="002E6613"/>
    <w:rsid w:val="002E7584"/>
    <w:rsid w:val="003000E9"/>
    <w:rsid w:val="003071A4"/>
    <w:rsid w:val="00312707"/>
    <w:rsid w:val="00312FFE"/>
    <w:rsid w:val="00317D16"/>
    <w:rsid w:val="003264A0"/>
    <w:rsid w:val="00330B2F"/>
    <w:rsid w:val="003367ED"/>
    <w:rsid w:val="00336B3B"/>
    <w:rsid w:val="0034087F"/>
    <w:rsid w:val="003427BC"/>
    <w:rsid w:val="003506C9"/>
    <w:rsid w:val="003527DE"/>
    <w:rsid w:val="00364F15"/>
    <w:rsid w:val="003671A3"/>
    <w:rsid w:val="0037125C"/>
    <w:rsid w:val="003731FA"/>
    <w:rsid w:val="00384C0F"/>
    <w:rsid w:val="0039319E"/>
    <w:rsid w:val="003D0412"/>
    <w:rsid w:val="003D30CD"/>
    <w:rsid w:val="003E14AB"/>
    <w:rsid w:val="003E39D5"/>
    <w:rsid w:val="003E3FD9"/>
    <w:rsid w:val="003E4427"/>
    <w:rsid w:val="003F0214"/>
    <w:rsid w:val="00407DA3"/>
    <w:rsid w:val="00407FC2"/>
    <w:rsid w:val="00416668"/>
    <w:rsid w:val="00442E24"/>
    <w:rsid w:val="004472E0"/>
    <w:rsid w:val="0046628F"/>
    <w:rsid w:val="00494256"/>
    <w:rsid w:val="004B3A6B"/>
    <w:rsid w:val="004B4E72"/>
    <w:rsid w:val="004C0A72"/>
    <w:rsid w:val="004D6B8B"/>
    <w:rsid w:val="004F57A9"/>
    <w:rsid w:val="004F74A3"/>
    <w:rsid w:val="004F767E"/>
    <w:rsid w:val="004F79DD"/>
    <w:rsid w:val="00504524"/>
    <w:rsid w:val="005045E7"/>
    <w:rsid w:val="0053204F"/>
    <w:rsid w:val="0055712D"/>
    <w:rsid w:val="005653EE"/>
    <w:rsid w:val="0056672F"/>
    <w:rsid w:val="00570DFC"/>
    <w:rsid w:val="00591FBE"/>
    <w:rsid w:val="00595C4A"/>
    <w:rsid w:val="00597808"/>
    <w:rsid w:val="005A13A0"/>
    <w:rsid w:val="005C20F3"/>
    <w:rsid w:val="005C44DA"/>
    <w:rsid w:val="005C67FB"/>
    <w:rsid w:val="005D0DCD"/>
    <w:rsid w:val="005D406D"/>
    <w:rsid w:val="005D61EF"/>
    <w:rsid w:val="005E5E5D"/>
    <w:rsid w:val="005F023C"/>
    <w:rsid w:val="005F3235"/>
    <w:rsid w:val="005F54AA"/>
    <w:rsid w:val="00602F1D"/>
    <w:rsid w:val="00620EE8"/>
    <w:rsid w:val="00623B15"/>
    <w:rsid w:val="0063188B"/>
    <w:rsid w:val="0063669C"/>
    <w:rsid w:val="00642249"/>
    <w:rsid w:val="00665A5E"/>
    <w:rsid w:val="00670BA1"/>
    <w:rsid w:val="006764A5"/>
    <w:rsid w:val="006832B7"/>
    <w:rsid w:val="00690E48"/>
    <w:rsid w:val="006A41EC"/>
    <w:rsid w:val="006A6361"/>
    <w:rsid w:val="006B150A"/>
    <w:rsid w:val="006B1884"/>
    <w:rsid w:val="006C3B09"/>
    <w:rsid w:val="006C4EAF"/>
    <w:rsid w:val="006D2604"/>
    <w:rsid w:val="006E1888"/>
    <w:rsid w:val="006E28E7"/>
    <w:rsid w:val="006E385F"/>
    <w:rsid w:val="006F5DCD"/>
    <w:rsid w:val="006F7D53"/>
    <w:rsid w:val="00700FF3"/>
    <w:rsid w:val="0070424E"/>
    <w:rsid w:val="00705C79"/>
    <w:rsid w:val="007122D1"/>
    <w:rsid w:val="00715F28"/>
    <w:rsid w:val="00717E7B"/>
    <w:rsid w:val="00755367"/>
    <w:rsid w:val="00765CF9"/>
    <w:rsid w:val="00772A60"/>
    <w:rsid w:val="007741D3"/>
    <w:rsid w:val="00780522"/>
    <w:rsid w:val="0078053B"/>
    <w:rsid w:val="00781D30"/>
    <w:rsid w:val="00784B38"/>
    <w:rsid w:val="00791E74"/>
    <w:rsid w:val="007A12BD"/>
    <w:rsid w:val="007A4BB6"/>
    <w:rsid w:val="007A62F5"/>
    <w:rsid w:val="007B4192"/>
    <w:rsid w:val="007B62FA"/>
    <w:rsid w:val="007C43CE"/>
    <w:rsid w:val="007C5572"/>
    <w:rsid w:val="007C7AC1"/>
    <w:rsid w:val="007D5E06"/>
    <w:rsid w:val="007E2B79"/>
    <w:rsid w:val="007E3B57"/>
    <w:rsid w:val="007E4233"/>
    <w:rsid w:val="007E5479"/>
    <w:rsid w:val="007F18F0"/>
    <w:rsid w:val="007F1C0D"/>
    <w:rsid w:val="0080144C"/>
    <w:rsid w:val="008055F7"/>
    <w:rsid w:val="00816574"/>
    <w:rsid w:val="0081726A"/>
    <w:rsid w:val="00822BCC"/>
    <w:rsid w:val="00836D0A"/>
    <w:rsid w:val="0085142E"/>
    <w:rsid w:val="00861DB6"/>
    <w:rsid w:val="00862B52"/>
    <w:rsid w:val="008647C1"/>
    <w:rsid w:val="00870A5E"/>
    <w:rsid w:val="00886DC5"/>
    <w:rsid w:val="00890DBA"/>
    <w:rsid w:val="00893A50"/>
    <w:rsid w:val="008948B7"/>
    <w:rsid w:val="008A093E"/>
    <w:rsid w:val="008A195C"/>
    <w:rsid w:val="008A3332"/>
    <w:rsid w:val="008A6CC6"/>
    <w:rsid w:val="008B723C"/>
    <w:rsid w:val="008C617A"/>
    <w:rsid w:val="008D1B07"/>
    <w:rsid w:val="008E495C"/>
    <w:rsid w:val="008E5DBA"/>
    <w:rsid w:val="008F0042"/>
    <w:rsid w:val="008F00AA"/>
    <w:rsid w:val="008F2898"/>
    <w:rsid w:val="008F39CB"/>
    <w:rsid w:val="008F7176"/>
    <w:rsid w:val="009111C9"/>
    <w:rsid w:val="00916F92"/>
    <w:rsid w:val="0092143C"/>
    <w:rsid w:val="009255C3"/>
    <w:rsid w:val="00926C64"/>
    <w:rsid w:val="009305C9"/>
    <w:rsid w:val="00934B27"/>
    <w:rsid w:val="0095131D"/>
    <w:rsid w:val="00952B31"/>
    <w:rsid w:val="009562B5"/>
    <w:rsid w:val="00960D3D"/>
    <w:rsid w:val="00962201"/>
    <w:rsid w:val="00966394"/>
    <w:rsid w:val="009760A0"/>
    <w:rsid w:val="00981EBF"/>
    <w:rsid w:val="00986F04"/>
    <w:rsid w:val="00990FB3"/>
    <w:rsid w:val="009913F0"/>
    <w:rsid w:val="00994BAC"/>
    <w:rsid w:val="009A1754"/>
    <w:rsid w:val="009B0A82"/>
    <w:rsid w:val="009B4D0A"/>
    <w:rsid w:val="009B7319"/>
    <w:rsid w:val="009C2EC4"/>
    <w:rsid w:val="009D7EC9"/>
    <w:rsid w:val="00A11C01"/>
    <w:rsid w:val="00A21C90"/>
    <w:rsid w:val="00A262B2"/>
    <w:rsid w:val="00A34246"/>
    <w:rsid w:val="00A34CEE"/>
    <w:rsid w:val="00A44244"/>
    <w:rsid w:val="00A56F8F"/>
    <w:rsid w:val="00A65BF5"/>
    <w:rsid w:val="00A803DE"/>
    <w:rsid w:val="00A92CC2"/>
    <w:rsid w:val="00AA3D37"/>
    <w:rsid w:val="00AB11CA"/>
    <w:rsid w:val="00AC13CF"/>
    <w:rsid w:val="00AD25C0"/>
    <w:rsid w:val="00AD454D"/>
    <w:rsid w:val="00AD647D"/>
    <w:rsid w:val="00AE3282"/>
    <w:rsid w:val="00AE3D66"/>
    <w:rsid w:val="00AE530C"/>
    <w:rsid w:val="00AF4B54"/>
    <w:rsid w:val="00AF6CBD"/>
    <w:rsid w:val="00B015B1"/>
    <w:rsid w:val="00B160AC"/>
    <w:rsid w:val="00B311CA"/>
    <w:rsid w:val="00B34600"/>
    <w:rsid w:val="00B36337"/>
    <w:rsid w:val="00B54645"/>
    <w:rsid w:val="00B66630"/>
    <w:rsid w:val="00B67CA3"/>
    <w:rsid w:val="00B74EDF"/>
    <w:rsid w:val="00B77EAB"/>
    <w:rsid w:val="00B826EB"/>
    <w:rsid w:val="00B83B29"/>
    <w:rsid w:val="00B83B76"/>
    <w:rsid w:val="00B86D7D"/>
    <w:rsid w:val="00B91988"/>
    <w:rsid w:val="00B948D1"/>
    <w:rsid w:val="00BB3431"/>
    <w:rsid w:val="00BC2641"/>
    <w:rsid w:val="00BC7B5B"/>
    <w:rsid w:val="00BE1B45"/>
    <w:rsid w:val="00BE264E"/>
    <w:rsid w:val="00BE7EB3"/>
    <w:rsid w:val="00C00938"/>
    <w:rsid w:val="00C06B48"/>
    <w:rsid w:val="00C201AD"/>
    <w:rsid w:val="00C2060A"/>
    <w:rsid w:val="00C24118"/>
    <w:rsid w:val="00C261BE"/>
    <w:rsid w:val="00C30A3C"/>
    <w:rsid w:val="00C3390E"/>
    <w:rsid w:val="00C3453B"/>
    <w:rsid w:val="00C37621"/>
    <w:rsid w:val="00C410E9"/>
    <w:rsid w:val="00C41A59"/>
    <w:rsid w:val="00C4667A"/>
    <w:rsid w:val="00C57E78"/>
    <w:rsid w:val="00C62ED7"/>
    <w:rsid w:val="00C6625A"/>
    <w:rsid w:val="00C66A81"/>
    <w:rsid w:val="00C71C02"/>
    <w:rsid w:val="00C80EEB"/>
    <w:rsid w:val="00C82DF3"/>
    <w:rsid w:val="00C84346"/>
    <w:rsid w:val="00C95B71"/>
    <w:rsid w:val="00C96E1E"/>
    <w:rsid w:val="00CA2CF0"/>
    <w:rsid w:val="00CB0B72"/>
    <w:rsid w:val="00CB7671"/>
    <w:rsid w:val="00CC67CD"/>
    <w:rsid w:val="00CE63FB"/>
    <w:rsid w:val="00CF347A"/>
    <w:rsid w:val="00CF6544"/>
    <w:rsid w:val="00D06AFC"/>
    <w:rsid w:val="00D076C1"/>
    <w:rsid w:val="00D12F3A"/>
    <w:rsid w:val="00D17CD8"/>
    <w:rsid w:val="00D207AE"/>
    <w:rsid w:val="00D20BEC"/>
    <w:rsid w:val="00D23499"/>
    <w:rsid w:val="00D37419"/>
    <w:rsid w:val="00D43ABC"/>
    <w:rsid w:val="00D459CE"/>
    <w:rsid w:val="00D4787E"/>
    <w:rsid w:val="00D60C86"/>
    <w:rsid w:val="00D73FC9"/>
    <w:rsid w:val="00D81D0D"/>
    <w:rsid w:val="00DA568F"/>
    <w:rsid w:val="00DB0E7B"/>
    <w:rsid w:val="00DB5033"/>
    <w:rsid w:val="00DB6945"/>
    <w:rsid w:val="00DB6AC3"/>
    <w:rsid w:val="00DC562A"/>
    <w:rsid w:val="00DC5BEF"/>
    <w:rsid w:val="00DD4C1B"/>
    <w:rsid w:val="00DD628A"/>
    <w:rsid w:val="00DE01FE"/>
    <w:rsid w:val="00DE4204"/>
    <w:rsid w:val="00DE48CB"/>
    <w:rsid w:val="00DF2E62"/>
    <w:rsid w:val="00E03642"/>
    <w:rsid w:val="00E05F72"/>
    <w:rsid w:val="00E11B7B"/>
    <w:rsid w:val="00E16F11"/>
    <w:rsid w:val="00E337C1"/>
    <w:rsid w:val="00E3483F"/>
    <w:rsid w:val="00E45954"/>
    <w:rsid w:val="00E60ED0"/>
    <w:rsid w:val="00E649C6"/>
    <w:rsid w:val="00E66426"/>
    <w:rsid w:val="00E724A0"/>
    <w:rsid w:val="00E74C85"/>
    <w:rsid w:val="00E81D13"/>
    <w:rsid w:val="00E839FC"/>
    <w:rsid w:val="00E94DF7"/>
    <w:rsid w:val="00EA17EF"/>
    <w:rsid w:val="00EA3024"/>
    <w:rsid w:val="00EA55CB"/>
    <w:rsid w:val="00EC37DD"/>
    <w:rsid w:val="00EC39AA"/>
    <w:rsid w:val="00EC4365"/>
    <w:rsid w:val="00ED17AC"/>
    <w:rsid w:val="00F00D86"/>
    <w:rsid w:val="00F010CC"/>
    <w:rsid w:val="00F1119A"/>
    <w:rsid w:val="00F145D4"/>
    <w:rsid w:val="00F23605"/>
    <w:rsid w:val="00F26709"/>
    <w:rsid w:val="00F26D3B"/>
    <w:rsid w:val="00F3594C"/>
    <w:rsid w:val="00F47ADD"/>
    <w:rsid w:val="00F50B85"/>
    <w:rsid w:val="00F520A1"/>
    <w:rsid w:val="00F73DA6"/>
    <w:rsid w:val="00F74AE9"/>
    <w:rsid w:val="00F777EE"/>
    <w:rsid w:val="00F80E3C"/>
    <w:rsid w:val="00F96D54"/>
    <w:rsid w:val="00F97798"/>
    <w:rsid w:val="00FA2086"/>
    <w:rsid w:val="00FB68B9"/>
    <w:rsid w:val="00FD0585"/>
    <w:rsid w:val="00FD248D"/>
    <w:rsid w:val="00FD325E"/>
    <w:rsid w:val="00FD36C4"/>
    <w:rsid w:val="00FF4075"/>
    <w:rsid w:val="014374D6"/>
    <w:rsid w:val="1B21B23D"/>
    <w:rsid w:val="397EC2D7"/>
    <w:rsid w:val="7018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87423"/>
  <w15:chartTrackingRefBased/>
  <w15:docId w15:val="{E9FA39EC-76AD-4E18-92EC-DAD7665D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7E0"/>
    <w:rPr>
      <w:color w:val="0000FF" w:themeColor="hyperlink"/>
      <w:u w:val="single"/>
    </w:rPr>
  </w:style>
  <w:style w:type="character" w:customStyle="1" w:styleId="UnresolvedMention1">
    <w:name w:val="Unresolved Mention1"/>
    <w:basedOn w:val="DefaultParagraphFont"/>
    <w:uiPriority w:val="99"/>
    <w:semiHidden/>
    <w:unhideWhenUsed/>
    <w:rsid w:val="000777E0"/>
    <w:rPr>
      <w:color w:val="808080"/>
      <w:shd w:val="clear" w:color="auto" w:fill="E6E6E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03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642"/>
  </w:style>
  <w:style w:type="paragraph" w:styleId="Footer">
    <w:name w:val="footer"/>
    <w:basedOn w:val="Normal"/>
    <w:link w:val="FooterChar"/>
    <w:uiPriority w:val="99"/>
    <w:unhideWhenUsed/>
    <w:rsid w:val="00E03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642"/>
  </w:style>
  <w:style w:type="table" w:styleId="TableGrid">
    <w:name w:val="Table Grid"/>
    <w:basedOn w:val="TableNormal"/>
    <w:uiPriority w:val="39"/>
    <w:rsid w:val="00EC436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13A0"/>
    <w:rPr>
      <w:sz w:val="16"/>
      <w:szCs w:val="16"/>
    </w:rPr>
  </w:style>
  <w:style w:type="paragraph" w:styleId="CommentText">
    <w:name w:val="annotation text"/>
    <w:basedOn w:val="Normal"/>
    <w:link w:val="CommentTextChar"/>
    <w:uiPriority w:val="99"/>
    <w:semiHidden/>
    <w:unhideWhenUsed/>
    <w:rsid w:val="005A13A0"/>
    <w:pPr>
      <w:spacing w:line="240" w:lineRule="auto"/>
    </w:pPr>
    <w:rPr>
      <w:sz w:val="20"/>
      <w:szCs w:val="20"/>
    </w:rPr>
  </w:style>
  <w:style w:type="character" w:customStyle="1" w:styleId="CommentTextChar">
    <w:name w:val="Comment Text Char"/>
    <w:basedOn w:val="DefaultParagraphFont"/>
    <w:link w:val="CommentText"/>
    <w:uiPriority w:val="99"/>
    <w:semiHidden/>
    <w:rsid w:val="005A13A0"/>
    <w:rPr>
      <w:sz w:val="20"/>
      <w:szCs w:val="20"/>
    </w:rPr>
  </w:style>
  <w:style w:type="paragraph" w:styleId="CommentSubject">
    <w:name w:val="annotation subject"/>
    <w:basedOn w:val="CommentText"/>
    <w:next w:val="CommentText"/>
    <w:link w:val="CommentSubjectChar"/>
    <w:uiPriority w:val="99"/>
    <w:semiHidden/>
    <w:unhideWhenUsed/>
    <w:rsid w:val="005A13A0"/>
    <w:rPr>
      <w:b/>
      <w:bCs/>
    </w:rPr>
  </w:style>
  <w:style w:type="character" w:customStyle="1" w:styleId="CommentSubjectChar">
    <w:name w:val="Comment Subject Char"/>
    <w:basedOn w:val="CommentTextChar"/>
    <w:link w:val="CommentSubject"/>
    <w:uiPriority w:val="99"/>
    <w:semiHidden/>
    <w:rsid w:val="005A13A0"/>
    <w:rPr>
      <w:b/>
      <w:bCs/>
      <w:sz w:val="20"/>
      <w:szCs w:val="20"/>
    </w:rPr>
  </w:style>
  <w:style w:type="paragraph" w:styleId="BalloonText">
    <w:name w:val="Balloon Text"/>
    <w:basedOn w:val="Normal"/>
    <w:link w:val="BalloonTextChar"/>
    <w:uiPriority w:val="99"/>
    <w:semiHidden/>
    <w:unhideWhenUsed/>
    <w:rsid w:val="005A1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3A0"/>
    <w:rPr>
      <w:rFonts w:ascii="Segoe UI" w:hAnsi="Segoe UI" w:cs="Segoe UI"/>
      <w:sz w:val="18"/>
      <w:szCs w:val="18"/>
    </w:rPr>
  </w:style>
  <w:style w:type="paragraph" w:styleId="NormalWeb">
    <w:name w:val="Normal (Web)"/>
    <w:basedOn w:val="Normal"/>
    <w:uiPriority w:val="99"/>
    <w:unhideWhenUsed/>
    <w:rsid w:val="00C261B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2">
    <w:name w:val="Unresolved Mention2"/>
    <w:basedOn w:val="DefaultParagraphFont"/>
    <w:uiPriority w:val="99"/>
    <w:semiHidden/>
    <w:unhideWhenUsed/>
    <w:rsid w:val="005D61EF"/>
    <w:rPr>
      <w:color w:val="605E5C"/>
      <w:shd w:val="clear" w:color="auto" w:fill="E1DFDD"/>
    </w:rPr>
  </w:style>
  <w:style w:type="character" w:styleId="FollowedHyperlink">
    <w:name w:val="FollowedHyperlink"/>
    <w:basedOn w:val="DefaultParagraphFont"/>
    <w:uiPriority w:val="99"/>
    <w:semiHidden/>
    <w:unhideWhenUsed/>
    <w:rsid w:val="00C6625A"/>
    <w:rPr>
      <w:color w:val="800080" w:themeColor="followedHyperlink"/>
      <w:u w:val="single"/>
    </w:rPr>
  </w:style>
  <w:style w:type="character" w:styleId="Strong">
    <w:name w:val="Strong"/>
    <w:basedOn w:val="DefaultParagraphFont"/>
    <w:uiPriority w:val="22"/>
    <w:qFormat/>
    <w:rsid w:val="00836D0A"/>
    <w:rPr>
      <w:b/>
      <w:bCs/>
    </w:rPr>
  </w:style>
  <w:style w:type="character" w:styleId="Emphasis">
    <w:name w:val="Emphasis"/>
    <w:basedOn w:val="DefaultParagraphFont"/>
    <w:uiPriority w:val="20"/>
    <w:qFormat/>
    <w:rsid w:val="00836D0A"/>
    <w:rPr>
      <w:i/>
      <w:iCs/>
    </w:rPr>
  </w:style>
  <w:style w:type="character" w:customStyle="1" w:styleId="UnresolvedMention3">
    <w:name w:val="Unresolved Mention3"/>
    <w:basedOn w:val="DefaultParagraphFont"/>
    <w:uiPriority w:val="99"/>
    <w:semiHidden/>
    <w:unhideWhenUsed/>
    <w:rsid w:val="00C41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14394">
      <w:bodyDiv w:val="1"/>
      <w:marLeft w:val="0"/>
      <w:marRight w:val="0"/>
      <w:marTop w:val="0"/>
      <w:marBottom w:val="0"/>
      <w:divBdr>
        <w:top w:val="none" w:sz="0" w:space="0" w:color="auto"/>
        <w:left w:val="none" w:sz="0" w:space="0" w:color="auto"/>
        <w:bottom w:val="none" w:sz="0" w:space="0" w:color="auto"/>
        <w:right w:val="none" w:sz="0" w:space="0" w:color="auto"/>
      </w:divBdr>
    </w:div>
    <w:div w:id="498159610">
      <w:bodyDiv w:val="1"/>
      <w:marLeft w:val="0"/>
      <w:marRight w:val="0"/>
      <w:marTop w:val="0"/>
      <w:marBottom w:val="0"/>
      <w:divBdr>
        <w:top w:val="none" w:sz="0" w:space="0" w:color="auto"/>
        <w:left w:val="none" w:sz="0" w:space="0" w:color="auto"/>
        <w:bottom w:val="none" w:sz="0" w:space="0" w:color="auto"/>
        <w:right w:val="none" w:sz="0" w:space="0" w:color="auto"/>
      </w:divBdr>
    </w:div>
    <w:div w:id="631056923">
      <w:bodyDiv w:val="1"/>
      <w:marLeft w:val="0"/>
      <w:marRight w:val="0"/>
      <w:marTop w:val="0"/>
      <w:marBottom w:val="0"/>
      <w:divBdr>
        <w:top w:val="none" w:sz="0" w:space="0" w:color="auto"/>
        <w:left w:val="none" w:sz="0" w:space="0" w:color="auto"/>
        <w:bottom w:val="none" w:sz="0" w:space="0" w:color="auto"/>
        <w:right w:val="none" w:sz="0" w:space="0" w:color="auto"/>
      </w:divBdr>
    </w:div>
    <w:div w:id="1000474338">
      <w:bodyDiv w:val="1"/>
      <w:marLeft w:val="0"/>
      <w:marRight w:val="0"/>
      <w:marTop w:val="0"/>
      <w:marBottom w:val="0"/>
      <w:divBdr>
        <w:top w:val="none" w:sz="0" w:space="0" w:color="auto"/>
        <w:left w:val="none" w:sz="0" w:space="0" w:color="auto"/>
        <w:bottom w:val="none" w:sz="0" w:space="0" w:color="auto"/>
        <w:right w:val="none" w:sz="0" w:space="0" w:color="auto"/>
      </w:divBdr>
    </w:div>
    <w:div w:id="1941833005">
      <w:bodyDiv w:val="1"/>
      <w:marLeft w:val="0"/>
      <w:marRight w:val="0"/>
      <w:marTop w:val="0"/>
      <w:marBottom w:val="0"/>
      <w:divBdr>
        <w:top w:val="none" w:sz="0" w:space="0" w:color="auto"/>
        <w:left w:val="none" w:sz="0" w:space="0" w:color="auto"/>
        <w:bottom w:val="none" w:sz="0" w:space="0" w:color="auto"/>
        <w:right w:val="none" w:sz="0" w:space="0" w:color="auto"/>
      </w:divBdr>
      <w:divsChild>
        <w:div w:id="1662586013">
          <w:marLeft w:val="0"/>
          <w:marRight w:val="0"/>
          <w:marTop w:val="0"/>
          <w:marBottom w:val="0"/>
          <w:divBdr>
            <w:top w:val="none" w:sz="0" w:space="0" w:color="auto"/>
            <w:left w:val="none" w:sz="0" w:space="0" w:color="auto"/>
            <w:bottom w:val="none" w:sz="0" w:space="0" w:color="auto"/>
            <w:right w:val="none" w:sz="0" w:space="0" w:color="auto"/>
          </w:divBdr>
          <w:divsChild>
            <w:div w:id="1274485344">
              <w:marLeft w:val="0"/>
              <w:marRight w:val="0"/>
              <w:marTop w:val="0"/>
              <w:marBottom w:val="0"/>
              <w:divBdr>
                <w:top w:val="none" w:sz="0" w:space="0" w:color="auto"/>
                <w:left w:val="none" w:sz="0" w:space="0" w:color="auto"/>
                <w:bottom w:val="none" w:sz="0" w:space="0" w:color="auto"/>
                <w:right w:val="none" w:sz="0" w:space="0" w:color="auto"/>
              </w:divBdr>
              <w:divsChild>
                <w:div w:id="1691562883">
                  <w:marLeft w:val="0"/>
                  <w:marRight w:val="0"/>
                  <w:marTop w:val="0"/>
                  <w:marBottom w:val="0"/>
                  <w:divBdr>
                    <w:top w:val="none" w:sz="0" w:space="0" w:color="auto"/>
                    <w:left w:val="none" w:sz="0" w:space="0" w:color="auto"/>
                    <w:bottom w:val="none" w:sz="0" w:space="0" w:color="auto"/>
                    <w:right w:val="none" w:sz="0" w:space="0" w:color="auto"/>
                  </w:divBdr>
                  <w:divsChild>
                    <w:div w:id="643243993">
                      <w:marLeft w:val="0"/>
                      <w:marRight w:val="0"/>
                      <w:marTop w:val="0"/>
                      <w:marBottom w:val="0"/>
                      <w:divBdr>
                        <w:top w:val="none" w:sz="0" w:space="0" w:color="auto"/>
                        <w:left w:val="none" w:sz="0" w:space="0" w:color="auto"/>
                        <w:bottom w:val="none" w:sz="0" w:space="0" w:color="auto"/>
                        <w:right w:val="none" w:sz="0" w:space="0" w:color="auto"/>
                      </w:divBdr>
                      <w:divsChild>
                        <w:div w:id="384722051">
                          <w:marLeft w:val="0"/>
                          <w:marRight w:val="0"/>
                          <w:marTop w:val="0"/>
                          <w:marBottom w:val="0"/>
                          <w:divBdr>
                            <w:top w:val="none" w:sz="0" w:space="0" w:color="auto"/>
                            <w:left w:val="none" w:sz="0" w:space="0" w:color="auto"/>
                            <w:bottom w:val="none" w:sz="0" w:space="0" w:color="auto"/>
                            <w:right w:val="none" w:sz="0" w:space="0" w:color="auto"/>
                          </w:divBdr>
                          <w:divsChild>
                            <w:div w:id="1183669482">
                              <w:marLeft w:val="0"/>
                              <w:marRight w:val="0"/>
                              <w:marTop w:val="255"/>
                              <w:marBottom w:val="0"/>
                              <w:divBdr>
                                <w:top w:val="none" w:sz="0" w:space="0" w:color="auto"/>
                                <w:left w:val="none" w:sz="0" w:space="0" w:color="auto"/>
                                <w:bottom w:val="none" w:sz="0" w:space="0" w:color="auto"/>
                                <w:right w:val="none" w:sz="0" w:space="0" w:color="auto"/>
                              </w:divBdr>
                              <w:divsChild>
                                <w:div w:id="2043047478">
                                  <w:marLeft w:val="0"/>
                                  <w:marRight w:val="0"/>
                                  <w:marTop w:val="0"/>
                                  <w:marBottom w:val="0"/>
                                  <w:divBdr>
                                    <w:top w:val="none" w:sz="0" w:space="0" w:color="auto"/>
                                    <w:left w:val="none" w:sz="0" w:space="0" w:color="auto"/>
                                    <w:bottom w:val="none" w:sz="0" w:space="0" w:color="auto"/>
                                    <w:right w:val="none" w:sz="0" w:space="0" w:color="auto"/>
                                  </w:divBdr>
                                  <w:divsChild>
                                    <w:div w:id="2119644067">
                                      <w:marLeft w:val="-225"/>
                                      <w:marRight w:val="-225"/>
                                      <w:marTop w:val="0"/>
                                      <w:marBottom w:val="0"/>
                                      <w:divBdr>
                                        <w:top w:val="none" w:sz="0" w:space="0" w:color="auto"/>
                                        <w:left w:val="none" w:sz="0" w:space="0" w:color="auto"/>
                                        <w:bottom w:val="none" w:sz="0" w:space="0" w:color="auto"/>
                                        <w:right w:val="none" w:sz="0" w:space="0" w:color="auto"/>
                                      </w:divBdr>
                                      <w:divsChild>
                                        <w:div w:id="1202551993">
                                          <w:marLeft w:val="0"/>
                                          <w:marRight w:val="0"/>
                                          <w:marTop w:val="0"/>
                                          <w:marBottom w:val="0"/>
                                          <w:divBdr>
                                            <w:top w:val="none" w:sz="0" w:space="0" w:color="auto"/>
                                            <w:left w:val="none" w:sz="0" w:space="0" w:color="auto"/>
                                            <w:bottom w:val="none" w:sz="0" w:space="0" w:color="auto"/>
                                            <w:right w:val="none" w:sz="0" w:space="0" w:color="auto"/>
                                          </w:divBdr>
                                          <w:divsChild>
                                            <w:div w:id="2112969346">
                                              <w:marLeft w:val="0"/>
                                              <w:marRight w:val="0"/>
                                              <w:marTop w:val="0"/>
                                              <w:marBottom w:val="0"/>
                                              <w:divBdr>
                                                <w:top w:val="none" w:sz="0" w:space="0" w:color="auto"/>
                                                <w:left w:val="none" w:sz="0" w:space="0" w:color="auto"/>
                                                <w:bottom w:val="none" w:sz="0" w:space="0" w:color="auto"/>
                                                <w:right w:val="none" w:sz="0" w:space="0" w:color="auto"/>
                                              </w:divBdr>
                                              <w:divsChild>
                                                <w:div w:id="953636259">
                                                  <w:marLeft w:val="0"/>
                                                  <w:marRight w:val="0"/>
                                                  <w:marTop w:val="0"/>
                                                  <w:marBottom w:val="0"/>
                                                  <w:divBdr>
                                                    <w:top w:val="none" w:sz="0" w:space="0" w:color="auto"/>
                                                    <w:left w:val="none" w:sz="0" w:space="0" w:color="auto"/>
                                                    <w:bottom w:val="none" w:sz="0" w:space="0" w:color="auto"/>
                                                    <w:right w:val="none" w:sz="0" w:space="0" w:color="auto"/>
                                                  </w:divBdr>
                                                  <w:divsChild>
                                                    <w:div w:id="16670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eader" Target="header2.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F7A5CC3C27504492B46B007BD8B996" ma:contentTypeVersion="13" ma:contentTypeDescription="Create a new document." ma:contentTypeScope="" ma:versionID="75784b42a5c6115b73e49a5ecc0b2563">
  <xsd:schema xmlns:xsd="http://www.w3.org/2001/XMLSchema" xmlns:xs="http://www.w3.org/2001/XMLSchema" xmlns:p="http://schemas.microsoft.com/office/2006/metadata/properties" xmlns:ns3="b5ba6fc9-7f28-400d-820e-9971df19c416" xmlns:ns4="ca7c5923-8447-47b4-8c36-3d1baaa38858" targetNamespace="http://schemas.microsoft.com/office/2006/metadata/properties" ma:root="true" ma:fieldsID="507d58cecd215fc830fb331410e163ff" ns3:_="" ns4:_="">
    <xsd:import namespace="b5ba6fc9-7f28-400d-820e-9971df19c416"/>
    <xsd:import namespace="ca7c5923-8447-47b4-8c36-3d1baaa388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a6fc9-7f28-400d-820e-9971df19c4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c5923-8447-47b4-8c36-3d1baaa3885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F7F44-3124-4521-BFFF-E8A9FDBFFBC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ba6fc9-7f28-400d-820e-9971df19c416"/>
    <ds:schemaRef ds:uri="http://purl.org/dc/elements/1.1/"/>
    <ds:schemaRef ds:uri="http://schemas.microsoft.com/office/2006/metadata/properties"/>
    <ds:schemaRef ds:uri="ca7c5923-8447-47b4-8c36-3d1baaa38858"/>
    <ds:schemaRef ds:uri="http://www.w3.org/XML/1998/namespace"/>
    <ds:schemaRef ds:uri="http://purl.org/dc/dcmitype/"/>
  </ds:schemaRefs>
</ds:datastoreItem>
</file>

<file path=customXml/itemProps2.xml><?xml version="1.0" encoding="utf-8"?>
<ds:datastoreItem xmlns:ds="http://schemas.openxmlformats.org/officeDocument/2006/customXml" ds:itemID="{114254D8-2C5B-4A0F-8BED-74F9D4E5BCB1}">
  <ds:schemaRefs>
    <ds:schemaRef ds:uri="http://schemas.microsoft.com/sharepoint/v3/contenttype/forms"/>
  </ds:schemaRefs>
</ds:datastoreItem>
</file>

<file path=customXml/itemProps3.xml><?xml version="1.0" encoding="utf-8"?>
<ds:datastoreItem xmlns:ds="http://schemas.openxmlformats.org/officeDocument/2006/customXml" ds:itemID="{F30F53F1-D9CD-47B6-9B9F-DF94FF6C2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a6fc9-7f28-400d-820e-9971df19c416"/>
    <ds:schemaRef ds:uri="ca7c5923-8447-47b4-8c36-3d1baaa38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9268</Words>
  <Characters>52833</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Di - Oxford</dc:creator>
  <cp:keywords/>
  <dc:description/>
  <cp:lastModifiedBy>Catharine Jenkins</cp:lastModifiedBy>
  <cp:revision>5</cp:revision>
  <dcterms:created xsi:type="dcterms:W3CDTF">2020-03-16T09:30:00Z</dcterms:created>
  <dcterms:modified xsi:type="dcterms:W3CDTF">2020-03-16T09:46:00Z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0x01010036F7A5CC3C27504492B46B007BD8B996</vt:lpwstr>
  </property>
</Properties>
</file>