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6EB6F" w14:textId="0E802640" w:rsidR="00467C57" w:rsidRDefault="00467C57" w:rsidP="00467C57">
      <w:pPr>
        <w:spacing w:line="276" w:lineRule="auto"/>
        <w:jc w:val="center"/>
        <w:rPr>
          <w:rFonts w:ascii="Helvetica Neue" w:hAnsi="Helvetica Neue"/>
          <w:b/>
          <w:sz w:val="26"/>
          <w:szCs w:val="26"/>
        </w:rPr>
      </w:pPr>
      <w:r w:rsidRPr="00467C57">
        <w:rPr>
          <w:rFonts w:ascii="Helvetica Neue" w:hAnsi="Helvetica Neue"/>
          <w:b/>
          <w:sz w:val="26"/>
          <w:szCs w:val="26"/>
        </w:rPr>
        <w:t>On Capital’s Watch: Derivative Ecology and the Temporal Logic of Biodiversity Credits</w:t>
      </w:r>
    </w:p>
    <w:p w14:paraId="65482157" w14:textId="77777777" w:rsidR="00467C57" w:rsidRPr="00467C57" w:rsidRDefault="00467C57" w:rsidP="00467C57">
      <w:pPr>
        <w:spacing w:line="276" w:lineRule="auto"/>
        <w:jc w:val="center"/>
        <w:rPr>
          <w:rFonts w:ascii="Helvetica Neue" w:hAnsi="Helvetica Neue"/>
          <w:b/>
          <w:sz w:val="26"/>
          <w:szCs w:val="26"/>
        </w:rPr>
      </w:pPr>
    </w:p>
    <w:p w14:paraId="12AABC22" w14:textId="157AFBF0" w:rsidR="00467C57" w:rsidRPr="00467C57" w:rsidRDefault="00467C57" w:rsidP="00467C57">
      <w:pPr>
        <w:spacing w:line="276" w:lineRule="auto"/>
        <w:jc w:val="center"/>
        <w:rPr>
          <w:rFonts w:ascii="Helvetica Neue" w:hAnsi="Helvetica Neue"/>
        </w:rPr>
      </w:pPr>
      <w:r>
        <w:rPr>
          <w:rFonts w:ascii="Helvetica Neue" w:hAnsi="Helvetica Neue"/>
        </w:rPr>
        <w:t>Josh Bowsher and Theo Reeves-</w:t>
      </w:r>
      <w:proofErr w:type="spellStart"/>
      <w:r>
        <w:rPr>
          <w:rFonts w:ascii="Helvetica Neue" w:hAnsi="Helvetica Neue"/>
        </w:rPr>
        <w:t>Evison</w:t>
      </w:r>
      <w:proofErr w:type="spellEnd"/>
    </w:p>
    <w:p w14:paraId="087E2527" w14:textId="77777777" w:rsidR="00467C57" w:rsidRDefault="00467C57" w:rsidP="00467C57">
      <w:pPr>
        <w:rPr>
          <w:sz w:val="16"/>
          <w:szCs w:val="16"/>
        </w:rPr>
      </w:pPr>
    </w:p>
    <w:p w14:paraId="18813BE2" w14:textId="77777777" w:rsidR="00467C57" w:rsidRDefault="00467C57" w:rsidP="00467C57">
      <w:pPr>
        <w:rPr>
          <w:sz w:val="16"/>
          <w:szCs w:val="16"/>
        </w:rPr>
      </w:pPr>
    </w:p>
    <w:p w14:paraId="34DB57D9" w14:textId="77777777" w:rsidR="00467C57" w:rsidRDefault="00467C57" w:rsidP="00467C57">
      <w:pPr>
        <w:pBdr>
          <w:top w:val="single" w:sz="4" w:space="1" w:color="auto"/>
          <w:left w:val="single" w:sz="4" w:space="4" w:color="auto"/>
          <w:bottom w:val="single" w:sz="4" w:space="1" w:color="auto"/>
          <w:right w:val="single" w:sz="4" w:space="4" w:color="auto"/>
        </w:pBdr>
        <w:rPr>
          <w:sz w:val="20"/>
          <w:szCs w:val="20"/>
        </w:rPr>
      </w:pPr>
    </w:p>
    <w:p w14:paraId="092A559F" w14:textId="45F752EA" w:rsidR="00467C57" w:rsidRDefault="00467C57" w:rsidP="00467C57">
      <w:pPr>
        <w:pBdr>
          <w:top w:val="single" w:sz="4" w:space="1" w:color="auto"/>
          <w:left w:val="single" w:sz="4" w:space="4" w:color="auto"/>
          <w:bottom w:val="single" w:sz="4" w:space="1" w:color="auto"/>
          <w:right w:val="single" w:sz="4" w:space="4" w:color="auto"/>
        </w:pBdr>
        <w:rPr>
          <w:sz w:val="20"/>
          <w:szCs w:val="20"/>
        </w:rPr>
      </w:pPr>
      <w:r w:rsidRPr="00467C57">
        <w:rPr>
          <w:sz w:val="20"/>
          <w:szCs w:val="20"/>
        </w:rPr>
        <w:t xml:space="preserve">This is a pre-published version of the article. For a version of record, please visit the New Formations website: https://www.lwbooks.co.uk/new-formations/99, </w:t>
      </w:r>
      <w:r w:rsidR="00753DDE">
        <w:rPr>
          <w:sz w:val="20"/>
          <w:szCs w:val="20"/>
        </w:rPr>
        <w:t xml:space="preserve">or </w:t>
      </w:r>
      <w:r w:rsidRPr="00467C57">
        <w:rPr>
          <w:sz w:val="20"/>
          <w:szCs w:val="20"/>
        </w:rPr>
        <w:t xml:space="preserve">use the </w:t>
      </w:r>
      <w:proofErr w:type="spellStart"/>
      <w:r w:rsidRPr="00467C57">
        <w:rPr>
          <w:sz w:val="20"/>
          <w:szCs w:val="20"/>
        </w:rPr>
        <w:t>DOi</w:t>
      </w:r>
      <w:proofErr w:type="spellEnd"/>
      <w:r w:rsidRPr="00467C57">
        <w:rPr>
          <w:sz w:val="20"/>
          <w:szCs w:val="20"/>
        </w:rPr>
        <w:t xml:space="preserve"> number</w:t>
      </w:r>
      <w:r w:rsidRPr="00467C57">
        <w:rPr>
          <w:sz w:val="20"/>
          <w:szCs w:val="20"/>
        </w:rPr>
        <w:t xml:space="preserve"> 10.3898/nEWF:99.02.2019</w:t>
      </w:r>
    </w:p>
    <w:p w14:paraId="64E4EF93" w14:textId="77777777" w:rsidR="00467C57" w:rsidRPr="00467C57" w:rsidRDefault="00467C57" w:rsidP="00467C57">
      <w:pPr>
        <w:pBdr>
          <w:top w:val="single" w:sz="4" w:space="1" w:color="auto"/>
          <w:left w:val="single" w:sz="4" w:space="4" w:color="auto"/>
          <w:bottom w:val="single" w:sz="4" w:space="1" w:color="auto"/>
          <w:right w:val="single" w:sz="4" w:space="4" w:color="auto"/>
        </w:pBdr>
        <w:rPr>
          <w:sz w:val="20"/>
          <w:szCs w:val="20"/>
        </w:rPr>
      </w:pPr>
    </w:p>
    <w:p w14:paraId="491B9F95" w14:textId="25A17FC1" w:rsidR="00467C57" w:rsidRDefault="00467C57" w:rsidP="00467C57">
      <w:pPr>
        <w:rPr>
          <w:sz w:val="16"/>
          <w:szCs w:val="16"/>
        </w:rPr>
      </w:pPr>
    </w:p>
    <w:p w14:paraId="430E4CB8" w14:textId="7CFA53AB" w:rsidR="00467C57" w:rsidRDefault="00467C57" w:rsidP="00D00720">
      <w:pPr>
        <w:spacing w:line="276" w:lineRule="auto"/>
        <w:rPr>
          <w:rFonts w:ascii="Helvetica Neue" w:hAnsi="Helvetica Neue"/>
          <w:b/>
        </w:rPr>
      </w:pPr>
    </w:p>
    <w:p w14:paraId="2A68B8A4" w14:textId="77777777" w:rsidR="00467C57" w:rsidRDefault="00467C57" w:rsidP="00D00720">
      <w:pPr>
        <w:spacing w:line="276" w:lineRule="auto"/>
        <w:rPr>
          <w:rFonts w:ascii="Helvetica Neue" w:hAnsi="Helvetica Neue"/>
          <w:b/>
        </w:rPr>
      </w:pPr>
    </w:p>
    <w:p w14:paraId="12AED641" w14:textId="1A184A84" w:rsidR="00467C57" w:rsidRDefault="00467C57" w:rsidP="00D00720">
      <w:pPr>
        <w:spacing w:line="276" w:lineRule="auto"/>
        <w:rPr>
          <w:rFonts w:ascii="Helvetica Neue" w:hAnsi="Helvetica Neue"/>
          <w:b/>
        </w:rPr>
      </w:pPr>
      <w:r>
        <w:rPr>
          <w:rFonts w:ascii="Helvetica Neue" w:hAnsi="Helvetica Neue"/>
          <w:b/>
        </w:rPr>
        <w:t xml:space="preserve">Abstract </w:t>
      </w:r>
    </w:p>
    <w:p w14:paraId="30EF6DEA" w14:textId="77777777" w:rsidR="00467C57" w:rsidRDefault="00467C57" w:rsidP="00D00720">
      <w:pPr>
        <w:spacing w:line="276" w:lineRule="auto"/>
        <w:rPr>
          <w:rFonts w:ascii="Helvetica Neue" w:hAnsi="Helvetica Neue"/>
          <w:b/>
        </w:rPr>
      </w:pPr>
    </w:p>
    <w:p w14:paraId="3DCB0757" w14:textId="2EB80416" w:rsidR="00467C57" w:rsidRDefault="00467C57" w:rsidP="00467C57">
      <w:pPr>
        <w:spacing w:line="480" w:lineRule="auto"/>
        <w:rPr>
          <w:rFonts w:ascii="Times" w:hAnsi="Times"/>
        </w:rPr>
      </w:pPr>
      <w:r w:rsidRPr="00467C57">
        <w:rPr>
          <w:rFonts w:ascii="Times" w:hAnsi="Times"/>
        </w:rPr>
        <w:t>How is it possible to profit from protecting the environment, rather than through deepening its terminal crisis? In recent years, a growing group of investors, economists and governments have answered this question with a range of market-based instruments designed to facilitate the comm</w:t>
      </w:r>
      <w:bookmarkStart w:id="0" w:name="_GoBack"/>
      <w:bookmarkEnd w:id="0"/>
      <w:r w:rsidRPr="00467C57">
        <w:rPr>
          <w:rFonts w:ascii="Times" w:hAnsi="Times"/>
        </w:rPr>
        <w:t xml:space="preserve">odification and trade of everything from carbon to wetlands. A popular approach has been to establish ecological credit schemes that allow businesses to destroy a discrete ecosystem in return for the restoration of an ecological site elsewhere. Numerous scholars have already emphasised the questionable spatial politics inherent to such initiatives. Focusing on the UK’s emergent biodiversity credit policy regime, this article, by contrast, considers what effect credit schemes have on the temporal dynamics of the ecosystems they capture. Drawing on discussions of </w:t>
      </w:r>
      <w:proofErr w:type="spellStart"/>
      <w:r w:rsidRPr="00467C57">
        <w:rPr>
          <w:rFonts w:ascii="Times" w:hAnsi="Times"/>
        </w:rPr>
        <w:t>financialisation</w:t>
      </w:r>
      <w:proofErr w:type="spellEnd"/>
      <w:r w:rsidRPr="00467C57">
        <w:rPr>
          <w:rFonts w:ascii="Times" w:hAnsi="Times"/>
        </w:rPr>
        <w:t xml:space="preserve"> in the social sciences, we show how biodiversity credits rearticulate ecosystems as units of ‘derivative ecology’, which makes the future of these ecosystems actionable in the present, at the same time as it restricts their capacity to adapt to anthropogenic climate change. When discussed alongside recent currents in ecological theory that emphasise novelty, futurity and resilience through change, the gap widens between ecological and financial approaches to restoration. Consequently, we argue that market-based instruments such as biodiversity credits are constitutively unable to </w:t>
      </w:r>
      <w:r w:rsidRPr="00467C57">
        <w:rPr>
          <w:rFonts w:ascii="Times" w:hAnsi="Times"/>
        </w:rPr>
        <w:lastRenderedPageBreak/>
        <w:t>embrace the futurity of ecology on its own terms, because they have their own temporal logic that cannot help but petrify their bearers of value.</w:t>
      </w:r>
    </w:p>
    <w:p w14:paraId="6A6698A1" w14:textId="77777777" w:rsidR="00467C57" w:rsidRDefault="00467C57" w:rsidP="00467C57">
      <w:pPr>
        <w:spacing w:line="480" w:lineRule="auto"/>
        <w:rPr>
          <w:rFonts w:ascii="Times" w:hAnsi="Times"/>
        </w:rPr>
      </w:pPr>
    </w:p>
    <w:p w14:paraId="13F9F1FF" w14:textId="30E55E7C" w:rsidR="00467C57" w:rsidRPr="00467C57" w:rsidRDefault="00467C57" w:rsidP="00467C57">
      <w:pPr>
        <w:spacing w:line="480" w:lineRule="auto"/>
        <w:rPr>
          <w:rFonts w:ascii="Times" w:hAnsi="Times"/>
        </w:rPr>
      </w:pPr>
      <w:r w:rsidRPr="00467C57">
        <w:rPr>
          <w:rFonts w:ascii="Times" w:hAnsi="Times"/>
          <w:b/>
        </w:rPr>
        <w:t>Keywords</w:t>
      </w:r>
      <w:r w:rsidRPr="00467C57">
        <w:rPr>
          <w:rFonts w:ascii="Times" w:hAnsi="Times"/>
        </w:rPr>
        <w:t>: ecological finance, biodiversity, temporality, nature, environmental humanities</w:t>
      </w:r>
    </w:p>
    <w:p w14:paraId="61846FA0" w14:textId="2C26A265" w:rsidR="00467C57" w:rsidRDefault="00467C57" w:rsidP="00D00720">
      <w:pPr>
        <w:spacing w:line="276" w:lineRule="auto"/>
        <w:rPr>
          <w:rFonts w:ascii="Helvetica Neue" w:hAnsi="Helvetica Neue"/>
          <w:b/>
        </w:rPr>
      </w:pPr>
    </w:p>
    <w:p w14:paraId="6130B99B" w14:textId="254D6300" w:rsidR="00467C57" w:rsidRDefault="00467C57" w:rsidP="00D00720">
      <w:pPr>
        <w:spacing w:line="276" w:lineRule="auto"/>
        <w:rPr>
          <w:rFonts w:ascii="Helvetica Neue" w:hAnsi="Helvetica Neue"/>
          <w:b/>
        </w:rPr>
      </w:pPr>
    </w:p>
    <w:p w14:paraId="24DBBBDC" w14:textId="77777777" w:rsidR="00467C57" w:rsidRDefault="00467C57" w:rsidP="00D00720">
      <w:pPr>
        <w:spacing w:line="276" w:lineRule="auto"/>
        <w:rPr>
          <w:rFonts w:ascii="Helvetica Neue" w:hAnsi="Helvetica Neue"/>
          <w:b/>
        </w:rPr>
      </w:pPr>
    </w:p>
    <w:p w14:paraId="634489FD" w14:textId="77777777" w:rsidR="00D00720" w:rsidRPr="00DF14E7" w:rsidRDefault="00D00720" w:rsidP="002A3909">
      <w:pPr>
        <w:spacing w:line="276" w:lineRule="auto"/>
        <w:jc w:val="right"/>
        <w:rPr>
          <w:rFonts w:ascii="Times" w:hAnsi="Times"/>
          <w:b/>
        </w:rPr>
      </w:pPr>
    </w:p>
    <w:p w14:paraId="576E8B39" w14:textId="77777777" w:rsidR="00D00720" w:rsidRDefault="00D00720" w:rsidP="002A3909">
      <w:pPr>
        <w:spacing w:line="276" w:lineRule="auto"/>
        <w:jc w:val="right"/>
        <w:rPr>
          <w:rFonts w:ascii="Times" w:hAnsi="Times"/>
          <w:b/>
        </w:rPr>
      </w:pPr>
    </w:p>
    <w:p w14:paraId="6F39EF9E" w14:textId="77777777" w:rsidR="00DF14E7" w:rsidRPr="00D00720" w:rsidRDefault="00DF14E7" w:rsidP="002A3909">
      <w:pPr>
        <w:spacing w:line="276" w:lineRule="auto"/>
        <w:jc w:val="right"/>
        <w:rPr>
          <w:rFonts w:ascii="Times" w:hAnsi="Times"/>
          <w:b/>
        </w:rPr>
      </w:pPr>
    </w:p>
    <w:p w14:paraId="14DFEA30" w14:textId="77777777" w:rsidR="00B56D7F" w:rsidRPr="00467C57" w:rsidRDefault="004623F5" w:rsidP="002A3909">
      <w:pPr>
        <w:spacing w:line="276" w:lineRule="auto"/>
        <w:jc w:val="right"/>
        <w:rPr>
          <w:rFonts w:ascii="Times" w:hAnsi="Times"/>
          <w:sz w:val="22"/>
          <w:szCs w:val="22"/>
        </w:rPr>
      </w:pPr>
      <w:r w:rsidRPr="00467C57">
        <w:rPr>
          <w:rFonts w:ascii="Times" w:hAnsi="Times"/>
          <w:sz w:val="22"/>
          <w:szCs w:val="22"/>
        </w:rPr>
        <w:t xml:space="preserve">‘While the manifold projects of capital, empire, and science are busy making Nature with a capital ‘N’—external, controllable, reducible—the web of life is busy shuffling about the biological and geological conditions of capitalism’s process’ </w:t>
      </w:r>
    </w:p>
    <w:p w14:paraId="28E8675D" w14:textId="14D2A130" w:rsidR="00277205" w:rsidRPr="00467C57" w:rsidRDefault="00B56D7F" w:rsidP="002A3909">
      <w:pPr>
        <w:spacing w:line="276" w:lineRule="auto"/>
        <w:jc w:val="right"/>
        <w:rPr>
          <w:rFonts w:ascii="Times" w:hAnsi="Times"/>
          <w:sz w:val="22"/>
          <w:szCs w:val="22"/>
        </w:rPr>
      </w:pPr>
      <w:r w:rsidRPr="00467C57">
        <w:rPr>
          <w:rFonts w:ascii="Times" w:hAnsi="Times"/>
          <w:sz w:val="22"/>
          <w:szCs w:val="22"/>
        </w:rPr>
        <w:t>-</w:t>
      </w:r>
      <w:r w:rsidRPr="00467C57">
        <w:rPr>
          <w:rFonts w:ascii="Times" w:hAnsi="Times"/>
          <w:noProof/>
          <w:sz w:val="22"/>
          <w:szCs w:val="22"/>
        </w:rPr>
        <w:t xml:space="preserve"> Jason W. Moore</w:t>
      </w:r>
      <w:r w:rsidR="00277205" w:rsidRPr="00467C57">
        <w:rPr>
          <w:rStyle w:val="EndnoteReference"/>
          <w:rFonts w:ascii="Times" w:hAnsi="Times"/>
          <w:sz w:val="22"/>
          <w:szCs w:val="22"/>
        </w:rPr>
        <w:endnoteReference w:id="1"/>
      </w:r>
      <w:r w:rsidR="00277205" w:rsidRPr="00467C57">
        <w:rPr>
          <w:rFonts w:ascii="Times" w:hAnsi="Times"/>
          <w:sz w:val="22"/>
          <w:szCs w:val="22"/>
        </w:rPr>
        <w:t xml:space="preserve"> </w:t>
      </w:r>
    </w:p>
    <w:p w14:paraId="76D22676" w14:textId="77777777" w:rsidR="00277205" w:rsidRPr="00467C57" w:rsidRDefault="00277205" w:rsidP="002A3909">
      <w:pPr>
        <w:spacing w:line="276" w:lineRule="auto"/>
        <w:rPr>
          <w:rFonts w:ascii="Times" w:hAnsi="Times"/>
          <w:b/>
          <w:sz w:val="22"/>
          <w:szCs w:val="22"/>
        </w:rPr>
      </w:pPr>
    </w:p>
    <w:p w14:paraId="7CADD27C" w14:textId="77777777" w:rsidR="00277205" w:rsidRPr="00467C57" w:rsidRDefault="00277205" w:rsidP="002A3909">
      <w:pPr>
        <w:spacing w:line="276" w:lineRule="auto"/>
        <w:rPr>
          <w:rFonts w:ascii="Times" w:hAnsi="Times"/>
          <w:b/>
          <w:sz w:val="22"/>
          <w:szCs w:val="22"/>
        </w:rPr>
      </w:pPr>
    </w:p>
    <w:p w14:paraId="3CBDD4E7" w14:textId="77777777" w:rsidR="00B56D7F" w:rsidRPr="00467C57" w:rsidRDefault="00277205" w:rsidP="001E23BE">
      <w:pPr>
        <w:pStyle w:val="CommentText"/>
        <w:spacing w:line="276" w:lineRule="auto"/>
        <w:ind w:left="720"/>
        <w:jc w:val="right"/>
        <w:rPr>
          <w:rFonts w:ascii="Times" w:eastAsia="Times New Roman" w:hAnsi="Times" w:cs="Times New Roman"/>
          <w:sz w:val="22"/>
          <w:szCs w:val="22"/>
        </w:rPr>
      </w:pPr>
      <w:r w:rsidRPr="00467C57">
        <w:rPr>
          <w:rFonts w:ascii="Times" w:eastAsia="Times New Roman" w:hAnsi="Times" w:cs="Times New Roman"/>
          <w:sz w:val="22"/>
          <w:szCs w:val="22"/>
        </w:rPr>
        <w:t xml:space="preserve">‘[…] the way to manage a resource is to stop its autonomous historical action. As long as trees make history, they threaten industrial governance.’ </w:t>
      </w:r>
    </w:p>
    <w:p w14:paraId="11300BA9" w14:textId="384C6875" w:rsidR="00277205" w:rsidRPr="00467C57" w:rsidRDefault="00B56D7F" w:rsidP="001E23BE">
      <w:pPr>
        <w:pStyle w:val="CommentText"/>
        <w:spacing w:line="276" w:lineRule="auto"/>
        <w:ind w:left="720"/>
        <w:jc w:val="right"/>
        <w:rPr>
          <w:rFonts w:ascii="Times" w:eastAsia="Times New Roman" w:hAnsi="Times" w:cs="Times New Roman"/>
          <w:sz w:val="22"/>
          <w:szCs w:val="22"/>
        </w:rPr>
      </w:pPr>
      <w:r w:rsidRPr="00467C57">
        <w:rPr>
          <w:rFonts w:ascii="Times" w:eastAsia="Times New Roman" w:hAnsi="Times" w:cs="Times New Roman"/>
          <w:sz w:val="22"/>
          <w:szCs w:val="22"/>
        </w:rPr>
        <w:t xml:space="preserve">- Anna </w:t>
      </w:r>
      <w:proofErr w:type="spellStart"/>
      <w:r w:rsidRPr="00467C57">
        <w:rPr>
          <w:rFonts w:ascii="Times" w:eastAsia="Times New Roman" w:hAnsi="Times" w:cs="Times New Roman"/>
          <w:sz w:val="22"/>
          <w:szCs w:val="22"/>
        </w:rPr>
        <w:t>Lowenhaupt</w:t>
      </w:r>
      <w:proofErr w:type="spellEnd"/>
      <w:r w:rsidRPr="00467C57">
        <w:rPr>
          <w:rFonts w:ascii="Times" w:eastAsia="Times New Roman" w:hAnsi="Times" w:cs="Times New Roman"/>
          <w:sz w:val="22"/>
          <w:szCs w:val="22"/>
        </w:rPr>
        <w:t xml:space="preserve"> Tsing</w:t>
      </w:r>
      <w:r w:rsidR="00277205" w:rsidRPr="00467C57">
        <w:rPr>
          <w:rStyle w:val="EndnoteReference"/>
          <w:rFonts w:ascii="Times" w:eastAsia="Times New Roman" w:hAnsi="Times" w:cs="Times New Roman"/>
          <w:sz w:val="22"/>
          <w:szCs w:val="22"/>
        </w:rPr>
        <w:endnoteReference w:id="2"/>
      </w:r>
      <w:r w:rsidR="00277205" w:rsidRPr="00467C57">
        <w:rPr>
          <w:rFonts w:ascii="Times" w:eastAsia="Times New Roman" w:hAnsi="Times" w:cs="Times New Roman"/>
          <w:sz w:val="22"/>
          <w:szCs w:val="22"/>
        </w:rPr>
        <w:t xml:space="preserve"> </w:t>
      </w:r>
    </w:p>
    <w:p w14:paraId="771A683D" w14:textId="77777777" w:rsidR="00277205" w:rsidRPr="00D00720" w:rsidRDefault="00277205" w:rsidP="00F27921">
      <w:pPr>
        <w:spacing w:line="480" w:lineRule="auto"/>
        <w:rPr>
          <w:rFonts w:ascii="Times" w:hAnsi="Times"/>
          <w:b/>
        </w:rPr>
      </w:pPr>
    </w:p>
    <w:p w14:paraId="19CDC69B" w14:textId="77777777" w:rsidR="00277205" w:rsidRPr="00DF14E7" w:rsidRDefault="00277205" w:rsidP="00C971F8">
      <w:pPr>
        <w:spacing w:line="480" w:lineRule="auto"/>
        <w:rPr>
          <w:rFonts w:ascii="Helvetica Neue" w:hAnsi="Helvetica Neue"/>
          <w:b/>
        </w:rPr>
      </w:pPr>
      <w:r w:rsidRPr="00DF14E7">
        <w:rPr>
          <w:rFonts w:ascii="Helvetica Neue" w:hAnsi="Helvetica Neue"/>
          <w:b/>
        </w:rPr>
        <w:t>Introduction</w:t>
      </w:r>
    </w:p>
    <w:p w14:paraId="5FCAF488" w14:textId="303259E8" w:rsidR="00277205" w:rsidRPr="00D00720" w:rsidRDefault="00277205" w:rsidP="00F27921">
      <w:pPr>
        <w:spacing w:line="480" w:lineRule="auto"/>
        <w:rPr>
          <w:rFonts w:ascii="Times" w:hAnsi="Times"/>
        </w:rPr>
      </w:pPr>
      <w:r w:rsidRPr="00D00720">
        <w:rPr>
          <w:rFonts w:ascii="Times" w:hAnsi="Times"/>
        </w:rPr>
        <w:t xml:space="preserve">In 1983, the German ecologist Frederic </w:t>
      </w:r>
      <w:proofErr w:type="spellStart"/>
      <w:r w:rsidRPr="00D00720">
        <w:rPr>
          <w:rFonts w:ascii="Times" w:hAnsi="Times"/>
        </w:rPr>
        <w:t>Vester</w:t>
      </w:r>
      <w:proofErr w:type="spellEnd"/>
      <w:r w:rsidRPr="00D00720">
        <w:rPr>
          <w:rFonts w:ascii="Times" w:hAnsi="Times"/>
        </w:rPr>
        <w:t xml:space="preserve"> conducted a thought experiment in which he calculated the monetary value of a </w:t>
      </w:r>
      <w:r w:rsidR="001747A0">
        <w:rPr>
          <w:rFonts w:ascii="Times" w:hAnsi="Times"/>
        </w:rPr>
        <w:t>bluethroat</w:t>
      </w:r>
      <w:r w:rsidRPr="00D00720">
        <w:rPr>
          <w:rFonts w:ascii="Times" w:hAnsi="Times"/>
        </w:rPr>
        <w:t>, a small migratory bird that breeds in Europe and western Asia.</w:t>
      </w:r>
      <w:r w:rsidRPr="00D00720">
        <w:rPr>
          <w:rStyle w:val="EndnoteReference"/>
          <w:rFonts w:ascii="Times" w:hAnsi="Times"/>
        </w:rPr>
        <w:endnoteReference w:id="3"/>
      </w:r>
      <w:r w:rsidRPr="00D00720">
        <w:rPr>
          <w:rFonts w:ascii="Times" w:hAnsi="Times"/>
        </w:rPr>
        <w:t xml:space="preserve"> </w:t>
      </w:r>
      <w:proofErr w:type="spellStart"/>
      <w:r w:rsidRPr="00D00720">
        <w:rPr>
          <w:rFonts w:ascii="Times" w:hAnsi="Times"/>
        </w:rPr>
        <w:t>Vester</w:t>
      </w:r>
      <w:proofErr w:type="spellEnd"/>
      <w:r w:rsidRPr="00D00720">
        <w:rPr>
          <w:rFonts w:ascii="Times" w:hAnsi="Times"/>
        </w:rPr>
        <w:t xml:space="preserve"> demonstrated that the value of the bird is </w:t>
      </w:r>
      <w:r w:rsidR="00D25F5E">
        <w:rPr>
          <w:rFonts w:ascii="Times" w:hAnsi="Times"/>
        </w:rPr>
        <w:t>only around</w:t>
      </w:r>
      <w:r w:rsidRPr="00D00720">
        <w:rPr>
          <w:rFonts w:ascii="Times" w:hAnsi="Times"/>
        </w:rPr>
        <w:t xml:space="preserve"> </w:t>
      </w:r>
      <w:r w:rsidRPr="00D00720">
        <w:rPr>
          <w:rStyle w:val="ilfuvd"/>
          <w:rFonts w:ascii="Times" w:hAnsi="Times"/>
        </w:rPr>
        <w:t>€</w:t>
      </w:r>
      <w:r w:rsidRPr="00D00720">
        <w:rPr>
          <w:rFonts w:ascii="Times" w:hAnsi="Times"/>
        </w:rPr>
        <w:t xml:space="preserve">0.02 when calculated purely on the basis of its material components such as feathers, bones and meat. Slowly factoring in a range of other criteria, </w:t>
      </w:r>
      <w:r w:rsidR="001E23BE">
        <w:rPr>
          <w:rFonts w:ascii="Times" w:hAnsi="Times"/>
        </w:rPr>
        <w:t>the ecologist</w:t>
      </w:r>
      <w:r w:rsidR="001E23BE" w:rsidRPr="00D00720">
        <w:rPr>
          <w:rFonts w:ascii="Times" w:hAnsi="Times"/>
        </w:rPr>
        <w:t xml:space="preserve"> </w:t>
      </w:r>
      <w:r w:rsidRPr="00D00720">
        <w:rPr>
          <w:rFonts w:ascii="Times" w:hAnsi="Times"/>
        </w:rPr>
        <w:t xml:space="preserve">considered the diet of the bird, which consists mainly of insects, and how this amounts to a form of pest control. He also considers the capacity for the </w:t>
      </w:r>
      <w:r w:rsidR="00AC7B1B">
        <w:rPr>
          <w:rFonts w:ascii="Times" w:hAnsi="Times"/>
        </w:rPr>
        <w:t>bluethroat</w:t>
      </w:r>
      <w:r w:rsidRPr="00D00720">
        <w:rPr>
          <w:rFonts w:ascii="Times" w:hAnsi="Times"/>
        </w:rPr>
        <w:t xml:space="preserve"> to act as a bio-indicator for the health of the ecosystem it is living in, which adds another layer of value. A final consideration is the bird’s potential to affect the wellbeing of humans, prefiguring more recent discussions of ‘natural prescriptions’ for a range of medical conditions.</w:t>
      </w:r>
      <w:r w:rsidRPr="00D00720">
        <w:rPr>
          <w:rStyle w:val="EndnoteReference"/>
          <w:rFonts w:ascii="Times" w:hAnsi="Times"/>
        </w:rPr>
        <w:endnoteReference w:id="4"/>
      </w:r>
      <w:r w:rsidRPr="00D00720">
        <w:rPr>
          <w:rFonts w:ascii="Times" w:hAnsi="Times"/>
        </w:rPr>
        <w:t xml:space="preserve"> When these values and others are factored </w:t>
      </w:r>
      <w:r w:rsidRPr="00D00720">
        <w:rPr>
          <w:rFonts w:ascii="Times" w:hAnsi="Times"/>
        </w:rPr>
        <w:lastRenderedPageBreak/>
        <w:t xml:space="preserve">in, </w:t>
      </w:r>
      <w:proofErr w:type="spellStart"/>
      <w:r w:rsidRPr="00D00720">
        <w:rPr>
          <w:rFonts w:ascii="Times" w:hAnsi="Times"/>
        </w:rPr>
        <w:t>Vester</w:t>
      </w:r>
      <w:proofErr w:type="spellEnd"/>
      <w:r w:rsidRPr="00D00720">
        <w:rPr>
          <w:rFonts w:ascii="Times" w:hAnsi="Times"/>
        </w:rPr>
        <w:t xml:space="preserve"> considers that the value is closer to</w:t>
      </w:r>
      <w:r w:rsidR="008D255D">
        <w:rPr>
          <w:rFonts w:ascii="Times" w:hAnsi="Times"/>
        </w:rPr>
        <w:t xml:space="preserve"> an equivalent of</w:t>
      </w:r>
      <w:r w:rsidRPr="00D00720">
        <w:rPr>
          <w:rFonts w:ascii="Times" w:hAnsi="Times"/>
        </w:rPr>
        <w:t xml:space="preserve"> </w:t>
      </w:r>
      <w:r w:rsidRPr="00D00720">
        <w:rPr>
          <w:rStyle w:val="ilfuvd"/>
          <w:rFonts w:ascii="Times" w:hAnsi="Times"/>
        </w:rPr>
        <w:t>€700 than €</w:t>
      </w:r>
      <w:r w:rsidRPr="00D00720">
        <w:rPr>
          <w:rFonts w:ascii="Times" w:hAnsi="Times"/>
        </w:rPr>
        <w:t xml:space="preserve">0.02. While his argument can be seen to demonstrate the absurdity of taking a one-dimensional approach to value, </w:t>
      </w:r>
      <w:proofErr w:type="spellStart"/>
      <w:r w:rsidRPr="00D00720">
        <w:rPr>
          <w:rFonts w:ascii="Times" w:hAnsi="Times"/>
        </w:rPr>
        <w:t>Vester</w:t>
      </w:r>
      <w:proofErr w:type="spellEnd"/>
      <w:r w:rsidRPr="00D00720">
        <w:rPr>
          <w:rFonts w:ascii="Times" w:hAnsi="Times"/>
        </w:rPr>
        <w:t xml:space="preserve"> does not oppose assigning a monetary value to species per se, but simply argues that if this is not done carefully the resulting price</w:t>
      </w:r>
      <w:r w:rsidR="00D25F5E">
        <w:rPr>
          <w:rFonts w:ascii="Times" w:hAnsi="Times"/>
        </w:rPr>
        <w:t xml:space="preserve"> may not fully capture its total value.</w:t>
      </w:r>
      <w:r w:rsidRPr="00D00720">
        <w:rPr>
          <w:rFonts w:ascii="Times" w:hAnsi="Times"/>
        </w:rPr>
        <w:t xml:space="preserve">  </w:t>
      </w:r>
    </w:p>
    <w:p w14:paraId="30B7E632" w14:textId="77777777" w:rsidR="00277205" w:rsidRPr="00D00720" w:rsidRDefault="00277205" w:rsidP="00F27921">
      <w:pPr>
        <w:spacing w:line="480" w:lineRule="auto"/>
        <w:rPr>
          <w:rFonts w:ascii="Times" w:hAnsi="Times"/>
        </w:rPr>
      </w:pPr>
    </w:p>
    <w:p w14:paraId="59E6F509" w14:textId="608440D3" w:rsidR="00277205" w:rsidRPr="00D00720" w:rsidRDefault="00277205" w:rsidP="00F27921">
      <w:pPr>
        <w:spacing w:line="480" w:lineRule="auto"/>
        <w:rPr>
          <w:rFonts w:ascii="Times" w:hAnsi="Times"/>
        </w:rPr>
      </w:pPr>
      <w:r w:rsidRPr="00D00720">
        <w:rPr>
          <w:rFonts w:ascii="Times" w:hAnsi="Times"/>
        </w:rPr>
        <w:t xml:space="preserve">If </w:t>
      </w:r>
      <w:proofErr w:type="spellStart"/>
      <w:r w:rsidRPr="00D00720">
        <w:rPr>
          <w:rFonts w:ascii="Times" w:hAnsi="Times"/>
        </w:rPr>
        <w:t>Vester’s</w:t>
      </w:r>
      <w:proofErr w:type="spellEnd"/>
      <w:r w:rsidRPr="00D00720">
        <w:rPr>
          <w:rFonts w:ascii="Times" w:hAnsi="Times"/>
        </w:rPr>
        <w:t xml:space="preserve"> thought experiment seemed far-fetched in the 1980s, over 35 years later it now represents a relatively accurate, if basic, description of one aspect of environmental capitalism. In the intervening time the range of institutions involved in assigning monetary value to non-human species, and biodiversity as a whole, has expanded greatly. The scale of this marketplace is now truly vast. By 201</w:t>
      </w:r>
      <w:r w:rsidR="00D25F5E">
        <w:rPr>
          <w:rFonts w:ascii="Times" w:hAnsi="Times"/>
        </w:rPr>
        <w:t>8</w:t>
      </w:r>
      <w:r w:rsidRPr="00D00720">
        <w:rPr>
          <w:rFonts w:ascii="Times" w:hAnsi="Times"/>
        </w:rPr>
        <w:t xml:space="preserve">, </w:t>
      </w:r>
      <w:r w:rsidR="00D25F5E">
        <w:rPr>
          <w:rFonts w:ascii="Times" w:hAnsi="Times"/>
        </w:rPr>
        <w:t>thousands of</w:t>
      </w:r>
      <w:r w:rsidR="008D255D">
        <w:rPr>
          <w:rFonts w:ascii="Times" w:hAnsi="Times"/>
        </w:rPr>
        <w:t xml:space="preserve"> </w:t>
      </w:r>
      <w:r w:rsidRPr="00D00720">
        <w:rPr>
          <w:rFonts w:ascii="Times" w:hAnsi="Times"/>
        </w:rPr>
        <w:t xml:space="preserve">credit and compensation schemes were active in </w:t>
      </w:r>
      <w:r w:rsidR="007A4FA0">
        <w:rPr>
          <w:rFonts w:ascii="Times" w:hAnsi="Times"/>
        </w:rPr>
        <w:t>thirty-seven</w:t>
      </w:r>
      <w:r w:rsidRPr="00D00720">
        <w:rPr>
          <w:rFonts w:ascii="Times" w:hAnsi="Times"/>
        </w:rPr>
        <w:t xml:space="preserve"> countries, and in many of these countries legislation actively requiring their use was in full force.</w:t>
      </w:r>
      <w:r w:rsidRPr="00D00720">
        <w:rPr>
          <w:rStyle w:val="EndnoteReference"/>
          <w:rFonts w:ascii="Times" w:hAnsi="Times"/>
        </w:rPr>
        <w:endnoteReference w:id="5"/>
      </w:r>
      <w:r w:rsidRPr="00D00720">
        <w:rPr>
          <w:rFonts w:ascii="Times" w:hAnsi="Times"/>
        </w:rPr>
        <w:t xml:space="preserve"> It is estimated that the global transactions of mitigation bank credits and financial compensation totalled $4.8B in 2016, which is more than double the annual transactions five years previously.</w:t>
      </w:r>
      <w:r>
        <w:rPr>
          <w:rStyle w:val="EndnoteReference"/>
          <w:rFonts w:ascii="Times" w:hAnsi="Times"/>
        </w:rPr>
        <w:endnoteReference w:id="6"/>
      </w:r>
    </w:p>
    <w:p w14:paraId="7E88A1B4" w14:textId="77777777" w:rsidR="00277205" w:rsidRPr="00D00720" w:rsidRDefault="00277205" w:rsidP="00806F5B">
      <w:pPr>
        <w:spacing w:line="480" w:lineRule="auto"/>
        <w:rPr>
          <w:rFonts w:ascii="Times" w:hAnsi="Times"/>
        </w:rPr>
      </w:pPr>
    </w:p>
    <w:p w14:paraId="039016C4" w14:textId="1B66C0AE" w:rsidR="00277205" w:rsidRPr="00D00720" w:rsidRDefault="00277205" w:rsidP="00806F5B">
      <w:pPr>
        <w:spacing w:line="480" w:lineRule="auto"/>
        <w:rPr>
          <w:rFonts w:ascii="Times" w:hAnsi="Times"/>
        </w:rPr>
      </w:pPr>
      <w:r w:rsidRPr="00D00720">
        <w:rPr>
          <w:rFonts w:ascii="Times" w:hAnsi="Times"/>
        </w:rPr>
        <w:t>As market based approaches to ecological restoration have spread, the chorus of criticism from a range of institutions and individuals has grown. In the first section of this paper we briefly review some of the academic critiques of what has been variously labelled the ‘</w:t>
      </w:r>
      <w:proofErr w:type="spellStart"/>
      <w:r w:rsidRPr="00D00720">
        <w:rPr>
          <w:rFonts w:ascii="Times" w:hAnsi="Times"/>
        </w:rPr>
        <w:t>neoliberalisation</w:t>
      </w:r>
      <w:proofErr w:type="spellEnd"/>
      <w:r w:rsidRPr="00D00720">
        <w:rPr>
          <w:rFonts w:ascii="Times" w:hAnsi="Times"/>
        </w:rPr>
        <w:t xml:space="preserve"> of conservation’ and the ‘</w:t>
      </w:r>
      <w:proofErr w:type="spellStart"/>
      <w:r w:rsidRPr="00D00720">
        <w:rPr>
          <w:rFonts w:ascii="Times" w:hAnsi="Times"/>
        </w:rPr>
        <w:t>financialisation</w:t>
      </w:r>
      <w:proofErr w:type="spellEnd"/>
      <w:r w:rsidRPr="00D00720">
        <w:rPr>
          <w:rFonts w:ascii="Times" w:hAnsi="Times"/>
        </w:rPr>
        <w:t xml:space="preserve"> of nature’.</w:t>
      </w:r>
      <w:r w:rsidRPr="00D00720">
        <w:rPr>
          <w:rStyle w:val="EndnoteReference"/>
          <w:rFonts w:ascii="Times" w:hAnsi="Times"/>
        </w:rPr>
        <w:endnoteReference w:id="7"/>
      </w:r>
      <w:r w:rsidRPr="00D00720">
        <w:rPr>
          <w:rFonts w:ascii="Times" w:hAnsi="Times"/>
        </w:rPr>
        <w:t xml:space="preserve"> The majority of these analyses have emerged from the field of critical geography, and consequently pay close attention to the spatial logic of how market-based conservation instruments operate. We argue that such instruments not only fold ecosystems into particular spatial logics, but also require them to march to the rhythm of specific temporal regimes, restricting their future development in the process. In order to emphasise the temporal aspect of the </w:t>
      </w:r>
      <w:proofErr w:type="spellStart"/>
      <w:r w:rsidRPr="00D00720">
        <w:rPr>
          <w:rFonts w:ascii="Times" w:hAnsi="Times"/>
        </w:rPr>
        <w:t>financialisation</w:t>
      </w:r>
      <w:proofErr w:type="spellEnd"/>
      <w:r w:rsidRPr="00D00720">
        <w:rPr>
          <w:rFonts w:ascii="Times" w:hAnsi="Times"/>
        </w:rPr>
        <w:t xml:space="preserve"> of nature, in part two we attempt to unearth a ‘derivative logic’ inherent to the operations of </w:t>
      </w:r>
      <w:r w:rsidRPr="00D00720">
        <w:rPr>
          <w:rFonts w:ascii="Times" w:hAnsi="Times"/>
        </w:rPr>
        <w:lastRenderedPageBreak/>
        <w:t xml:space="preserve">ecological credit schemes, taking biodiversity credits as a case study. The concept of derivative logic is drawn from the social sciences, where it is used to think through the </w:t>
      </w:r>
      <w:proofErr w:type="spellStart"/>
      <w:r w:rsidRPr="00D00720">
        <w:rPr>
          <w:rFonts w:ascii="Times" w:hAnsi="Times"/>
        </w:rPr>
        <w:t>financialisation</w:t>
      </w:r>
      <w:proofErr w:type="spellEnd"/>
      <w:r w:rsidRPr="00D00720">
        <w:rPr>
          <w:rFonts w:ascii="Times" w:hAnsi="Times"/>
        </w:rPr>
        <w:t xml:space="preserve"> of a range of processes outside of the operations of finance narrowly defined.</w:t>
      </w:r>
      <w:r w:rsidRPr="00D00720">
        <w:rPr>
          <w:rStyle w:val="EndnoteReference"/>
          <w:rFonts w:ascii="Times" w:hAnsi="Times"/>
        </w:rPr>
        <w:endnoteReference w:id="8"/>
      </w:r>
      <w:r w:rsidRPr="00D00720">
        <w:rPr>
          <w:rFonts w:ascii="Times" w:hAnsi="Times"/>
        </w:rPr>
        <w:t xml:space="preserve"> We isolate three aspects of this logic as they work in and through biodiversity credits, looking in particular at how they bind the future to the present in particular ways. The final section of the paper looks to new approaches in ecological theory that emphasis the capacity for ecosystems to change in ways that exceed the linear models that previously dominated the field and which underpin their management as controllable resources. What emerges from this discussion is a friction between two modes of futurity, one stemming from the derivative logic of biodiversity credits; the other from ecological theory itself. In conclusion, we seek to pinpoint reasons why the two are fundamentally irreconcilable. </w:t>
      </w:r>
    </w:p>
    <w:p w14:paraId="301EF00A" w14:textId="77777777" w:rsidR="00277205" w:rsidRPr="00D00720" w:rsidRDefault="00277205" w:rsidP="00F27921">
      <w:pPr>
        <w:spacing w:line="480" w:lineRule="auto"/>
        <w:rPr>
          <w:rFonts w:ascii="Times" w:hAnsi="Times"/>
          <w:b/>
        </w:rPr>
      </w:pPr>
    </w:p>
    <w:p w14:paraId="186AD53C" w14:textId="77777777" w:rsidR="00277205" w:rsidRPr="00DF14E7" w:rsidRDefault="00277205" w:rsidP="008257AA">
      <w:pPr>
        <w:spacing w:line="480" w:lineRule="auto"/>
        <w:rPr>
          <w:rFonts w:ascii="Helvetica Neue" w:hAnsi="Helvetica Neue"/>
          <w:b/>
        </w:rPr>
      </w:pPr>
      <w:r w:rsidRPr="00DF14E7">
        <w:rPr>
          <w:rFonts w:ascii="Helvetica Neue" w:hAnsi="Helvetica Neue"/>
          <w:b/>
        </w:rPr>
        <w:t>1: Placeless ‘Nature’</w:t>
      </w:r>
    </w:p>
    <w:p w14:paraId="6647318F" w14:textId="77777777" w:rsidR="00277205" w:rsidRPr="00D00720" w:rsidRDefault="00277205" w:rsidP="008257AA">
      <w:pPr>
        <w:spacing w:line="480" w:lineRule="auto"/>
        <w:rPr>
          <w:rFonts w:ascii="Times" w:hAnsi="Times"/>
          <w:b/>
        </w:rPr>
      </w:pPr>
    </w:p>
    <w:p w14:paraId="411F5939" w14:textId="3F348060" w:rsidR="00A70B70" w:rsidRDefault="00277205" w:rsidP="008257AA">
      <w:pPr>
        <w:spacing w:line="480" w:lineRule="auto"/>
        <w:rPr>
          <w:rFonts w:ascii="Times" w:hAnsi="Times"/>
        </w:rPr>
      </w:pPr>
      <w:r w:rsidRPr="00D00720">
        <w:rPr>
          <w:rFonts w:ascii="Times" w:hAnsi="Times"/>
        </w:rPr>
        <w:t>Biodiversity credits are part of a growing list of financial instruments that respond to ecological crisis through the market.</w:t>
      </w:r>
      <w:r w:rsidRPr="00D00720">
        <w:rPr>
          <w:rFonts w:ascii="Times" w:hAnsi="Times"/>
          <w:b/>
        </w:rPr>
        <w:t xml:space="preserve"> </w:t>
      </w:r>
      <w:r w:rsidRPr="00D00720">
        <w:rPr>
          <w:rFonts w:ascii="Times" w:hAnsi="Times"/>
        </w:rPr>
        <w:t>Conservation credits of all kinds have been subjected to much criticism in academic debates. Scholars have critiqued the violence of abstraction that renders ‘nature’ – and its conservation – amenable to the process of capitalist valorisation by cutting it up into discrete but fungible services or parcels of habitat.</w:t>
      </w:r>
      <w:r w:rsidRPr="00D00720">
        <w:rPr>
          <w:rStyle w:val="EndnoteReference"/>
          <w:rFonts w:ascii="Times" w:hAnsi="Times"/>
        </w:rPr>
        <w:endnoteReference w:id="9"/>
      </w:r>
      <w:r w:rsidRPr="00D00720">
        <w:rPr>
          <w:rFonts w:ascii="Times" w:hAnsi="Times"/>
        </w:rPr>
        <w:t xml:space="preserve"> While the cutting process is ‘functionally’ problematic because it does not – and cannot – recognise the mutual interdependence of the purportedly discrete elements it isolates from one another,</w:t>
      </w:r>
      <w:r>
        <w:rPr>
          <w:rStyle w:val="EndnoteReference"/>
          <w:rFonts w:ascii="Times" w:hAnsi="Times"/>
        </w:rPr>
        <w:endnoteReference w:id="10"/>
      </w:r>
      <w:r w:rsidRPr="00D00720">
        <w:rPr>
          <w:rFonts w:ascii="Times" w:hAnsi="Times"/>
        </w:rPr>
        <w:t xml:space="preserve"> a larger concern is </w:t>
      </w:r>
      <w:r w:rsidR="000257BB">
        <w:rPr>
          <w:rFonts w:ascii="Times" w:hAnsi="Times"/>
        </w:rPr>
        <w:t>the</w:t>
      </w:r>
      <w:r w:rsidR="000257BB" w:rsidRPr="00D00720">
        <w:rPr>
          <w:rFonts w:ascii="Times" w:hAnsi="Times"/>
        </w:rPr>
        <w:t xml:space="preserve"> </w:t>
      </w:r>
      <w:r w:rsidRPr="00D00720">
        <w:rPr>
          <w:rFonts w:ascii="Times" w:hAnsi="Times"/>
        </w:rPr>
        <w:t xml:space="preserve">way it seems to </w:t>
      </w:r>
      <w:proofErr w:type="spellStart"/>
      <w:r w:rsidRPr="00D00720">
        <w:rPr>
          <w:rFonts w:ascii="Times" w:hAnsi="Times"/>
        </w:rPr>
        <w:t>decontextualise</w:t>
      </w:r>
      <w:proofErr w:type="spellEnd"/>
      <w:r w:rsidRPr="00D00720">
        <w:rPr>
          <w:rFonts w:ascii="Times" w:hAnsi="Times"/>
        </w:rPr>
        <w:t xml:space="preserve"> and separate ‘nature’ from its specificity and situatedness, particularly in regard to the socio-historical importance of place and ‘the social ties between communities and particular habitats and ecosystems</w:t>
      </w:r>
      <w:r>
        <w:rPr>
          <w:rFonts w:ascii="Times" w:hAnsi="Times"/>
        </w:rPr>
        <w:t>.</w:t>
      </w:r>
      <w:r w:rsidRPr="00D00720">
        <w:rPr>
          <w:rFonts w:ascii="Times" w:hAnsi="Times"/>
        </w:rPr>
        <w:t>’</w:t>
      </w:r>
      <w:r>
        <w:rPr>
          <w:rStyle w:val="EndnoteReference"/>
          <w:rFonts w:ascii="Times" w:hAnsi="Times"/>
        </w:rPr>
        <w:endnoteReference w:id="11"/>
      </w:r>
      <w:r w:rsidRPr="00D00720">
        <w:rPr>
          <w:rFonts w:ascii="Times" w:hAnsi="Times"/>
        </w:rPr>
        <w:t xml:space="preserve"> The socio-political stakes of these processes crystallise in </w:t>
      </w:r>
      <w:proofErr w:type="spellStart"/>
      <w:r w:rsidRPr="00D00720">
        <w:rPr>
          <w:rFonts w:ascii="Times" w:hAnsi="Times"/>
        </w:rPr>
        <w:t>Aposto</w:t>
      </w:r>
      <w:r w:rsidR="00C56E7C">
        <w:rPr>
          <w:rFonts w:ascii="Times" w:hAnsi="Times"/>
        </w:rPr>
        <w:t>lo</w:t>
      </w:r>
      <w:r w:rsidRPr="00D00720">
        <w:rPr>
          <w:rFonts w:ascii="Times" w:hAnsi="Times"/>
        </w:rPr>
        <w:t>poulou</w:t>
      </w:r>
      <w:proofErr w:type="spellEnd"/>
      <w:r w:rsidRPr="00D00720">
        <w:rPr>
          <w:rFonts w:ascii="Times" w:hAnsi="Times"/>
        </w:rPr>
        <w:t xml:space="preserve"> </w:t>
      </w:r>
      <w:r w:rsidRPr="00D00720">
        <w:rPr>
          <w:rFonts w:ascii="Times" w:hAnsi="Times"/>
          <w:i/>
        </w:rPr>
        <w:t>et al</w:t>
      </w:r>
      <w:r w:rsidRPr="00D00720">
        <w:rPr>
          <w:rFonts w:ascii="Times" w:hAnsi="Times"/>
        </w:rPr>
        <w:t xml:space="preserve">.’s observation that a credit scheme </w:t>
      </w:r>
      <w:r w:rsidRPr="00D00720">
        <w:rPr>
          <w:rFonts w:ascii="Times" w:hAnsi="Times"/>
        </w:rPr>
        <w:lastRenderedPageBreak/>
        <w:t>‘authorizes nature’s radical ‘</w:t>
      </w:r>
      <w:proofErr w:type="spellStart"/>
      <w:r w:rsidRPr="00D00720">
        <w:rPr>
          <w:rFonts w:ascii="Times" w:hAnsi="Times"/>
        </w:rPr>
        <w:t>rescripting</w:t>
      </w:r>
      <w:proofErr w:type="spellEnd"/>
      <w:r w:rsidRPr="00D00720">
        <w:rPr>
          <w:rFonts w:ascii="Times" w:hAnsi="Times"/>
        </w:rPr>
        <w:t xml:space="preserve">’ as </w:t>
      </w:r>
      <w:r w:rsidRPr="00D00720">
        <w:rPr>
          <w:rFonts w:ascii="Times" w:hAnsi="Times"/>
          <w:i/>
        </w:rPr>
        <w:t>placeless</w:t>
      </w:r>
      <w:r w:rsidRPr="00D00720">
        <w:rPr>
          <w:rFonts w:ascii="Times" w:hAnsi="Times"/>
        </w:rPr>
        <w:t>, obscuring the fact that it facilitates the production of space(s), place(s), and nature(s), according to the interests of developers</w:t>
      </w:r>
      <w:r>
        <w:rPr>
          <w:rFonts w:ascii="Times" w:hAnsi="Times"/>
        </w:rPr>
        <w:t>.</w:t>
      </w:r>
      <w:r w:rsidRPr="00D00720">
        <w:rPr>
          <w:rFonts w:ascii="Times" w:hAnsi="Times"/>
        </w:rPr>
        <w:t>’</w:t>
      </w:r>
      <w:r>
        <w:rPr>
          <w:rStyle w:val="EndnoteReference"/>
          <w:rFonts w:ascii="Times" w:hAnsi="Times"/>
        </w:rPr>
        <w:endnoteReference w:id="12"/>
      </w:r>
      <w:r w:rsidR="000257BB">
        <w:rPr>
          <w:rFonts w:ascii="Times" w:hAnsi="Times"/>
        </w:rPr>
        <w:t xml:space="preserve"> </w:t>
      </w:r>
      <w:r w:rsidR="001747A0">
        <w:rPr>
          <w:rFonts w:ascii="Times" w:hAnsi="Times"/>
        </w:rPr>
        <w:t xml:space="preserve">Spatial abstraction is thus </w:t>
      </w:r>
      <w:r w:rsidR="001747A0" w:rsidRPr="00D00720">
        <w:rPr>
          <w:rFonts w:ascii="Times" w:hAnsi="Times"/>
        </w:rPr>
        <w:t>the precondition for a conservation subordinated to accumulation in land development projects</w:t>
      </w:r>
      <w:r w:rsidR="001F6AF4">
        <w:rPr>
          <w:rFonts w:ascii="Times" w:hAnsi="Times"/>
        </w:rPr>
        <w:t xml:space="preserve"> and other corporate initiatives associated with ‘green grabbing’</w:t>
      </w:r>
      <w:r w:rsidR="001747A0">
        <w:rPr>
          <w:rFonts w:ascii="Times" w:hAnsi="Times"/>
        </w:rPr>
        <w:t xml:space="preserve">. </w:t>
      </w:r>
      <w:r w:rsidR="00395AE2">
        <w:rPr>
          <w:rFonts w:ascii="Times" w:hAnsi="Times"/>
        </w:rPr>
        <w:t>At its worst,</w:t>
      </w:r>
      <w:r w:rsidR="00A70B70">
        <w:rPr>
          <w:rFonts w:ascii="Times" w:hAnsi="Times"/>
        </w:rPr>
        <w:t xml:space="preserve"> this </w:t>
      </w:r>
      <w:r w:rsidR="00395AE2">
        <w:rPr>
          <w:rFonts w:ascii="Times" w:hAnsi="Times"/>
        </w:rPr>
        <w:t>gives the financialization of nature a particularly neo-imperial character</w:t>
      </w:r>
      <w:r w:rsidR="00E34535">
        <w:rPr>
          <w:rFonts w:ascii="Times" w:hAnsi="Times"/>
        </w:rPr>
        <w:t xml:space="preserve"> inasmuch as it </w:t>
      </w:r>
      <w:r w:rsidR="00395AE2">
        <w:rPr>
          <w:rFonts w:ascii="Times" w:hAnsi="Times"/>
        </w:rPr>
        <w:t>enabl</w:t>
      </w:r>
      <w:r w:rsidR="00E34535">
        <w:rPr>
          <w:rFonts w:ascii="Times" w:hAnsi="Times"/>
        </w:rPr>
        <w:t>es</w:t>
      </w:r>
      <w:r w:rsidR="00395AE2">
        <w:rPr>
          <w:rFonts w:ascii="Times" w:hAnsi="Times"/>
        </w:rPr>
        <w:t xml:space="preserve"> large western corporations to profit from</w:t>
      </w:r>
      <w:r w:rsidR="00EF5615">
        <w:rPr>
          <w:rFonts w:ascii="Times" w:hAnsi="Times"/>
        </w:rPr>
        <w:t xml:space="preserve"> a whole host of</w:t>
      </w:r>
      <w:r w:rsidR="00395AE2">
        <w:rPr>
          <w:rFonts w:ascii="Times" w:hAnsi="Times"/>
        </w:rPr>
        <w:t xml:space="preserve"> destructive </w:t>
      </w:r>
      <w:r w:rsidR="00BC5448">
        <w:rPr>
          <w:rFonts w:ascii="Times" w:hAnsi="Times"/>
        </w:rPr>
        <w:t xml:space="preserve">activities </w:t>
      </w:r>
      <w:r w:rsidR="00395AE2">
        <w:rPr>
          <w:rFonts w:ascii="Times" w:hAnsi="Times"/>
        </w:rPr>
        <w:t>in</w:t>
      </w:r>
      <w:r w:rsidR="00553987">
        <w:rPr>
          <w:rFonts w:ascii="Times" w:hAnsi="Times"/>
        </w:rPr>
        <w:t xml:space="preserve"> ‘the </w:t>
      </w:r>
      <w:r w:rsidR="00731FF2">
        <w:rPr>
          <w:rFonts w:ascii="Times" w:hAnsi="Times"/>
        </w:rPr>
        <w:t>West</w:t>
      </w:r>
      <w:r w:rsidR="00553987">
        <w:rPr>
          <w:rFonts w:ascii="Times" w:hAnsi="Times"/>
        </w:rPr>
        <w:t>’</w:t>
      </w:r>
      <w:r w:rsidR="00395AE2">
        <w:rPr>
          <w:rFonts w:ascii="Times" w:hAnsi="Times"/>
        </w:rPr>
        <w:t xml:space="preserve"> by conserving nature(s) in the </w:t>
      </w:r>
      <w:r w:rsidR="00731FF2">
        <w:rPr>
          <w:rFonts w:ascii="Times" w:hAnsi="Times"/>
        </w:rPr>
        <w:t>G</w:t>
      </w:r>
      <w:r w:rsidR="00395AE2">
        <w:rPr>
          <w:rFonts w:ascii="Times" w:hAnsi="Times"/>
        </w:rPr>
        <w:t>lobal South</w:t>
      </w:r>
      <w:r w:rsidR="00E34535">
        <w:rPr>
          <w:rFonts w:ascii="Times" w:hAnsi="Times"/>
        </w:rPr>
        <w:t xml:space="preserve">. Drawing from critiques made by indigenous groups, Julia </w:t>
      </w:r>
      <w:proofErr w:type="spellStart"/>
      <w:r w:rsidR="00E34535">
        <w:rPr>
          <w:rFonts w:ascii="Times" w:hAnsi="Times"/>
        </w:rPr>
        <w:t>Dehm</w:t>
      </w:r>
      <w:proofErr w:type="spellEnd"/>
      <w:r w:rsidR="00E34535">
        <w:rPr>
          <w:rFonts w:ascii="Times" w:hAnsi="Times"/>
        </w:rPr>
        <w:t xml:space="preserve"> argues that</w:t>
      </w:r>
      <w:r w:rsidR="00395AE2">
        <w:rPr>
          <w:rFonts w:ascii="Times" w:hAnsi="Times"/>
        </w:rPr>
        <w:t xml:space="preserve"> </w:t>
      </w:r>
      <w:r w:rsidR="00E41159">
        <w:rPr>
          <w:rFonts w:ascii="Times" w:hAnsi="Times"/>
        </w:rPr>
        <w:t>t</w:t>
      </w:r>
      <w:r w:rsidR="00395AE2">
        <w:rPr>
          <w:rFonts w:ascii="Times" w:hAnsi="Times"/>
        </w:rPr>
        <w:t xml:space="preserve">he unseen </w:t>
      </w:r>
      <w:r w:rsidR="00760873">
        <w:rPr>
          <w:rFonts w:ascii="Times" w:hAnsi="Times"/>
        </w:rPr>
        <w:t>consequences</w:t>
      </w:r>
      <w:r w:rsidR="00395AE2">
        <w:rPr>
          <w:rFonts w:ascii="Times" w:hAnsi="Times"/>
        </w:rPr>
        <w:t xml:space="preserve"> of </w:t>
      </w:r>
      <w:r w:rsidR="00760873">
        <w:rPr>
          <w:rFonts w:ascii="Times" w:hAnsi="Times"/>
        </w:rPr>
        <w:t xml:space="preserve">such </w:t>
      </w:r>
      <w:r w:rsidR="00E41159">
        <w:rPr>
          <w:rFonts w:ascii="Times" w:hAnsi="Times"/>
        </w:rPr>
        <w:t>offsetting schemes</w:t>
      </w:r>
      <w:r w:rsidR="00395AE2">
        <w:rPr>
          <w:rFonts w:ascii="Times" w:hAnsi="Times"/>
        </w:rPr>
        <w:t xml:space="preserve"> is</w:t>
      </w:r>
      <w:r w:rsidR="0005141C">
        <w:rPr>
          <w:rFonts w:ascii="Times" w:hAnsi="Times"/>
        </w:rPr>
        <w:t xml:space="preserve"> often</w:t>
      </w:r>
      <w:r w:rsidR="00395AE2">
        <w:rPr>
          <w:rFonts w:ascii="Times" w:hAnsi="Times"/>
        </w:rPr>
        <w:t xml:space="preserve"> the dispossession and exclusion of indigenous </w:t>
      </w:r>
      <w:r w:rsidR="00760873">
        <w:rPr>
          <w:rFonts w:ascii="Times" w:hAnsi="Times"/>
        </w:rPr>
        <w:t>people</w:t>
      </w:r>
      <w:r w:rsidR="00395AE2">
        <w:rPr>
          <w:rFonts w:ascii="Times" w:hAnsi="Times"/>
        </w:rPr>
        <w:t xml:space="preserve"> from their </w:t>
      </w:r>
      <w:r w:rsidR="00E34535">
        <w:rPr>
          <w:rFonts w:ascii="Times" w:hAnsi="Times"/>
        </w:rPr>
        <w:t>environment</w:t>
      </w:r>
      <w:r w:rsidR="00395AE2">
        <w:rPr>
          <w:rFonts w:ascii="Times" w:hAnsi="Times"/>
        </w:rPr>
        <w:t xml:space="preserve"> in the name of conservation.</w:t>
      </w:r>
      <w:r w:rsidR="00E41159">
        <w:rPr>
          <w:rStyle w:val="EndnoteReference"/>
          <w:rFonts w:ascii="Times" w:hAnsi="Times"/>
        </w:rPr>
        <w:endnoteReference w:id="13"/>
      </w:r>
    </w:p>
    <w:p w14:paraId="4E80C578" w14:textId="77777777" w:rsidR="00A70B70" w:rsidRDefault="00A70B70" w:rsidP="008257AA">
      <w:pPr>
        <w:spacing w:line="480" w:lineRule="auto"/>
        <w:rPr>
          <w:rFonts w:ascii="Times" w:hAnsi="Times"/>
        </w:rPr>
      </w:pPr>
    </w:p>
    <w:p w14:paraId="5973640C" w14:textId="75265BA8" w:rsidR="00277205" w:rsidRPr="00D00720" w:rsidRDefault="00726F20" w:rsidP="00806F5B">
      <w:pPr>
        <w:spacing w:line="480" w:lineRule="auto"/>
        <w:rPr>
          <w:rFonts w:ascii="Times" w:hAnsi="Times"/>
        </w:rPr>
      </w:pPr>
      <w:r>
        <w:rPr>
          <w:rFonts w:ascii="Times" w:hAnsi="Times"/>
        </w:rPr>
        <w:t xml:space="preserve">Accordingly, </w:t>
      </w:r>
      <w:r w:rsidR="001747A0">
        <w:rPr>
          <w:rFonts w:ascii="Times" w:hAnsi="Times"/>
        </w:rPr>
        <w:t>t</w:t>
      </w:r>
      <w:r w:rsidR="00277205" w:rsidRPr="00D00720">
        <w:rPr>
          <w:rFonts w:ascii="Times" w:hAnsi="Times"/>
        </w:rPr>
        <w:t xml:space="preserve">he spatial techniques subtending ecological credit schemes are a crucial mechanism by which capitalism achieves what Marxist geographer, Neil Smith, has called the ‘real </w:t>
      </w:r>
      <w:proofErr w:type="spellStart"/>
      <w:r w:rsidR="00277205" w:rsidRPr="00D00720">
        <w:rPr>
          <w:rFonts w:ascii="Times" w:hAnsi="Times"/>
        </w:rPr>
        <w:t>subsumption</w:t>
      </w:r>
      <w:proofErr w:type="spellEnd"/>
      <w:r w:rsidR="00277205" w:rsidRPr="00D00720">
        <w:rPr>
          <w:rFonts w:ascii="Times" w:hAnsi="Times"/>
        </w:rPr>
        <w:t xml:space="preserve"> of nature’ by capitalism.</w:t>
      </w:r>
      <w:r w:rsidR="00277205" w:rsidRPr="00D00720">
        <w:rPr>
          <w:rStyle w:val="EndnoteReference"/>
          <w:rFonts w:ascii="Times" w:hAnsi="Times"/>
        </w:rPr>
        <w:endnoteReference w:id="14"/>
      </w:r>
      <w:r w:rsidR="00277205" w:rsidRPr="00D00720">
        <w:rPr>
          <w:rFonts w:ascii="Times" w:hAnsi="Times"/>
        </w:rPr>
        <w:t xml:space="preserve"> Although, as Smith notes, capital has always ‘incidentally’ circulated through nature (in the process of agricultural production, for example), the real </w:t>
      </w:r>
      <w:proofErr w:type="spellStart"/>
      <w:r w:rsidR="00277205" w:rsidRPr="00D00720">
        <w:rPr>
          <w:rFonts w:ascii="Times" w:hAnsi="Times"/>
        </w:rPr>
        <w:t>subsumption</w:t>
      </w:r>
      <w:proofErr w:type="spellEnd"/>
      <w:r w:rsidR="00277205" w:rsidRPr="00D00720">
        <w:rPr>
          <w:rFonts w:ascii="Times" w:hAnsi="Times"/>
        </w:rPr>
        <w:t xml:space="preserve"> of nature describes capitalism’s intensive production of nature(s) as an intended strategy to integrate the latter into capital by commodifying it ‘all the way down’ and financialising it ‘all the way up’. Ecological credits thus reflect a new logic of capitalism, which is ‘no longer content to simply plunder an available nature.’ Rather, their procedures of cutting and commensuration underpin an on-going effort by capital ‘to produce an inherently social nature as the basis of new sectors of […] accumulation.’</w:t>
      </w:r>
      <w:r w:rsidR="00277205" w:rsidRPr="00D00720">
        <w:rPr>
          <w:rStyle w:val="EndnoteReference"/>
          <w:rFonts w:ascii="Times" w:hAnsi="Times"/>
        </w:rPr>
        <w:endnoteReference w:id="15"/>
      </w:r>
      <w:r w:rsidR="00277205" w:rsidRPr="00D00720">
        <w:rPr>
          <w:rFonts w:ascii="Times" w:hAnsi="Times"/>
        </w:rPr>
        <w:t xml:space="preserve"> </w:t>
      </w:r>
    </w:p>
    <w:p w14:paraId="3DB4431F" w14:textId="77777777" w:rsidR="00277205" w:rsidRPr="00D00720" w:rsidRDefault="00277205" w:rsidP="00806F5B">
      <w:pPr>
        <w:spacing w:line="480" w:lineRule="auto"/>
        <w:rPr>
          <w:rFonts w:ascii="Times" w:hAnsi="Times"/>
        </w:rPr>
      </w:pPr>
    </w:p>
    <w:p w14:paraId="3AD2159F" w14:textId="033787D7" w:rsidR="00277205" w:rsidRPr="00D00720" w:rsidRDefault="00277205" w:rsidP="00806F5B">
      <w:pPr>
        <w:spacing w:line="480" w:lineRule="auto"/>
        <w:rPr>
          <w:rFonts w:ascii="Times" w:hAnsi="Times"/>
        </w:rPr>
      </w:pPr>
      <w:r w:rsidRPr="00D00720">
        <w:rPr>
          <w:rFonts w:ascii="Times" w:hAnsi="Times"/>
        </w:rPr>
        <w:t xml:space="preserve">But if Smith’s insights contextualise the role of ecological credits in capitalism’s environmental turn, they also require some careful clarification. His distinction between a first ‘available’ or ‘incidental’ nature – seemingly external to society – and a second ‘social </w:t>
      </w:r>
      <w:r w:rsidRPr="00D00720">
        <w:rPr>
          <w:rFonts w:ascii="Times" w:hAnsi="Times"/>
        </w:rPr>
        <w:lastRenderedPageBreak/>
        <w:t xml:space="preserve">nature’ carries the significant danger of essentialising nature as an abstract entity outside the sphere of human culture, which only enters the latter as the result of its </w:t>
      </w:r>
      <w:proofErr w:type="spellStart"/>
      <w:r w:rsidRPr="00D00720">
        <w:rPr>
          <w:rFonts w:ascii="Times" w:hAnsi="Times"/>
        </w:rPr>
        <w:t>financialisation</w:t>
      </w:r>
      <w:proofErr w:type="spellEnd"/>
      <w:r w:rsidRPr="00D00720">
        <w:rPr>
          <w:rFonts w:ascii="Times" w:hAnsi="Times"/>
        </w:rPr>
        <w:t>.</w:t>
      </w:r>
      <w:r w:rsidRPr="00D00720">
        <w:rPr>
          <w:rStyle w:val="EndnoteReference"/>
          <w:rFonts w:ascii="Times" w:hAnsi="Times"/>
        </w:rPr>
        <w:endnoteReference w:id="16"/>
      </w:r>
      <w:r w:rsidRPr="00D00720">
        <w:rPr>
          <w:rFonts w:ascii="Times" w:hAnsi="Times"/>
        </w:rPr>
        <w:t xml:space="preserve"> By contrast, a key insight emerging from the environmental humanities</w:t>
      </w:r>
      <w:r w:rsidR="00AD50E2">
        <w:rPr>
          <w:rFonts w:ascii="Times" w:hAnsi="Times"/>
        </w:rPr>
        <w:t>, albeit one</w:t>
      </w:r>
      <w:r w:rsidR="006729B7">
        <w:rPr>
          <w:rFonts w:ascii="Times" w:hAnsi="Times"/>
        </w:rPr>
        <w:t xml:space="preserve"> not</w:t>
      </w:r>
      <w:r w:rsidR="00AD50E2">
        <w:rPr>
          <w:rFonts w:ascii="Times" w:hAnsi="Times"/>
        </w:rPr>
        <w:t xml:space="preserve"> without its critics,</w:t>
      </w:r>
      <w:r w:rsidRPr="00D00720">
        <w:rPr>
          <w:rFonts w:ascii="Times" w:hAnsi="Times"/>
        </w:rPr>
        <w:t xml:space="preserve"> is that </w:t>
      </w:r>
      <w:r w:rsidR="000B11B3">
        <w:rPr>
          <w:rFonts w:ascii="Times" w:hAnsi="Times"/>
        </w:rPr>
        <w:t xml:space="preserve">our conceptualisations of nature are culturally conditioned, and ultimately inextricable from </w:t>
      </w:r>
      <w:r w:rsidR="006729B7">
        <w:rPr>
          <w:rFonts w:ascii="Times" w:hAnsi="Times"/>
        </w:rPr>
        <w:t>the social contexts from which they emerge</w:t>
      </w:r>
      <w:r w:rsidRPr="00D00720">
        <w:rPr>
          <w:rFonts w:ascii="Times" w:hAnsi="Times"/>
        </w:rPr>
        <w:t>.</w:t>
      </w:r>
      <w:r w:rsidR="00AD50E2">
        <w:rPr>
          <w:rStyle w:val="EndnoteReference"/>
          <w:rFonts w:ascii="Times" w:hAnsi="Times"/>
        </w:rPr>
        <w:endnoteReference w:id="17"/>
      </w:r>
      <w:r w:rsidRPr="00D00720">
        <w:rPr>
          <w:rFonts w:ascii="Times" w:hAnsi="Times"/>
        </w:rPr>
        <w:t xml:space="preserve"> As Jason Moore has forcefully argued, ‘Nature’ is not outside the sphere of human action, either spatially through notions of untouched wilderness, or temporally through an imagined Edenic past, but constructed by a capitalist modernity that shifts the boundaries of what is considered natural according to its own interests.</w:t>
      </w:r>
      <w:r w:rsidRPr="00D00720">
        <w:rPr>
          <w:rStyle w:val="EndnoteReference"/>
          <w:rFonts w:ascii="Times" w:hAnsi="Times"/>
        </w:rPr>
        <w:endnoteReference w:id="18"/>
      </w:r>
      <w:r w:rsidRPr="00D00720">
        <w:rPr>
          <w:rFonts w:ascii="Times" w:hAnsi="Times"/>
        </w:rPr>
        <w:t xml:space="preserve"> Considered in these terms, Smith’s ‘available nature’ is neither prior nor external to the social but a consequence of relations instantiated by capitalist modernity and exacerbated by market-based conservation that produce ‘nature’ and ‘culture’ as separate entities.</w:t>
      </w:r>
      <w:r w:rsidRPr="00D00720">
        <w:rPr>
          <w:rStyle w:val="EndnoteReference"/>
          <w:rFonts w:ascii="Times" w:hAnsi="Times"/>
        </w:rPr>
        <w:endnoteReference w:id="19"/>
      </w:r>
      <w:r w:rsidRPr="00D00720">
        <w:rPr>
          <w:rFonts w:ascii="Times" w:hAnsi="Times"/>
        </w:rPr>
        <w:t xml:space="preserve"> </w:t>
      </w:r>
    </w:p>
    <w:p w14:paraId="477FE05E" w14:textId="77777777" w:rsidR="00277205" w:rsidRPr="00D00720" w:rsidRDefault="00277205" w:rsidP="00806F5B">
      <w:pPr>
        <w:spacing w:line="480" w:lineRule="auto"/>
        <w:rPr>
          <w:rFonts w:ascii="Times" w:hAnsi="Times"/>
        </w:rPr>
      </w:pPr>
    </w:p>
    <w:p w14:paraId="289458DE" w14:textId="5C2DADCD" w:rsidR="00277205" w:rsidRPr="00D00720" w:rsidRDefault="00277205" w:rsidP="00806F5B">
      <w:pPr>
        <w:spacing w:line="480" w:lineRule="auto"/>
        <w:rPr>
          <w:rFonts w:ascii="Times" w:hAnsi="Times"/>
        </w:rPr>
      </w:pPr>
      <w:r w:rsidRPr="00D00720">
        <w:rPr>
          <w:rFonts w:ascii="Times" w:hAnsi="Times"/>
        </w:rPr>
        <w:t xml:space="preserve">Consequently, we argue that the financially produced natures heralded by ecological credits are not so much the ‘real’ entry of nature into capitalism, but a new means by which the boundary between nature and culture is reimagined and further entrenched. What is distinct about the forms of </w:t>
      </w:r>
      <w:proofErr w:type="spellStart"/>
      <w:r w:rsidRPr="00D00720">
        <w:rPr>
          <w:rFonts w:ascii="Times" w:hAnsi="Times"/>
        </w:rPr>
        <w:t>financialisation</w:t>
      </w:r>
      <w:proofErr w:type="spellEnd"/>
      <w:r w:rsidRPr="00D00720">
        <w:rPr>
          <w:rFonts w:ascii="Times" w:hAnsi="Times"/>
        </w:rPr>
        <w:t xml:space="preserve"> represented by ecological credits is that they enable the production of an externalised nature at higher levels of abstraction, dematerialising it through ‘the transformation of its sensual and embodied aspects into the transcendent zeros and ones of more easily </w:t>
      </w:r>
      <w:proofErr w:type="spellStart"/>
      <w:r w:rsidRPr="00D00720">
        <w:rPr>
          <w:rFonts w:ascii="Times" w:hAnsi="Times"/>
        </w:rPr>
        <w:t>manipulable</w:t>
      </w:r>
      <w:proofErr w:type="spellEnd"/>
      <w:r w:rsidRPr="00D00720">
        <w:rPr>
          <w:rFonts w:ascii="Times" w:hAnsi="Times"/>
        </w:rPr>
        <w:t xml:space="preserve"> digital information.’</w:t>
      </w:r>
      <w:r w:rsidRPr="00D00720">
        <w:rPr>
          <w:rStyle w:val="EndnoteReference"/>
          <w:rFonts w:ascii="Times" w:hAnsi="Times"/>
        </w:rPr>
        <w:endnoteReference w:id="20"/>
      </w:r>
      <w:r w:rsidRPr="00D00720">
        <w:rPr>
          <w:rFonts w:ascii="Times" w:hAnsi="Times"/>
        </w:rPr>
        <w:t xml:space="preserve"> Conservation credits are thus representative of a market environmentalism that, as Sullivan notes, facilitates the ‘release of “nature value” from the world of embedded materiality to increasingly virtual realms’ whilst also redoubling the separation of nature and culture made by capitalist modernity.</w:t>
      </w:r>
      <w:r w:rsidRPr="00D00720">
        <w:rPr>
          <w:rStyle w:val="EndnoteReference"/>
          <w:rFonts w:ascii="Times" w:hAnsi="Times"/>
        </w:rPr>
        <w:endnoteReference w:id="21"/>
      </w:r>
      <w:r w:rsidRPr="00D00720">
        <w:rPr>
          <w:rFonts w:ascii="Times" w:hAnsi="Times"/>
        </w:rPr>
        <w:t xml:space="preserve"> To be sure, this process of literally and figuratively uprooting nature from its embedded materiality predates the introduction of market-based instruments into conservation, but the latter nevertheless </w:t>
      </w:r>
      <w:r w:rsidRPr="00D00720">
        <w:rPr>
          <w:rFonts w:ascii="Times" w:hAnsi="Times"/>
        </w:rPr>
        <w:lastRenderedPageBreak/>
        <w:t>represents a new mode by which this abstraction takes place, bundling attributes derived from the already externalised nature constructed by modern, capitalist epistemologies.</w:t>
      </w:r>
    </w:p>
    <w:p w14:paraId="0FCF4367" w14:textId="77777777" w:rsidR="00277205" w:rsidRPr="00D00720" w:rsidRDefault="00277205" w:rsidP="00806F5B">
      <w:pPr>
        <w:spacing w:line="480" w:lineRule="auto"/>
        <w:rPr>
          <w:rFonts w:ascii="Times" w:hAnsi="Times"/>
        </w:rPr>
      </w:pPr>
    </w:p>
    <w:p w14:paraId="5E2209E6" w14:textId="20DD8351" w:rsidR="00277205" w:rsidRPr="00D00720" w:rsidRDefault="007C5E3B" w:rsidP="00806F5B">
      <w:pPr>
        <w:spacing w:line="480" w:lineRule="auto"/>
        <w:rPr>
          <w:rFonts w:ascii="Times" w:hAnsi="Times"/>
        </w:rPr>
      </w:pPr>
      <w:r>
        <w:rPr>
          <w:rFonts w:ascii="Times" w:hAnsi="Times"/>
        </w:rPr>
        <w:t xml:space="preserve">In this respect, ecological credits harbour a set of processes that </w:t>
      </w:r>
      <w:r w:rsidR="00277205" w:rsidRPr="00D00720">
        <w:rPr>
          <w:rFonts w:ascii="Times" w:hAnsi="Times"/>
        </w:rPr>
        <w:t>ensure features of an ecosystem are translated into a ‘nature that capital can see’, so that environmental destruction can be offset through market exchanges.</w:t>
      </w:r>
      <w:r w:rsidR="00277205" w:rsidRPr="00D00720">
        <w:rPr>
          <w:rStyle w:val="EndnoteReference"/>
          <w:rFonts w:ascii="Times" w:hAnsi="Times"/>
        </w:rPr>
        <w:endnoteReference w:id="22"/>
      </w:r>
      <w:r w:rsidR="00277205" w:rsidRPr="00D00720">
        <w:rPr>
          <w:rFonts w:ascii="Times" w:hAnsi="Times"/>
        </w:rPr>
        <w:t xml:space="preserve"> This has often taken place through the construction of nature as a set of ‘ecosystem services’, which can be paid for through market transactions. Accordingly, this increasingly hegemonic approach to ecological conservation ostensibly reframes nature as a ‘corporation’; a provider of goods and services that can and should be priced and traded as commodities.</w:t>
      </w:r>
      <w:r w:rsidR="00277205" w:rsidRPr="00D00720">
        <w:rPr>
          <w:rStyle w:val="EndnoteReference"/>
          <w:rFonts w:ascii="Times" w:hAnsi="Times"/>
        </w:rPr>
        <w:endnoteReference w:id="23"/>
      </w:r>
      <w:r w:rsidR="00277205" w:rsidRPr="00D00720">
        <w:rPr>
          <w:rFonts w:ascii="Times" w:hAnsi="Times"/>
        </w:rPr>
        <w:t xml:space="preserve"> This ‘reframing’ is predicated on the ‘unbundling’ of ecosystems into discrete services, or packets of services.</w:t>
      </w:r>
      <w:r w:rsidR="00277205" w:rsidRPr="00D00720">
        <w:rPr>
          <w:rStyle w:val="EndnoteReference"/>
          <w:rFonts w:ascii="Times" w:hAnsi="Times"/>
        </w:rPr>
        <w:endnoteReference w:id="24"/>
      </w:r>
      <w:r w:rsidR="00277205" w:rsidRPr="00D00720">
        <w:rPr>
          <w:rFonts w:ascii="Times" w:hAnsi="Times"/>
        </w:rPr>
        <w:t xml:space="preserve"> But, crucially, the only goods and services that are visible through this economic prism are those provided by nature to humans. The ecosystem services approach is therefore constitutively anthropocentric. Through the interwoven techniques of ecological science, economics and financial mathematics, the ‘nature-culture’ that both surrounds and flows through a river, for example, is reductively reframed as a set of provisioning services (water, food etc.), regulating services (floods, droughts etc.) and so on, which can be quantified according to the size of the service and its quality and priced accordingly. In doing so, nature, as a set of services, is rendered as a fictional commodity.</w:t>
      </w:r>
      <w:r w:rsidR="00277205" w:rsidRPr="00D00720">
        <w:rPr>
          <w:rStyle w:val="EndnoteReference"/>
          <w:rFonts w:ascii="Times" w:hAnsi="Times"/>
        </w:rPr>
        <w:endnoteReference w:id="25"/>
      </w:r>
      <w:r w:rsidR="00277205" w:rsidRPr="00D00720">
        <w:rPr>
          <w:rFonts w:ascii="Times" w:hAnsi="Times"/>
        </w:rPr>
        <w:t xml:space="preserve"> </w:t>
      </w:r>
    </w:p>
    <w:p w14:paraId="1D598450" w14:textId="77777777" w:rsidR="00277205" w:rsidRPr="00D00720" w:rsidRDefault="00277205" w:rsidP="00806F5B">
      <w:pPr>
        <w:spacing w:line="480" w:lineRule="auto"/>
        <w:rPr>
          <w:rFonts w:ascii="Times" w:hAnsi="Times"/>
        </w:rPr>
      </w:pPr>
    </w:p>
    <w:p w14:paraId="5AE2A0CF" w14:textId="7986634A" w:rsidR="00277205" w:rsidRPr="00D00720" w:rsidRDefault="00277205" w:rsidP="00806F5B">
      <w:pPr>
        <w:spacing w:line="480" w:lineRule="auto"/>
        <w:rPr>
          <w:rFonts w:ascii="Times" w:hAnsi="Times"/>
        </w:rPr>
      </w:pPr>
      <w:r w:rsidRPr="00D00720">
        <w:rPr>
          <w:rFonts w:ascii="Times" w:hAnsi="Times"/>
        </w:rPr>
        <w:t xml:space="preserve">As well as the extraordinarily anthropocentric figuring of nature involved in its reification as services, equally striking are the ways in which different ecosystems thus become commensurable or fungible as equivalent bundles of services, which can be substituted across space. As Robertson notes in his study of a wetland credit scheme, the abstraction process that created the commodities allowed ‘the “wetland service” to escape from the messy </w:t>
      </w:r>
      <w:r w:rsidRPr="00D00720">
        <w:rPr>
          <w:rFonts w:ascii="Times" w:hAnsi="Times"/>
        </w:rPr>
        <w:lastRenderedPageBreak/>
        <w:t>physicality and uniqueness of the wetland itself.’</w:t>
      </w:r>
      <w:r w:rsidR="00723CEB">
        <w:rPr>
          <w:rStyle w:val="EndnoteReference"/>
          <w:rFonts w:ascii="Times" w:hAnsi="Times"/>
        </w:rPr>
        <w:endnoteReference w:id="26"/>
      </w:r>
      <w:r w:rsidRPr="00D00720">
        <w:rPr>
          <w:rFonts w:ascii="Times" w:hAnsi="Times"/>
        </w:rPr>
        <w:t xml:space="preserve"> The production of ecosystems as fungible entities lays the conceptual groundwork for any ecological credit scheme. It enables capital to make an economic costing of ecological destruction as the loss of a bundle of ecosystem services, which in turn can be offset by the purchasing of credits that ensure the restoration, enhancement and management of a similar set of ecosystem services elsewhere. The ecosystem services approach is part of the conceptual construction of ‘earth as a giant abstract environmental “ledger”</w:t>
      </w:r>
      <w:r>
        <w:rPr>
          <w:rFonts w:ascii="Times" w:hAnsi="Times"/>
        </w:rPr>
        <w:t>,</w:t>
      </w:r>
      <w:r w:rsidRPr="00D00720">
        <w:rPr>
          <w:rFonts w:ascii="Times" w:hAnsi="Times"/>
        </w:rPr>
        <w:t>’ whose pages record the financial contributions that ‘nature’ makes to local, national and international economies.</w:t>
      </w:r>
      <w:r>
        <w:rPr>
          <w:rStyle w:val="EndnoteReference"/>
          <w:rFonts w:ascii="Times" w:hAnsi="Times"/>
        </w:rPr>
        <w:endnoteReference w:id="27"/>
      </w:r>
      <w:r w:rsidRPr="00D00720">
        <w:rPr>
          <w:rFonts w:ascii="Times" w:hAnsi="Times"/>
        </w:rPr>
        <w:t xml:space="preserve"> The logic often used by environmental capitalists to promote this approach is that such contributions can no longer be ignored as externalities, and the true price of environmental despoliation is finally incorporated into the calculations of those responsible for ensuring continued economic growth. This is no more so than in the case of biodiversity offsetting, which in recent years have become an influential method for financing and implementing conversation projects in the UK, following its widespread adoption in other countries such as Australia.</w:t>
      </w:r>
      <w:r w:rsidRPr="00D00720">
        <w:rPr>
          <w:rStyle w:val="EndnoteReference"/>
          <w:rFonts w:ascii="Times" w:hAnsi="Times"/>
        </w:rPr>
        <w:endnoteReference w:id="28"/>
      </w:r>
      <w:r w:rsidRPr="00D00720">
        <w:rPr>
          <w:rFonts w:ascii="Times" w:hAnsi="Times"/>
        </w:rPr>
        <w:t xml:space="preserve">  </w:t>
      </w:r>
    </w:p>
    <w:p w14:paraId="43202AB2" w14:textId="77777777" w:rsidR="00277205" w:rsidRPr="00D00720" w:rsidRDefault="00277205" w:rsidP="00E16B5E">
      <w:pPr>
        <w:spacing w:line="480" w:lineRule="auto"/>
        <w:rPr>
          <w:rFonts w:ascii="Times" w:hAnsi="Times"/>
          <w:b/>
        </w:rPr>
      </w:pPr>
    </w:p>
    <w:p w14:paraId="4BF37175" w14:textId="50400582" w:rsidR="00277205" w:rsidRPr="00DF14E7" w:rsidRDefault="00277205" w:rsidP="00E16B5E">
      <w:pPr>
        <w:spacing w:line="480" w:lineRule="auto"/>
        <w:rPr>
          <w:rFonts w:ascii="Helvetica Neue" w:hAnsi="Helvetica Neue"/>
          <w:b/>
        </w:rPr>
      </w:pPr>
      <w:r w:rsidRPr="00DF14E7">
        <w:rPr>
          <w:rFonts w:ascii="Helvetica Neue" w:hAnsi="Helvetica Neue"/>
          <w:b/>
        </w:rPr>
        <w:t>2: An emerging architecture for biodiversity trading in the UK</w:t>
      </w:r>
    </w:p>
    <w:p w14:paraId="0CA609CD" w14:textId="77777777" w:rsidR="00277205" w:rsidRPr="00D00720" w:rsidRDefault="00277205" w:rsidP="00E16B5E">
      <w:pPr>
        <w:spacing w:line="480" w:lineRule="auto"/>
        <w:rPr>
          <w:rFonts w:ascii="Times" w:hAnsi="Times"/>
        </w:rPr>
      </w:pPr>
    </w:p>
    <w:p w14:paraId="3935CCFC" w14:textId="1A9CC21B" w:rsidR="00277205" w:rsidRPr="00D00720" w:rsidRDefault="00277205" w:rsidP="00CE626C">
      <w:pPr>
        <w:spacing w:line="480" w:lineRule="auto"/>
        <w:rPr>
          <w:rFonts w:ascii="Times" w:hAnsi="Times"/>
        </w:rPr>
      </w:pPr>
      <w:r w:rsidRPr="00D00720">
        <w:rPr>
          <w:rFonts w:ascii="Times" w:hAnsi="Times"/>
        </w:rPr>
        <w:t xml:space="preserve">What do the smooth newt and the short-tailed weasel have in common? Sharing very little by way of morphological characteristics, DNA, or ways of inhabiting the world, they are both deemed unprotected species in the UK. As a direct consequence of this, the habitat of one species is able to be legally destroyed as long as the other is enhanced. At least, so long as other avenues of mitigation have been exhausted, and the habitats of both species have been captured through a biodiversity offsetting scheme first. </w:t>
      </w:r>
    </w:p>
    <w:p w14:paraId="0E35A5E4" w14:textId="77777777" w:rsidR="00277205" w:rsidRPr="00D00720" w:rsidRDefault="00277205" w:rsidP="00CE626C">
      <w:pPr>
        <w:tabs>
          <w:tab w:val="left" w:pos="709"/>
        </w:tabs>
        <w:spacing w:line="480" w:lineRule="auto"/>
        <w:rPr>
          <w:rFonts w:ascii="Times" w:hAnsi="Times"/>
        </w:rPr>
      </w:pPr>
      <w:r w:rsidRPr="00D00720">
        <w:rPr>
          <w:rFonts w:ascii="Times" w:hAnsi="Times"/>
        </w:rPr>
        <w:tab/>
      </w:r>
    </w:p>
    <w:p w14:paraId="6005B87C" w14:textId="3EB7952C" w:rsidR="00277205" w:rsidRPr="00D00720" w:rsidRDefault="00277205" w:rsidP="00CE626C">
      <w:pPr>
        <w:tabs>
          <w:tab w:val="left" w:pos="709"/>
        </w:tabs>
        <w:spacing w:line="480" w:lineRule="auto"/>
        <w:rPr>
          <w:rFonts w:ascii="Times" w:hAnsi="Times"/>
        </w:rPr>
      </w:pPr>
      <w:r w:rsidRPr="00D00720">
        <w:rPr>
          <w:rFonts w:ascii="Times" w:hAnsi="Times"/>
        </w:rPr>
        <w:lastRenderedPageBreak/>
        <w:t xml:space="preserve">Like many of the market-based instruments discussed above, biodiversity credits work on the basis of that a reduction in a definable property of an ecosystem in one place can be compensated by the creation of gains in this same property in another location. In this case, the definable property is biodiversity itself. </w:t>
      </w:r>
      <w:r w:rsidR="00281631">
        <w:rPr>
          <w:rFonts w:ascii="Times" w:hAnsi="Times"/>
        </w:rPr>
        <w:t>These schemes</w:t>
      </w:r>
      <w:r w:rsidR="00281631" w:rsidRPr="00D00720">
        <w:rPr>
          <w:rFonts w:ascii="Times" w:hAnsi="Times"/>
        </w:rPr>
        <w:t xml:space="preserve"> </w:t>
      </w:r>
      <w:r w:rsidRPr="00D00720">
        <w:rPr>
          <w:rFonts w:ascii="Times" w:hAnsi="Times"/>
        </w:rPr>
        <w:t>are primarily used by land developers to mitigate the environmental damage associated with development projects through the purchase of credits, which pay for either the improvement or expansion of ecological sites elsewhere. The aim of such exchanges is to ensure that there is ‘No Net Loss’ (NNL) and even, where possible, net gains to biodiversity, although there are currently moves towards abandoning the NNL principle and moving toward allowing only ‘net gains’.</w:t>
      </w:r>
      <w:r w:rsidRPr="00D00720">
        <w:rPr>
          <w:rStyle w:val="EndnoteReference"/>
          <w:rFonts w:ascii="Times" w:hAnsi="Times"/>
        </w:rPr>
        <w:endnoteReference w:id="29"/>
      </w:r>
    </w:p>
    <w:p w14:paraId="4E561142" w14:textId="77777777" w:rsidR="00277205" w:rsidRPr="00D00720" w:rsidRDefault="00277205" w:rsidP="00CE626C">
      <w:pPr>
        <w:tabs>
          <w:tab w:val="left" w:pos="709"/>
        </w:tabs>
        <w:spacing w:line="480" w:lineRule="auto"/>
        <w:ind w:firstLine="709"/>
        <w:rPr>
          <w:rFonts w:ascii="Times" w:hAnsi="Times"/>
        </w:rPr>
      </w:pPr>
    </w:p>
    <w:p w14:paraId="56835E30" w14:textId="20E1FC02" w:rsidR="00277205" w:rsidRPr="00D00720" w:rsidRDefault="00277205" w:rsidP="00806F5B">
      <w:pPr>
        <w:tabs>
          <w:tab w:val="left" w:pos="709"/>
        </w:tabs>
        <w:spacing w:line="480" w:lineRule="auto"/>
        <w:rPr>
          <w:rFonts w:ascii="Times" w:hAnsi="Times"/>
        </w:rPr>
      </w:pPr>
      <w:r w:rsidRPr="00D00720">
        <w:rPr>
          <w:rFonts w:ascii="Times" w:hAnsi="Times"/>
        </w:rPr>
        <w:t>Having gained a reputation for being less crude than an ecosystem services approach,</w:t>
      </w:r>
      <w:r w:rsidRPr="00D00720">
        <w:rPr>
          <w:rStyle w:val="EndnoteReference"/>
          <w:rFonts w:ascii="Times" w:hAnsi="Times"/>
        </w:rPr>
        <w:endnoteReference w:id="30"/>
      </w:r>
      <w:r w:rsidRPr="00D00720">
        <w:rPr>
          <w:rFonts w:ascii="Times" w:hAnsi="Times"/>
        </w:rPr>
        <w:t xml:space="preserve"> insofar as they are not so blatantly anthropocentric, biodiversity credits have their roots in the promotion of biodiversity in the 1980s.</w:t>
      </w:r>
      <w:r w:rsidRPr="00D00720">
        <w:rPr>
          <w:rStyle w:val="EndnoteReference"/>
          <w:rFonts w:ascii="Times" w:hAnsi="Times"/>
        </w:rPr>
        <w:endnoteReference w:id="31"/>
      </w:r>
      <w:r w:rsidRPr="00D00720">
        <w:rPr>
          <w:rFonts w:ascii="Times" w:hAnsi="Times"/>
        </w:rPr>
        <w:t xml:space="preserve"> Globally, the first biodiversity credit schemes emerged out of the neoliberal climate of the US in the 1990s, where commercial wetland mitigation banking and, later, species banking were seen as an alternative, market-based response to concerns around habitat loss at a time when government regulation and legal solutions were considered anathema.</w:t>
      </w:r>
      <w:r w:rsidRPr="00D00720">
        <w:rPr>
          <w:rStyle w:val="EndnoteReference"/>
          <w:rFonts w:ascii="Times" w:hAnsi="Times"/>
        </w:rPr>
        <w:endnoteReference w:id="32"/>
      </w:r>
      <w:r w:rsidRPr="00D00720">
        <w:rPr>
          <w:rFonts w:ascii="Times" w:hAnsi="Times"/>
        </w:rPr>
        <w:t xml:space="preserve"> In Britain, biodiversity offsetting first appeared in the late-noughties, taking shape within a similar policy environment as one part of a suite of responses to climate change that fitted neatly within prevailing assumptions regarding the virtues of the market and the limitations of state regulation.</w:t>
      </w:r>
      <w:r w:rsidRPr="00D00720">
        <w:rPr>
          <w:rStyle w:val="EndnoteReference"/>
          <w:rFonts w:ascii="Times" w:hAnsi="Times"/>
        </w:rPr>
        <w:endnoteReference w:id="33"/>
      </w:r>
      <w:r w:rsidRPr="00D00720">
        <w:rPr>
          <w:rFonts w:ascii="Times" w:hAnsi="Times"/>
        </w:rPr>
        <w:t xml:space="preserve"> In 2007, the Labour government introduced the idea of offsetting as part of a move towards creating markets for biodiversity.</w:t>
      </w:r>
      <w:r w:rsidRPr="00D00720">
        <w:rPr>
          <w:rStyle w:val="EndnoteReference"/>
          <w:rFonts w:ascii="Times" w:hAnsi="Times"/>
        </w:rPr>
        <w:endnoteReference w:id="34"/>
      </w:r>
      <w:r w:rsidRPr="00D00720">
        <w:rPr>
          <w:rFonts w:ascii="Times" w:hAnsi="Times"/>
        </w:rPr>
        <w:t xml:space="preserve"> In 2009, it commissioned a study to understand how a biodiversity offsetting market might work in the UK</w:t>
      </w:r>
      <w:r>
        <w:rPr>
          <w:rFonts w:ascii="Times" w:hAnsi="Times"/>
        </w:rPr>
        <w:t>.</w:t>
      </w:r>
      <w:r>
        <w:rPr>
          <w:rStyle w:val="EndnoteReference"/>
          <w:rFonts w:ascii="Times" w:hAnsi="Times"/>
        </w:rPr>
        <w:endnoteReference w:id="35"/>
      </w:r>
    </w:p>
    <w:p w14:paraId="56E0E5F2" w14:textId="77777777" w:rsidR="00277205" w:rsidRPr="00D00720" w:rsidRDefault="00277205" w:rsidP="00CE626C">
      <w:pPr>
        <w:tabs>
          <w:tab w:val="left" w:pos="709"/>
        </w:tabs>
        <w:spacing w:line="480" w:lineRule="auto"/>
        <w:ind w:firstLine="709"/>
        <w:rPr>
          <w:rFonts w:ascii="Times" w:hAnsi="Times"/>
        </w:rPr>
      </w:pPr>
    </w:p>
    <w:p w14:paraId="08C13BEC" w14:textId="6D038AD2" w:rsidR="00277205" w:rsidRPr="00D00720" w:rsidRDefault="00277205" w:rsidP="00806F5B">
      <w:pPr>
        <w:tabs>
          <w:tab w:val="left" w:pos="709"/>
        </w:tabs>
        <w:spacing w:line="480" w:lineRule="auto"/>
        <w:rPr>
          <w:rFonts w:ascii="Times" w:hAnsi="Times"/>
        </w:rPr>
      </w:pPr>
      <w:r w:rsidRPr="00D00720">
        <w:rPr>
          <w:rFonts w:ascii="Times" w:hAnsi="Times"/>
        </w:rPr>
        <w:lastRenderedPageBreak/>
        <w:t>Since the election of the Coalition Government in 2010, successive UK governments have continued to back biodiversity offsetting schemes as ‘an option available to developers to fulfil their obligations under the planning [system]</w:t>
      </w:r>
      <w:r w:rsidR="00723CEB">
        <w:rPr>
          <w:rFonts w:ascii="Times" w:hAnsi="Times"/>
        </w:rPr>
        <w:t>.</w:t>
      </w:r>
      <w:r w:rsidRPr="00D00720">
        <w:rPr>
          <w:rFonts w:ascii="Times" w:hAnsi="Times"/>
        </w:rPr>
        <w:t>’</w:t>
      </w:r>
      <w:r w:rsidR="00723CEB">
        <w:rPr>
          <w:rStyle w:val="EndnoteReference"/>
          <w:rFonts w:ascii="Times" w:hAnsi="Times"/>
        </w:rPr>
        <w:endnoteReference w:id="36"/>
      </w:r>
      <w:r w:rsidRPr="00D00720">
        <w:rPr>
          <w:rFonts w:ascii="Times" w:hAnsi="Times"/>
        </w:rPr>
        <w:t xml:space="preserve">  Such endeavours have been supported by the UK Government’s creation of 6 pilot schemes based across various locations in England, as well as the publication of a technical guidance paper, which includes a standardised metric, based on guidelines developed by the Business and Biodiversity Offsets Programme (BBOP), which stakeholders can use to quantify ‘parcels’ of biodiversity and exchange them as credits.</w:t>
      </w:r>
      <w:r w:rsidRPr="00D00720">
        <w:rPr>
          <w:rStyle w:val="EndnoteReference"/>
          <w:rFonts w:ascii="Times" w:hAnsi="Times"/>
        </w:rPr>
        <w:endnoteReference w:id="37"/>
      </w:r>
      <w:r w:rsidRPr="00D00720">
        <w:rPr>
          <w:rFonts w:ascii="Times" w:hAnsi="Times"/>
        </w:rPr>
        <w:t xml:space="preserve"> The document provides the technical blueprint for those hoping to develop credit schemes across the UK. Following the completion and evaluation of the pilot schemes, the UK Government is currently modifying its biodiversity offsetting policy, promising to produce a new iteration of the metric it published in 2012.</w:t>
      </w:r>
      <w:r w:rsidRPr="00D00720">
        <w:rPr>
          <w:rStyle w:val="EndnoteReference"/>
          <w:rFonts w:ascii="Times" w:hAnsi="Times"/>
        </w:rPr>
        <w:endnoteReference w:id="38"/>
      </w:r>
      <w:r w:rsidRPr="00D00720">
        <w:rPr>
          <w:rFonts w:ascii="Times" w:hAnsi="Times"/>
        </w:rPr>
        <w:t xml:space="preserve"> This new iteration promises new tools that can quantify biodiversity more accurately and automate the process of calculating credits</w:t>
      </w:r>
      <w:r>
        <w:rPr>
          <w:rFonts w:ascii="Times" w:hAnsi="Times"/>
        </w:rPr>
        <w:t>.</w:t>
      </w:r>
    </w:p>
    <w:p w14:paraId="0CE24E02" w14:textId="77777777" w:rsidR="00277205" w:rsidRPr="00D00720" w:rsidRDefault="00277205" w:rsidP="00806F5B">
      <w:pPr>
        <w:spacing w:line="480" w:lineRule="auto"/>
        <w:rPr>
          <w:rFonts w:ascii="Times" w:hAnsi="Times"/>
        </w:rPr>
      </w:pPr>
    </w:p>
    <w:p w14:paraId="78247019" w14:textId="383EE63B" w:rsidR="00277205" w:rsidRPr="00D00720" w:rsidRDefault="00277205" w:rsidP="00806F5B">
      <w:pPr>
        <w:spacing w:line="480" w:lineRule="auto"/>
        <w:rPr>
          <w:rFonts w:ascii="Times" w:hAnsi="Times"/>
        </w:rPr>
      </w:pPr>
      <w:r w:rsidRPr="00D00720">
        <w:rPr>
          <w:rFonts w:ascii="Times" w:hAnsi="Times"/>
        </w:rPr>
        <w:t>And while the UK Government continues to go about the business of ‘market creation’, largely by enlisting local councils and planning agencies, organisations such as the Environment Bank have emerged to support this process.</w:t>
      </w:r>
      <w:r w:rsidRPr="00D00720">
        <w:rPr>
          <w:rStyle w:val="EndnoteReference"/>
          <w:rFonts w:ascii="Times" w:hAnsi="Times"/>
        </w:rPr>
        <w:endnoteReference w:id="39"/>
      </w:r>
      <w:r w:rsidRPr="00D00720">
        <w:rPr>
          <w:rFonts w:ascii="Times" w:hAnsi="Times"/>
        </w:rPr>
        <w:t xml:space="preserve"> Since its inception, the Environment Bank, which boasts investment from, among others, the Shell Foundation, has supported the development of a biodiversity offsetting market in a number of ways.</w:t>
      </w:r>
      <w:r w:rsidRPr="00D00720">
        <w:rPr>
          <w:rStyle w:val="EndnoteReference"/>
          <w:rFonts w:ascii="Times" w:hAnsi="Times"/>
        </w:rPr>
        <w:endnoteReference w:id="40"/>
      </w:r>
      <w:r w:rsidRPr="00D00720">
        <w:rPr>
          <w:rFonts w:ascii="Times" w:hAnsi="Times"/>
        </w:rPr>
        <w:t xml:space="preserve"> It has created registries of ‘credit’ or ‘offset sites’ – ostensibly parcels of land that can be improved or expanded to offset biodiversity losses, as well as to broker credit exchanges between developers and the owners of offset sites. In 2015, The Environment Bank brokered its first set of credits.</w:t>
      </w:r>
      <w:r w:rsidRPr="00D00720">
        <w:rPr>
          <w:rStyle w:val="EndnoteReference"/>
          <w:rFonts w:ascii="Times" w:hAnsi="Times"/>
        </w:rPr>
        <w:endnoteReference w:id="41"/>
      </w:r>
      <w:r w:rsidRPr="00D00720">
        <w:rPr>
          <w:rFonts w:ascii="Times" w:hAnsi="Times"/>
        </w:rPr>
        <w:t xml:space="preserve"> At the time of writing, it has either concluded or is in the process of concluding credit sales in Rugby, Warwick, and Cambridge, among other locations.</w:t>
      </w:r>
      <w:r w:rsidRPr="00D00720">
        <w:rPr>
          <w:rStyle w:val="EndnoteReference"/>
          <w:rFonts w:ascii="Times" w:hAnsi="Times"/>
        </w:rPr>
        <w:endnoteReference w:id="42"/>
      </w:r>
      <w:r w:rsidRPr="00D00720">
        <w:rPr>
          <w:rFonts w:ascii="Times" w:hAnsi="Times"/>
        </w:rPr>
        <w:t xml:space="preserve"> Even if biodiversity credits represent a reasonably new market for conservation in UK, the growing </w:t>
      </w:r>
      <w:r w:rsidRPr="00D00720">
        <w:rPr>
          <w:rFonts w:ascii="Times" w:hAnsi="Times"/>
        </w:rPr>
        <w:lastRenderedPageBreak/>
        <w:t>infrastructures that enable them to be established and traded indicate that their place on the climate change policy agenda in the UK is only set to increase.</w:t>
      </w:r>
    </w:p>
    <w:p w14:paraId="60D75514" w14:textId="77777777" w:rsidR="00277205" w:rsidRPr="00D00720" w:rsidRDefault="00277205" w:rsidP="00806F5B">
      <w:pPr>
        <w:spacing w:line="480" w:lineRule="auto"/>
        <w:rPr>
          <w:rFonts w:ascii="Times" w:hAnsi="Times"/>
        </w:rPr>
      </w:pPr>
    </w:p>
    <w:p w14:paraId="28ED6519" w14:textId="3BF196AC" w:rsidR="00277205" w:rsidRPr="00D00720" w:rsidRDefault="00277205" w:rsidP="00806F5B">
      <w:pPr>
        <w:spacing w:line="480" w:lineRule="auto"/>
        <w:rPr>
          <w:rFonts w:ascii="Times" w:hAnsi="Times"/>
        </w:rPr>
      </w:pPr>
      <w:r w:rsidRPr="00D00720">
        <w:rPr>
          <w:rFonts w:ascii="Times" w:hAnsi="Times"/>
        </w:rPr>
        <w:t xml:space="preserve">Such a trajectory is not confined to the UK but instead reflects something of a global turn to biodiversity offsetting in environmental policy.  There are now 12,983 known biodiversity offsetting schemes operating in </w:t>
      </w:r>
      <w:r w:rsidR="007A4FA0">
        <w:rPr>
          <w:rFonts w:ascii="Times" w:hAnsi="Times"/>
        </w:rPr>
        <w:t>thirty-seven</w:t>
      </w:r>
      <w:r w:rsidRPr="00D00720">
        <w:rPr>
          <w:rFonts w:ascii="Times" w:hAnsi="Times"/>
        </w:rPr>
        <w:t xml:space="preserve"> countries under the NNL framework.</w:t>
      </w:r>
      <w:r w:rsidRPr="00D00720">
        <w:rPr>
          <w:rStyle w:val="EndnoteReference"/>
          <w:rFonts w:ascii="Times" w:hAnsi="Times"/>
        </w:rPr>
        <w:endnoteReference w:id="43"/>
      </w:r>
      <w:r w:rsidRPr="00D00720">
        <w:rPr>
          <w:rFonts w:ascii="Times" w:hAnsi="Times"/>
        </w:rPr>
        <w:t xml:space="preserve"> The EU’s on-going efforts to promote the establishment of biodiversity offsetting schemes in conjunction with biodiversity banking are a central pillar of its own NNL initiative.</w:t>
      </w:r>
      <w:r w:rsidRPr="00D00720">
        <w:rPr>
          <w:rStyle w:val="EndnoteReference"/>
          <w:rFonts w:ascii="Times" w:hAnsi="Times"/>
        </w:rPr>
        <w:endnoteReference w:id="44"/>
      </w:r>
      <w:r w:rsidRPr="00D00720">
        <w:rPr>
          <w:rFonts w:ascii="Times" w:hAnsi="Times"/>
        </w:rPr>
        <w:t xml:space="preserve"> Britain’s emerging biodiversity credit markets thus fold it into line with the rest of Europe regardless of on-going uncertainty regarding how Brexit may or may not influence environmental policy. Far from a niche concern, then, focusing critical attentions towards the operations of biodiversity schemes, particularly with respect to the kinds of ecology they enable and foreclose, remains an important issue both in Britain and beyond.</w:t>
      </w:r>
    </w:p>
    <w:p w14:paraId="53AE3DB6" w14:textId="77777777" w:rsidR="00277205" w:rsidRPr="00D00720" w:rsidRDefault="00277205" w:rsidP="00CE626C">
      <w:pPr>
        <w:spacing w:line="480" w:lineRule="auto"/>
        <w:ind w:firstLine="720"/>
        <w:rPr>
          <w:rFonts w:ascii="Times" w:hAnsi="Times"/>
        </w:rPr>
      </w:pPr>
    </w:p>
    <w:p w14:paraId="1347EDE5" w14:textId="77777777" w:rsidR="00277205" w:rsidRPr="00DF14E7" w:rsidRDefault="00277205" w:rsidP="0026291B">
      <w:pPr>
        <w:spacing w:before="240" w:after="240" w:line="480" w:lineRule="auto"/>
        <w:rPr>
          <w:rFonts w:ascii="Helvetica Neue" w:hAnsi="Helvetica Neue"/>
          <w:b/>
        </w:rPr>
      </w:pPr>
      <w:bookmarkStart w:id="1" w:name="_Hlk531160032"/>
      <w:bookmarkStart w:id="2" w:name="_Hlk3290905"/>
      <w:r w:rsidRPr="00DF14E7">
        <w:rPr>
          <w:rFonts w:ascii="Helvetica Neue" w:hAnsi="Helvetica Neue"/>
          <w:b/>
        </w:rPr>
        <w:t>3: Derivatives, Derivative Logic and Financialised Natures</w:t>
      </w:r>
    </w:p>
    <w:p w14:paraId="497E344C" w14:textId="631CD0E5" w:rsidR="00277205" w:rsidRPr="00D00720" w:rsidRDefault="00277205" w:rsidP="0026291B">
      <w:pPr>
        <w:spacing w:line="480" w:lineRule="auto"/>
        <w:rPr>
          <w:rFonts w:ascii="Times" w:hAnsi="Times"/>
        </w:rPr>
      </w:pPr>
      <w:r w:rsidRPr="00D00720">
        <w:rPr>
          <w:rFonts w:ascii="Times" w:hAnsi="Times"/>
        </w:rPr>
        <w:t xml:space="preserve">The ability of biodiversity credits to enable the damage of one site to be offset by the conservation or enhancement of another speaks to a logic that is inescapably spatial. As mentioned above in relation to other ecological finance initiatives, this spatial logic works through the processes of abstraction which tends to cleave nature(s) from their specificity, and in the reproduction of boundaries between Nature and Society that serve as an important prerequisite to capitalist accumulation. But while such criticisms identify a lot of what is at stake in the development of ecological credits, they also crucially miss the temporal dynamics that are also central to their functioning. In contrast, we argue that while ecological credits purportedly conserve nature in one space in return for its destruction in another, their </w:t>
      </w:r>
      <w:r w:rsidRPr="00D00720">
        <w:rPr>
          <w:rFonts w:ascii="Times" w:hAnsi="Times"/>
        </w:rPr>
        <w:lastRenderedPageBreak/>
        <w:t xml:space="preserve">purchase and exchange also signals the execution of a future-oriented temporal process that is essential to their functioning. </w:t>
      </w:r>
      <w:r w:rsidR="00F10329">
        <w:rPr>
          <w:rFonts w:ascii="Times" w:hAnsi="Times"/>
        </w:rPr>
        <w:t xml:space="preserve"> Noting that such temporal </w:t>
      </w:r>
      <w:r w:rsidRPr="00D00720">
        <w:rPr>
          <w:rFonts w:ascii="Times" w:hAnsi="Times"/>
        </w:rPr>
        <w:t>processes</w:t>
      </w:r>
      <w:r w:rsidR="007830B5">
        <w:rPr>
          <w:rFonts w:ascii="Times" w:hAnsi="Times"/>
        </w:rPr>
        <w:t xml:space="preserve"> </w:t>
      </w:r>
      <w:r w:rsidRPr="00D00720">
        <w:rPr>
          <w:rFonts w:ascii="Times" w:hAnsi="Times"/>
        </w:rPr>
        <w:t>are precisely what are at stake in the logic that characterises financial derivatives</w:t>
      </w:r>
      <w:r w:rsidR="00F10329">
        <w:rPr>
          <w:rFonts w:ascii="Times" w:hAnsi="Times"/>
        </w:rPr>
        <w:t>,</w:t>
      </w:r>
      <w:r w:rsidRPr="00D00720">
        <w:rPr>
          <w:rFonts w:ascii="Times" w:hAnsi="Times"/>
        </w:rPr>
        <w:t xml:space="preserve"> we conceive of biodiversity credits as the product of this ‘derivative logic’</w:t>
      </w:r>
      <w:r w:rsidR="00F10329">
        <w:rPr>
          <w:rFonts w:ascii="Times" w:hAnsi="Times"/>
        </w:rPr>
        <w:t xml:space="preserve"> to think through this problem. To do so, we now </w:t>
      </w:r>
      <w:proofErr w:type="spellStart"/>
      <w:r w:rsidR="00F10329">
        <w:rPr>
          <w:rFonts w:ascii="Times" w:hAnsi="Times"/>
        </w:rPr>
        <w:t>contexualise</w:t>
      </w:r>
      <w:proofErr w:type="spellEnd"/>
      <w:r w:rsidR="00F10329">
        <w:rPr>
          <w:rFonts w:ascii="Times" w:hAnsi="Times"/>
        </w:rPr>
        <w:t xml:space="preserve"> and explain what should be understood by the term ‘derivative logic.’</w:t>
      </w:r>
      <w:r w:rsidRPr="00D00720">
        <w:rPr>
          <w:rFonts w:ascii="Times" w:hAnsi="Times"/>
        </w:rPr>
        <w:t xml:space="preserve"> </w:t>
      </w:r>
    </w:p>
    <w:p w14:paraId="3FE7BC81" w14:textId="77777777" w:rsidR="00277205" w:rsidRPr="00D00720" w:rsidRDefault="00277205" w:rsidP="00806F5B">
      <w:pPr>
        <w:spacing w:line="480" w:lineRule="auto"/>
        <w:rPr>
          <w:rFonts w:ascii="Times" w:hAnsi="Times"/>
        </w:rPr>
      </w:pPr>
    </w:p>
    <w:p w14:paraId="09A913BD" w14:textId="0D5BB70B" w:rsidR="00277205" w:rsidRPr="00D00720" w:rsidRDefault="00277205" w:rsidP="00806F5B">
      <w:pPr>
        <w:spacing w:line="480" w:lineRule="auto"/>
        <w:rPr>
          <w:rFonts w:ascii="Times" w:hAnsi="Times"/>
        </w:rPr>
      </w:pPr>
      <w:r w:rsidRPr="00D00720">
        <w:rPr>
          <w:rFonts w:ascii="Times" w:hAnsi="Times"/>
        </w:rPr>
        <w:t>At their most basic, financial derivatives are contracts that price risk, and in doing so attempt to limit the effects of future contingencies that may adversely affect the price of a commodity. Although derivative forms such as forwards and futures have been around since the 17</w:t>
      </w:r>
      <w:r w:rsidRPr="00D00720">
        <w:rPr>
          <w:rFonts w:ascii="Times" w:hAnsi="Times"/>
          <w:vertAlign w:val="superscript"/>
        </w:rPr>
        <w:t>th</w:t>
      </w:r>
      <w:r w:rsidRPr="00D00720">
        <w:rPr>
          <w:rFonts w:ascii="Times" w:hAnsi="Times"/>
        </w:rPr>
        <w:t xml:space="preserve"> century, it is only in the 1970s with the opening of derivatives exchanges and the formulation of new mathematical models for calculating the price of risk that they start to form into markets of unimaginable scale.</w:t>
      </w:r>
      <w:r w:rsidRPr="00D00720">
        <w:rPr>
          <w:rStyle w:val="EndnoteReference"/>
          <w:rFonts w:ascii="Times" w:hAnsi="Times"/>
        </w:rPr>
        <w:endnoteReference w:id="45"/>
      </w:r>
      <w:r w:rsidRPr="00D00720">
        <w:rPr>
          <w:rStyle w:val="EndnoteReference"/>
          <w:rFonts w:ascii="Times" w:hAnsi="Times"/>
        </w:rPr>
        <w:t xml:space="preserve"> </w:t>
      </w:r>
      <w:r w:rsidRPr="00D00720">
        <w:rPr>
          <w:rFonts w:ascii="Times" w:hAnsi="Times"/>
        </w:rPr>
        <w:t xml:space="preserve"> Derivatives have already become a crucial tool for businesses attempting to mitigate the risks associated with climate change to their business interests. For example, a burgeoning market in weather derivatives has become an important way for corporations to manage the effects that uncertain and unpredictable weather events might have on supply chains or production processes.</w:t>
      </w:r>
      <w:r w:rsidRPr="00D00720">
        <w:rPr>
          <w:rStyle w:val="EndnoteReference"/>
          <w:rFonts w:ascii="Times" w:hAnsi="Times"/>
        </w:rPr>
        <w:endnoteReference w:id="46"/>
      </w:r>
      <w:r w:rsidRPr="00D00720">
        <w:rPr>
          <w:rFonts w:ascii="Times" w:hAnsi="Times"/>
        </w:rPr>
        <w:t xml:space="preserve"> </w:t>
      </w:r>
    </w:p>
    <w:p w14:paraId="38376B58" w14:textId="77777777" w:rsidR="00277205" w:rsidRPr="00D00720" w:rsidRDefault="00277205" w:rsidP="00806F5B">
      <w:pPr>
        <w:spacing w:line="480" w:lineRule="auto"/>
        <w:rPr>
          <w:rFonts w:ascii="Times" w:hAnsi="Times"/>
        </w:rPr>
      </w:pPr>
    </w:p>
    <w:p w14:paraId="355F078D" w14:textId="379F3468" w:rsidR="00277205" w:rsidRPr="00D00720" w:rsidRDefault="00277205" w:rsidP="00806F5B">
      <w:pPr>
        <w:spacing w:line="480" w:lineRule="auto"/>
        <w:rPr>
          <w:rFonts w:ascii="Times" w:hAnsi="Times"/>
        </w:rPr>
      </w:pPr>
      <w:r w:rsidRPr="00D00720">
        <w:rPr>
          <w:rFonts w:ascii="Times" w:hAnsi="Times"/>
        </w:rPr>
        <w:t xml:space="preserve">In the last decade, financial </w:t>
      </w:r>
      <w:r w:rsidRPr="00D00720">
        <w:rPr>
          <w:rStyle w:val="EndnoteReference"/>
          <w:rFonts w:ascii="Times" w:hAnsi="Times"/>
          <w:vertAlign w:val="baseline"/>
        </w:rPr>
        <w:t xml:space="preserve">derivatives have </w:t>
      </w:r>
      <w:r w:rsidRPr="00D00720">
        <w:rPr>
          <w:rFonts w:ascii="Times" w:hAnsi="Times"/>
        </w:rPr>
        <w:t xml:space="preserve">also </w:t>
      </w:r>
      <w:r w:rsidRPr="00D00720">
        <w:rPr>
          <w:rStyle w:val="EndnoteReference"/>
          <w:rFonts w:ascii="Times" w:hAnsi="Times"/>
          <w:vertAlign w:val="baseline"/>
        </w:rPr>
        <w:t>started to enter the discussion of</w:t>
      </w:r>
      <w:r w:rsidRPr="00D00720">
        <w:rPr>
          <w:rStyle w:val="EndnoteReference"/>
          <w:rFonts w:ascii="Times" w:hAnsi="Times"/>
        </w:rPr>
        <w:t xml:space="preserve"> </w:t>
      </w:r>
      <w:r w:rsidRPr="00D00720">
        <w:rPr>
          <w:rFonts w:ascii="Times" w:hAnsi="Times"/>
        </w:rPr>
        <w:t xml:space="preserve">restoration ecology, conservation, and their </w:t>
      </w:r>
      <w:proofErr w:type="spellStart"/>
      <w:r w:rsidRPr="00D00720">
        <w:rPr>
          <w:rFonts w:ascii="Times" w:hAnsi="Times"/>
        </w:rPr>
        <w:t>financialisation</w:t>
      </w:r>
      <w:proofErr w:type="spellEnd"/>
      <w:r w:rsidRPr="00D00720">
        <w:rPr>
          <w:rFonts w:ascii="Times" w:hAnsi="Times"/>
        </w:rPr>
        <w:t>.</w:t>
      </w:r>
      <w:r w:rsidRPr="00D00720">
        <w:rPr>
          <w:rFonts w:ascii="Times" w:hAnsi="Times"/>
          <w:noProof/>
        </w:rPr>
        <w:t xml:space="preserve"> Mandel, Donlan and Armstrong</w:t>
      </w:r>
      <w:r w:rsidRPr="00D00720">
        <w:rPr>
          <w:rFonts w:ascii="Times" w:hAnsi="Times"/>
        </w:rPr>
        <w:t xml:space="preserve"> for example make the case for integrating derivative products into species conservation efforts in the US, arguing that they can serve the dual purpose of minimising the costs of species conservation for governments, and creating incentives for land-owners who stand to lose money if a species on their land is classified as endangered.</w:t>
      </w:r>
      <w:r w:rsidRPr="00D00720">
        <w:rPr>
          <w:rStyle w:val="EndnoteReference"/>
          <w:rFonts w:ascii="Times" w:hAnsi="Times"/>
        </w:rPr>
        <w:endnoteReference w:id="47"/>
      </w:r>
      <w:r w:rsidRPr="00D00720">
        <w:rPr>
          <w:rFonts w:ascii="Times" w:hAnsi="Times"/>
          <w:noProof/>
        </w:rPr>
        <w:t xml:space="preserve"> </w:t>
      </w:r>
      <w:r w:rsidRPr="00D00720">
        <w:rPr>
          <w:rFonts w:ascii="Times" w:hAnsi="Times"/>
        </w:rPr>
        <w:t xml:space="preserve"> Under their proposals, the government could issue biodiversity derivatives that would transfer the financial risk of listing a species as endangered to the market, with investors willing to take on this risk lured by the promise </w:t>
      </w:r>
      <w:r w:rsidRPr="00D00720">
        <w:rPr>
          <w:rFonts w:ascii="Times" w:hAnsi="Times"/>
        </w:rPr>
        <w:lastRenderedPageBreak/>
        <w:t xml:space="preserve">of high interest rates as long as the species population does not fall below a pre-defined threshold. More recently, </w:t>
      </w:r>
      <w:r w:rsidRPr="00D00720">
        <w:rPr>
          <w:rFonts w:ascii="Times" w:hAnsi="Times"/>
          <w:noProof/>
        </w:rPr>
        <w:t>Little et al.</w:t>
      </w:r>
      <w:r w:rsidRPr="00D00720">
        <w:rPr>
          <w:rFonts w:ascii="Times" w:hAnsi="Times"/>
        </w:rPr>
        <w:t xml:space="preserve"> have introduced a new level of complexity by proposing the use of simulation models to forecast the future population levels of species, thereby offering a way to accurately calculate the price of the derivatives that would be used to protect these species.</w:t>
      </w:r>
      <w:r w:rsidRPr="00D00720">
        <w:rPr>
          <w:rStyle w:val="EndnoteReference"/>
          <w:rFonts w:ascii="Times" w:hAnsi="Times"/>
          <w:lang w:val="en-US"/>
        </w:rPr>
        <w:endnoteReference w:id="48"/>
      </w:r>
    </w:p>
    <w:p w14:paraId="5CD66429" w14:textId="77777777" w:rsidR="00277205" w:rsidRPr="00D00720" w:rsidRDefault="00277205" w:rsidP="00806F5B">
      <w:pPr>
        <w:spacing w:line="480" w:lineRule="auto"/>
        <w:rPr>
          <w:rFonts w:ascii="Times" w:hAnsi="Times"/>
        </w:rPr>
      </w:pPr>
    </w:p>
    <w:p w14:paraId="28C9052D" w14:textId="474929D3" w:rsidR="00277205" w:rsidRPr="00D00720" w:rsidRDefault="00277205" w:rsidP="00806F5B">
      <w:pPr>
        <w:spacing w:line="480" w:lineRule="auto"/>
        <w:rPr>
          <w:rFonts w:ascii="Times" w:hAnsi="Times"/>
        </w:rPr>
      </w:pPr>
      <w:r w:rsidRPr="00D00720">
        <w:rPr>
          <w:rFonts w:ascii="Times" w:hAnsi="Times"/>
        </w:rPr>
        <w:t>The use of derivatives to manage the potential risks associated with conservation is a small and much more experimental ‘market’ that is not nearly as widespread as the use of ecological credits such as those described above. Nevertheless, we argue that it is possible to discern a more general</w:t>
      </w:r>
      <w:r w:rsidRPr="00D00720">
        <w:rPr>
          <w:rFonts w:ascii="Times" w:hAnsi="Times"/>
          <w:lang w:val="en-US"/>
        </w:rPr>
        <w:t xml:space="preserve"> ‘derivative logic’ that permeates financial approaches to nature conversation, even in cases where derivative instruments themselves are not in use. In other words, </w:t>
      </w:r>
      <w:r w:rsidRPr="00D00720">
        <w:rPr>
          <w:rFonts w:ascii="Times" w:hAnsi="Times"/>
        </w:rPr>
        <w:t>we suggest that ecological credits, though not financial derivatives themselves, harbour a derivative logic</w:t>
      </w:r>
      <w:r w:rsidRPr="00D00720">
        <w:rPr>
          <w:rFonts w:ascii="Times" w:hAnsi="Times"/>
          <w:i/>
        </w:rPr>
        <w:t xml:space="preserve"> </w:t>
      </w:r>
      <w:r w:rsidRPr="00D00720">
        <w:rPr>
          <w:rFonts w:ascii="Times" w:hAnsi="Times"/>
        </w:rPr>
        <w:t xml:space="preserve">that when explicated pulls their dynamics into clearer focus. </w:t>
      </w:r>
    </w:p>
    <w:p w14:paraId="27CD50F0" w14:textId="77777777" w:rsidR="00277205" w:rsidRPr="00D00720" w:rsidRDefault="00277205" w:rsidP="00806F5B">
      <w:pPr>
        <w:spacing w:line="480" w:lineRule="auto"/>
        <w:rPr>
          <w:rFonts w:ascii="Times" w:hAnsi="Times"/>
        </w:rPr>
      </w:pPr>
    </w:p>
    <w:p w14:paraId="42D865BD" w14:textId="4C4F48AA" w:rsidR="00277205" w:rsidRPr="00D00720" w:rsidRDefault="00277205" w:rsidP="00806F5B">
      <w:pPr>
        <w:spacing w:line="480" w:lineRule="auto"/>
        <w:rPr>
          <w:rFonts w:ascii="Times" w:hAnsi="Times"/>
        </w:rPr>
      </w:pPr>
      <w:r w:rsidRPr="00D00720">
        <w:rPr>
          <w:rFonts w:ascii="Times" w:hAnsi="Times"/>
        </w:rPr>
        <w:t xml:space="preserve">The notion that a derivative logic operates in the context of conservation bears resemblance to the concept of ‘derivative nature’ proposed by </w:t>
      </w:r>
      <w:r w:rsidRPr="00D00720">
        <w:rPr>
          <w:rFonts w:ascii="Times" w:hAnsi="Times"/>
          <w:noProof/>
        </w:rPr>
        <w:t>Büscher</w:t>
      </w:r>
      <w:r w:rsidRPr="00D00720">
        <w:rPr>
          <w:rFonts w:ascii="Times" w:hAnsi="Times"/>
        </w:rPr>
        <w:t>, but crucially moves beyond it.</w:t>
      </w:r>
      <w:r w:rsidRPr="00D00720">
        <w:rPr>
          <w:rStyle w:val="EndnoteReference"/>
          <w:rFonts w:ascii="Times" w:hAnsi="Times"/>
        </w:rPr>
        <w:endnoteReference w:id="49"/>
      </w:r>
      <w:r w:rsidRPr="00D00720">
        <w:rPr>
          <w:rFonts w:ascii="Times" w:hAnsi="Times"/>
        </w:rPr>
        <w:t xml:space="preserve"> </w:t>
      </w:r>
      <w:r w:rsidRPr="00D00720">
        <w:rPr>
          <w:rFonts w:ascii="Times" w:hAnsi="Times"/>
          <w:noProof/>
        </w:rPr>
        <w:t xml:space="preserve">Büscher’s argument is grounded in a discussion of ecotourism in South Africa where the </w:t>
      </w:r>
      <w:r w:rsidRPr="00D00720">
        <w:rPr>
          <w:rFonts w:ascii="Times" w:hAnsi="Times"/>
        </w:rPr>
        <w:t xml:space="preserve">idealised images of nature that circulate through branding initiatives, public relations and marketing serve as sources of value and investment for conservation initiatives. For the author, these images constitute ‘representations of nature’ that are derived from ‘actual nature’. </w:t>
      </w:r>
      <w:proofErr w:type="spellStart"/>
      <w:r w:rsidRPr="00D00720">
        <w:rPr>
          <w:rFonts w:ascii="Times" w:hAnsi="Times"/>
        </w:rPr>
        <w:t>Büscher’s</w:t>
      </w:r>
      <w:proofErr w:type="spellEnd"/>
      <w:r w:rsidRPr="00D00720">
        <w:rPr>
          <w:rFonts w:ascii="Times" w:hAnsi="Times"/>
        </w:rPr>
        <w:t xml:space="preserve"> intervention thus helpfully introduces a broader, conceptual notion of the derivative to think about the operations of market-based conservation. And yet, in doing so, the underlying asset for the derivative form appears to be needlessly essentialised. The rift opened up between an ‘actual’ nature and its representation replays the risk Smith takes in delineating a first ‘incidental’, external nature and a second which circulates through the </w:t>
      </w:r>
      <w:r w:rsidRPr="00D00720">
        <w:rPr>
          <w:rFonts w:ascii="Times" w:hAnsi="Times"/>
        </w:rPr>
        <w:lastRenderedPageBreak/>
        <w:t xml:space="preserve">circuits of capital. By contrast, we would stress that the ‘actual nature’ denoted by the ‘underlying asset’ is not so much an essential nature but an already-externalised product of the Nature-Society distinction set in motion by capitalist modernity. </w:t>
      </w:r>
      <w:r w:rsidR="00B94C67">
        <w:rPr>
          <w:rFonts w:ascii="Times" w:hAnsi="Times"/>
        </w:rPr>
        <w:t>This is not to claim that the resulting abstraction is not operative in the world</w:t>
      </w:r>
      <w:r w:rsidR="001244B4">
        <w:rPr>
          <w:rFonts w:ascii="Times" w:hAnsi="Times"/>
        </w:rPr>
        <w:t>, or perhaps even useful as a pole around which environmental activism might</w:t>
      </w:r>
      <w:r w:rsidR="00EF5615">
        <w:rPr>
          <w:rFonts w:ascii="Times" w:hAnsi="Times"/>
        </w:rPr>
        <w:t xml:space="preserve"> be</w:t>
      </w:r>
      <w:r w:rsidR="001244B4">
        <w:rPr>
          <w:rFonts w:ascii="Times" w:hAnsi="Times"/>
        </w:rPr>
        <w:t xml:space="preserve"> organise</w:t>
      </w:r>
      <w:r w:rsidR="00EF5615">
        <w:rPr>
          <w:rFonts w:ascii="Times" w:hAnsi="Times"/>
        </w:rPr>
        <w:t>d</w:t>
      </w:r>
      <w:r w:rsidR="001244B4">
        <w:rPr>
          <w:rFonts w:ascii="Times" w:hAnsi="Times"/>
        </w:rPr>
        <w:t xml:space="preserve">. </w:t>
      </w:r>
      <w:r w:rsidR="00E75D99">
        <w:rPr>
          <w:rFonts w:ascii="Times" w:hAnsi="Times"/>
        </w:rPr>
        <w:t>Rather, i</w:t>
      </w:r>
      <w:r w:rsidR="000B3542">
        <w:rPr>
          <w:rFonts w:ascii="Times" w:hAnsi="Times"/>
        </w:rPr>
        <w:t>t i</w:t>
      </w:r>
      <w:r w:rsidR="001244B4">
        <w:rPr>
          <w:rFonts w:ascii="Times" w:hAnsi="Times"/>
        </w:rPr>
        <w:t xml:space="preserve">s to </w:t>
      </w:r>
      <w:r w:rsidR="00666A96">
        <w:rPr>
          <w:rFonts w:ascii="Times" w:hAnsi="Times"/>
        </w:rPr>
        <w:t>reintroduce an</w:t>
      </w:r>
      <w:r w:rsidR="00E75D99">
        <w:rPr>
          <w:rFonts w:ascii="Times" w:hAnsi="Times"/>
        </w:rPr>
        <w:t>d problematise questions surrounding ou</w:t>
      </w:r>
      <w:r w:rsidR="004D16DC">
        <w:rPr>
          <w:rFonts w:ascii="Times" w:hAnsi="Times"/>
        </w:rPr>
        <w:t>r</w:t>
      </w:r>
      <w:r w:rsidR="003D497B">
        <w:rPr>
          <w:rFonts w:ascii="Times" w:hAnsi="Times"/>
        </w:rPr>
        <w:t xml:space="preserve"> responsibility for how conceptualisations of </w:t>
      </w:r>
      <w:r w:rsidR="001244B4">
        <w:rPr>
          <w:rFonts w:ascii="Times" w:hAnsi="Times"/>
        </w:rPr>
        <w:t xml:space="preserve">‘actual nature’ </w:t>
      </w:r>
      <w:r w:rsidR="003D497B">
        <w:rPr>
          <w:rFonts w:ascii="Times" w:hAnsi="Times"/>
        </w:rPr>
        <w:t xml:space="preserve">might help or hinder the protection of those physical entities and systems that it groups together as a concept.   </w:t>
      </w:r>
    </w:p>
    <w:p w14:paraId="71AA4D53" w14:textId="77777777" w:rsidR="00277205" w:rsidRPr="00D00720" w:rsidRDefault="00277205" w:rsidP="0026291B">
      <w:pPr>
        <w:spacing w:line="480" w:lineRule="auto"/>
        <w:ind w:firstLine="709"/>
        <w:rPr>
          <w:rFonts w:ascii="Times" w:hAnsi="Times"/>
        </w:rPr>
      </w:pPr>
    </w:p>
    <w:p w14:paraId="02C3EE10" w14:textId="0808FD91" w:rsidR="00277205" w:rsidRPr="00D00720" w:rsidRDefault="00277205" w:rsidP="00806F5B">
      <w:pPr>
        <w:spacing w:line="480" w:lineRule="auto"/>
        <w:rPr>
          <w:rFonts w:ascii="Times" w:hAnsi="Times"/>
        </w:rPr>
      </w:pPr>
      <w:r w:rsidRPr="00D00720">
        <w:rPr>
          <w:rFonts w:ascii="Times" w:hAnsi="Times"/>
        </w:rPr>
        <w:t xml:space="preserve">Moreover, in characterising ‘derivative nature’ as simply a secondary representation of an underlying asset, </w:t>
      </w:r>
      <w:proofErr w:type="spellStart"/>
      <w:r w:rsidRPr="00D00720">
        <w:rPr>
          <w:rFonts w:ascii="Times" w:hAnsi="Times"/>
        </w:rPr>
        <w:t>Büscher</w:t>
      </w:r>
      <w:proofErr w:type="spellEnd"/>
      <w:r w:rsidRPr="00D00720">
        <w:rPr>
          <w:rFonts w:ascii="Times" w:hAnsi="Times"/>
        </w:rPr>
        <w:t xml:space="preserve"> also passes over the complex operations required to render a derivative form. To elucidate these operations – and avoid the problematic tendency to essentialise nature – it is necessary to supplement political ecology with a set of conceptual resources made available by the notion of ‘derivative logic’ developed in the social sciences.</w:t>
      </w:r>
      <w:r w:rsidRPr="00D00720">
        <w:rPr>
          <w:rStyle w:val="EndnoteReference"/>
          <w:rFonts w:ascii="Times" w:hAnsi="Times"/>
        </w:rPr>
        <w:endnoteReference w:id="50"/>
      </w:r>
      <w:r w:rsidRPr="00D00720">
        <w:rPr>
          <w:rFonts w:ascii="Times" w:hAnsi="Times"/>
        </w:rPr>
        <w:t xml:space="preserve"> This conceptual terrain brings the derivative operations required to render biodiversity credits into clearer focus. On the one hand, it allows a more complex analysis of the spatiality of derivative logic, one that enables the reintroduction of the spatial critiques of ecological credits delineated above. On the other hand, it introduces temporality as the key feature of derivative logic, which in turn enables an analysis that pays greater attention to the temporal dimension of ecological commodities. In short, the derivative logic of biodiversity credits brings together the bundling of fungible spatial attributes with the construction of a probabilistic future that transforms ‘risk’ into a resource available in the present.</w:t>
      </w:r>
    </w:p>
    <w:p w14:paraId="2D65574C" w14:textId="77777777" w:rsidR="00277205" w:rsidRPr="00D00720" w:rsidRDefault="00277205" w:rsidP="00806F5B">
      <w:pPr>
        <w:spacing w:line="480" w:lineRule="auto"/>
        <w:rPr>
          <w:rFonts w:ascii="Times" w:hAnsi="Times"/>
        </w:rPr>
      </w:pPr>
    </w:p>
    <w:p w14:paraId="35360B62" w14:textId="6BC92D4E" w:rsidR="00277205" w:rsidRDefault="00277205" w:rsidP="00DF14E7">
      <w:pPr>
        <w:spacing w:line="480" w:lineRule="auto"/>
        <w:rPr>
          <w:rFonts w:ascii="Times" w:hAnsi="Times"/>
        </w:rPr>
      </w:pPr>
      <w:r w:rsidRPr="00D00720">
        <w:rPr>
          <w:rFonts w:ascii="Times" w:hAnsi="Times"/>
        </w:rPr>
        <w:t xml:space="preserve">To demonstrate this process, the following section draws out three central components of derivative logic and uses them to understand the complex operations required to produce </w:t>
      </w:r>
      <w:r w:rsidRPr="00D00720">
        <w:rPr>
          <w:rFonts w:ascii="Times" w:hAnsi="Times"/>
        </w:rPr>
        <w:lastRenderedPageBreak/>
        <w:t xml:space="preserve">biodiversity credits. In summary, these are 1) the process of disassembling and reassembling an underlying asset into bundle of quantifiable characteristics, 2) the way this bundle consequently acts as a double, or virtual representative of the underlying asset, and 3) the attempt, once the first two logical operations have been accomplished, to use the resulting creation to reduce the complexity and contingencies of the future. In undertaking the foregoing analysis, we show that a relatively sophisticated process is at work which allows biodiversity credits to authorise futures that purportedly contribute to avoiding catastrophic climate change. Such claims should not be taken at face value, however, and the final sections of the article turn towards a critique of the futurity of biodiversity credits. There we argue that the futures authorised by biodiversity credits are severely limited and inadequate as a response to climate change, which requires a much more speculative and imaginative approach to ecology.  </w:t>
      </w:r>
    </w:p>
    <w:p w14:paraId="7A22D4F8" w14:textId="77777777" w:rsidR="000B3542" w:rsidRDefault="000B3542" w:rsidP="00DF14E7">
      <w:pPr>
        <w:spacing w:line="480" w:lineRule="auto"/>
        <w:rPr>
          <w:rFonts w:ascii="Times" w:hAnsi="Times"/>
        </w:rPr>
      </w:pPr>
    </w:p>
    <w:p w14:paraId="32185D89" w14:textId="53871192" w:rsidR="00277205" w:rsidRPr="00DF14E7" w:rsidRDefault="00277205" w:rsidP="0026291B">
      <w:pPr>
        <w:spacing w:line="480" w:lineRule="auto"/>
        <w:rPr>
          <w:rFonts w:ascii="Helvetica Neue" w:hAnsi="Helvetica Neue"/>
          <w:b/>
        </w:rPr>
      </w:pPr>
      <w:r w:rsidRPr="00DF14E7">
        <w:rPr>
          <w:rFonts w:ascii="Helvetica Neue" w:hAnsi="Helvetica Neue"/>
          <w:b/>
        </w:rPr>
        <w:t>4: The Derivative Logic of Biodiversity Credits</w:t>
      </w:r>
    </w:p>
    <w:p w14:paraId="526DE2EA" w14:textId="423C7662" w:rsidR="00277205" w:rsidRPr="00D00720" w:rsidRDefault="00277205" w:rsidP="0026291B">
      <w:pPr>
        <w:spacing w:line="480" w:lineRule="auto"/>
        <w:rPr>
          <w:rFonts w:ascii="Times" w:hAnsi="Times"/>
        </w:rPr>
      </w:pPr>
      <w:r w:rsidRPr="00D00720">
        <w:rPr>
          <w:rFonts w:ascii="Times" w:hAnsi="Times"/>
        </w:rPr>
        <w:t>As Martin reminds us, the use of the term ‘derivative’ is not restricted to finance; it is used in fields as diverse as medicine, mathematics and music. In each case, it refers to ‘the transmission of some characteristic from an originating source to a consequent site, or expression, or manifestation.’</w:t>
      </w:r>
      <w:r w:rsidRPr="00D00720">
        <w:rPr>
          <w:rStyle w:val="EndnoteReference"/>
          <w:rFonts w:ascii="Times" w:hAnsi="Times"/>
        </w:rPr>
        <w:endnoteReference w:id="51"/>
      </w:r>
      <w:r w:rsidRPr="00D00720">
        <w:rPr>
          <w:rFonts w:ascii="Times" w:hAnsi="Times"/>
        </w:rPr>
        <w:t xml:space="preserve"> This is the first aspect of derivative logic, and requires the disassembly of the originating source into a bundle of characteristics. Making a weather derivative, for example, involves the disaggregation of global weather systems into attributes such as temperature, frost, snowfall and wind speed.</w:t>
      </w:r>
      <w:r w:rsidRPr="00D00720">
        <w:rPr>
          <w:rStyle w:val="EndnoteReference"/>
          <w:rFonts w:ascii="Times" w:hAnsi="Times"/>
        </w:rPr>
        <w:endnoteReference w:id="52"/>
      </w:r>
      <w:r w:rsidRPr="00D00720">
        <w:rPr>
          <w:rFonts w:ascii="Times" w:hAnsi="Times"/>
        </w:rPr>
        <w:t xml:space="preserve"> In the agricultural sector, a metric known as ‘growing degree days’ (GDD) takes a specific aspect of the local weather conditions and uses it to predict the growth stages of a particular crop, the time that pesticides and fertilisers would be most effective, and even provide estimates of the life cycle of insects that may affect the crop. The attributes of the weather that are likely to affect the value of the </w:t>
      </w:r>
      <w:r w:rsidRPr="00D00720">
        <w:rPr>
          <w:rFonts w:ascii="Times" w:hAnsi="Times"/>
        </w:rPr>
        <w:lastRenderedPageBreak/>
        <w:t xml:space="preserve">asset in the future are measured closely, and their variability through time becomes the object of trading, speculation, and arbitrage. </w:t>
      </w:r>
    </w:p>
    <w:p w14:paraId="23D2D90D" w14:textId="77777777" w:rsidR="00277205" w:rsidRPr="00D00720" w:rsidRDefault="00277205" w:rsidP="0026291B">
      <w:pPr>
        <w:spacing w:line="480" w:lineRule="auto"/>
        <w:ind w:firstLine="709"/>
        <w:rPr>
          <w:rFonts w:ascii="Times" w:hAnsi="Times"/>
        </w:rPr>
      </w:pPr>
    </w:p>
    <w:p w14:paraId="5CA7090B" w14:textId="120172BB" w:rsidR="00277205" w:rsidRPr="00D00720" w:rsidRDefault="00277205" w:rsidP="00806F5B">
      <w:pPr>
        <w:spacing w:line="480" w:lineRule="auto"/>
        <w:rPr>
          <w:rFonts w:ascii="Times" w:hAnsi="Times"/>
        </w:rPr>
      </w:pPr>
      <w:r w:rsidRPr="00D00720">
        <w:rPr>
          <w:rFonts w:ascii="Times" w:hAnsi="Times"/>
        </w:rPr>
        <w:t xml:space="preserve">At the same time, the derivative logic is always in some way assembling or (re)bundling its attributes together. Again, in the case of growing degree days, aspects of the weather are bundled together with aspects of the lifecycle of the particular crop they affect. The growth rate of a carrot, for example, may be isolated above other features of the plant (how the weather affects the way it tastes, its colour, etc.), and bundled together with a selection of weather variables that affect this rate of growth. Neither the weather in its entirety, nor all aspects of the carrot’s life cycle are taken into account; rather, select features of each are isolated and assembled with one another. As disaggregation and recombination, the derivative logic thus ‘speaks of a lateral orientation, which is an effect of </w:t>
      </w:r>
      <w:proofErr w:type="spellStart"/>
      <w:r w:rsidRPr="00D00720">
        <w:rPr>
          <w:rFonts w:ascii="Times" w:hAnsi="Times"/>
        </w:rPr>
        <w:t>intercommensurability</w:t>
      </w:r>
      <w:proofErr w:type="spellEnd"/>
      <w:r w:rsidRPr="00D00720">
        <w:rPr>
          <w:rFonts w:ascii="Times" w:hAnsi="Times"/>
        </w:rPr>
        <w:t>’.</w:t>
      </w:r>
      <w:r w:rsidRPr="00D00720">
        <w:rPr>
          <w:rStyle w:val="EndnoteReference"/>
          <w:rFonts w:ascii="Times" w:hAnsi="Times"/>
        </w:rPr>
        <w:endnoteReference w:id="53"/>
      </w:r>
      <w:r w:rsidRPr="00D00720">
        <w:rPr>
          <w:rFonts w:ascii="Times" w:hAnsi="Times"/>
        </w:rPr>
        <w:t xml:space="preserve"> </w:t>
      </w:r>
    </w:p>
    <w:p w14:paraId="6ADD846A" w14:textId="77777777" w:rsidR="00277205" w:rsidRPr="00D00720" w:rsidRDefault="00277205" w:rsidP="00806F5B">
      <w:pPr>
        <w:spacing w:line="480" w:lineRule="auto"/>
        <w:rPr>
          <w:rFonts w:ascii="Times" w:hAnsi="Times"/>
        </w:rPr>
      </w:pPr>
    </w:p>
    <w:p w14:paraId="0F12C344" w14:textId="5A7873F4" w:rsidR="00277205" w:rsidRPr="00D00720" w:rsidRDefault="00277205" w:rsidP="00806F5B">
      <w:pPr>
        <w:spacing w:line="480" w:lineRule="auto"/>
        <w:rPr>
          <w:rFonts w:ascii="Times" w:hAnsi="Times"/>
        </w:rPr>
      </w:pPr>
      <w:r w:rsidRPr="00D00720">
        <w:rPr>
          <w:rFonts w:ascii="Times" w:hAnsi="Times"/>
        </w:rPr>
        <w:t>Already one can begin to see how this process of disaggregation and recombination recalls the ‘spatial’ critique of ecological credits referred to above. There, it was shown that the creation of ecological credits required the disaggregation of an ecosystem into a bundle of fungible, interchangeable services. By reading biodiversity credits through the lateral possibilities of ‘</w:t>
      </w:r>
      <w:proofErr w:type="spellStart"/>
      <w:r w:rsidRPr="00D00720">
        <w:rPr>
          <w:rFonts w:ascii="Times" w:hAnsi="Times"/>
        </w:rPr>
        <w:t>intercommensurability</w:t>
      </w:r>
      <w:proofErr w:type="spellEnd"/>
      <w:r w:rsidRPr="00D00720">
        <w:rPr>
          <w:rFonts w:ascii="Times" w:hAnsi="Times"/>
        </w:rPr>
        <w:t xml:space="preserve">’ afforded by derivative logic, it is possible to see how the dual process of disaggregation and recombination, of cutting apart and blending, operates at several different moments. </w:t>
      </w:r>
    </w:p>
    <w:p w14:paraId="4F2DB54B" w14:textId="77777777" w:rsidR="00277205" w:rsidRPr="00D00720" w:rsidRDefault="00277205" w:rsidP="0026291B">
      <w:pPr>
        <w:spacing w:line="480" w:lineRule="auto"/>
        <w:ind w:firstLine="709"/>
        <w:rPr>
          <w:rFonts w:ascii="Times" w:hAnsi="Times"/>
        </w:rPr>
      </w:pPr>
    </w:p>
    <w:p w14:paraId="5DD9BA21" w14:textId="35C009A6" w:rsidR="00277205" w:rsidRPr="00D00720" w:rsidRDefault="00277205" w:rsidP="00806F5B">
      <w:pPr>
        <w:spacing w:line="480" w:lineRule="auto"/>
        <w:rPr>
          <w:rFonts w:ascii="Times" w:hAnsi="Times"/>
        </w:rPr>
      </w:pPr>
      <w:r w:rsidRPr="00D00720">
        <w:rPr>
          <w:rFonts w:ascii="Times" w:hAnsi="Times"/>
        </w:rPr>
        <w:t xml:space="preserve">Like other ecological credits, biodiversity credits rely on a similar kind of mechanism to integrate ‘biodiversity’ into the logic of capital. Methods of quantification render an ‘ecological equivalence’ so that biodiversity destruction in one site can be compared and </w:t>
      </w:r>
      <w:r w:rsidRPr="00D00720">
        <w:rPr>
          <w:rFonts w:ascii="Times" w:hAnsi="Times"/>
        </w:rPr>
        <w:lastRenderedPageBreak/>
        <w:t>exchanged for gains in the ‘credit’ or ‘offset’ site.</w:t>
      </w:r>
      <w:r w:rsidRPr="00D00720">
        <w:rPr>
          <w:rStyle w:val="EndnoteReference"/>
          <w:rFonts w:ascii="Times" w:hAnsi="Times"/>
        </w:rPr>
        <w:endnoteReference w:id="54"/>
      </w:r>
      <w:r w:rsidRPr="00D00720">
        <w:rPr>
          <w:rFonts w:ascii="Times" w:hAnsi="Times"/>
        </w:rPr>
        <w:t xml:space="preserve"> In the UK, the conceptual heavy-lifting required to render ‘biodiversity’ into units of tradeable credits is performed by the aforementioned ‘biodiversity metric’ adopted by the UK Government</w:t>
      </w:r>
      <w:r>
        <w:rPr>
          <w:rFonts w:ascii="Times" w:hAnsi="Times"/>
        </w:rPr>
        <w:t>.</w:t>
      </w:r>
      <w:r>
        <w:rPr>
          <w:rStyle w:val="EndnoteReference"/>
          <w:rFonts w:ascii="Times" w:hAnsi="Times"/>
        </w:rPr>
        <w:endnoteReference w:id="55"/>
      </w:r>
    </w:p>
    <w:p w14:paraId="2790CF8C" w14:textId="77777777" w:rsidR="00277205" w:rsidRPr="00D00720" w:rsidRDefault="00277205" w:rsidP="00806F5B">
      <w:pPr>
        <w:spacing w:line="480" w:lineRule="auto"/>
        <w:rPr>
          <w:rFonts w:ascii="Times" w:hAnsi="Times"/>
        </w:rPr>
      </w:pPr>
    </w:p>
    <w:p w14:paraId="04C66733" w14:textId="18A3760E" w:rsidR="00277205" w:rsidRPr="00D00720" w:rsidRDefault="00277205" w:rsidP="00806F5B">
      <w:pPr>
        <w:spacing w:line="480" w:lineRule="auto"/>
        <w:rPr>
          <w:rFonts w:ascii="Times" w:hAnsi="Times"/>
        </w:rPr>
      </w:pPr>
      <w:r w:rsidRPr="00D00720">
        <w:rPr>
          <w:rFonts w:ascii="Times" w:hAnsi="Times"/>
        </w:rPr>
        <w:t>At one level, the biodiversity metric disaggregates and recombines “biodiversity” into measurable quantities of particular attributes that correspond to, and thus attempt to value, its uniqueness and ecological importance within discrete parcels of habitat. Biodiversity is measured through the attribute of ‘distinctiveness’, a quantifiable score which is itself calculated through the aggregation of sub-attributes such as species richness, diversity, and rarity within a standardised unit of land.</w:t>
      </w:r>
      <w:r w:rsidRPr="00D00720">
        <w:rPr>
          <w:rStyle w:val="EndnoteReference"/>
          <w:rFonts w:ascii="Times" w:hAnsi="Times"/>
        </w:rPr>
        <w:endnoteReference w:id="56"/>
      </w:r>
      <w:r w:rsidRPr="00D00720">
        <w:rPr>
          <w:rFonts w:ascii="Times" w:hAnsi="Times"/>
        </w:rPr>
        <w:t xml:space="preserve"> The more distinct a parcel of habitat is, the higher its score. ‘Distinctiveness’ is then multiplied by the quantified ‘condition’ of the site to calculate the number of biodiversity units per hectare of habitat.</w:t>
      </w:r>
      <w:r w:rsidRPr="00D00720">
        <w:rPr>
          <w:rStyle w:val="EndnoteReference"/>
          <w:rFonts w:ascii="Times" w:hAnsi="Times"/>
        </w:rPr>
        <w:endnoteReference w:id="57"/>
      </w:r>
      <w:r w:rsidRPr="00D00720">
        <w:rPr>
          <w:rFonts w:ascii="Times" w:hAnsi="Times"/>
        </w:rPr>
        <w:t xml:space="preserve"> Highly distinctive sites in excellent condition will score higher than more commonplace sites in poor health. Here, </w:t>
      </w:r>
      <w:proofErr w:type="spellStart"/>
      <w:r w:rsidRPr="00D00720">
        <w:rPr>
          <w:rFonts w:ascii="Times" w:hAnsi="Times"/>
        </w:rPr>
        <w:t>intercommensurability</w:t>
      </w:r>
      <w:proofErr w:type="spellEnd"/>
      <w:r w:rsidRPr="00D00720">
        <w:rPr>
          <w:rFonts w:ascii="Times" w:hAnsi="Times"/>
        </w:rPr>
        <w:t xml:space="preserve"> refers to the ways that specific attributes can be blended together through their multiplication as quantified numbers.</w:t>
      </w:r>
    </w:p>
    <w:p w14:paraId="7976E467" w14:textId="77777777" w:rsidR="00277205" w:rsidRPr="00D00720" w:rsidRDefault="00277205" w:rsidP="00806F5B">
      <w:pPr>
        <w:spacing w:line="480" w:lineRule="auto"/>
        <w:rPr>
          <w:rFonts w:ascii="Times" w:hAnsi="Times"/>
        </w:rPr>
      </w:pPr>
    </w:p>
    <w:p w14:paraId="4A71AF85" w14:textId="48E2D02B" w:rsidR="00277205" w:rsidRPr="00D00720" w:rsidRDefault="00277205" w:rsidP="00806F5B">
      <w:pPr>
        <w:spacing w:line="480" w:lineRule="auto"/>
        <w:rPr>
          <w:rFonts w:ascii="Times" w:hAnsi="Times"/>
        </w:rPr>
      </w:pPr>
      <w:r w:rsidRPr="00D00720">
        <w:rPr>
          <w:rFonts w:ascii="Times" w:hAnsi="Times"/>
        </w:rPr>
        <w:t>On another level, however, these metrics enact a process of abstraction that enables both development and offset sites to become equivalent as parcels or units of biodiversity that can thus be compared according to their scores. Methods of quantification render an ‘ecological equivalence’ so that biodiversity destruction in one site can be compared and exchanged for gains in the ‘credit’ or ‘offset’ site.</w:t>
      </w:r>
      <w:r w:rsidRPr="00D00720">
        <w:rPr>
          <w:rStyle w:val="EndnoteReference"/>
          <w:rFonts w:ascii="Times" w:hAnsi="Times"/>
        </w:rPr>
        <w:endnoteReference w:id="58"/>
      </w:r>
      <w:r w:rsidRPr="00D00720">
        <w:rPr>
          <w:rFonts w:ascii="Times" w:hAnsi="Times"/>
        </w:rPr>
        <w:t xml:space="preserve"> But it is important here to point out that while the metric itself generates an abstraction that makes all plots of biodiversity commensurate, the execution of a credit also ties the fate of one specific space to another. In this respect, the </w:t>
      </w:r>
      <w:proofErr w:type="spellStart"/>
      <w:r w:rsidRPr="00D00720">
        <w:rPr>
          <w:rFonts w:ascii="Times" w:hAnsi="Times"/>
        </w:rPr>
        <w:t>intercommensurability</w:t>
      </w:r>
      <w:proofErr w:type="spellEnd"/>
      <w:r w:rsidRPr="00D00720">
        <w:rPr>
          <w:rFonts w:ascii="Times" w:hAnsi="Times"/>
        </w:rPr>
        <w:t xml:space="preserve"> of biodiversity credits does not simply ‘remove the place specificity of </w:t>
      </w:r>
      <w:r w:rsidRPr="00D00720">
        <w:rPr>
          <w:rFonts w:ascii="Times" w:hAnsi="Times"/>
        </w:rPr>
        <w:lastRenderedPageBreak/>
        <w:t>nature’; insofar as it concretely ties the fates of two seemingly unrelated spaces together, it also then re-establishes specificity on entirely different terms.</w:t>
      </w:r>
      <w:r w:rsidRPr="00D00720">
        <w:rPr>
          <w:rStyle w:val="EndnoteReference"/>
          <w:rFonts w:ascii="Times" w:hAnsi="Times"/>
        </w:rPr>
        <w:endnoteReference w:id="59"/>
      </w:r>
      <w:r w:rsidRPr="00D00720">
        <w:rPr>
          <w:rFonts w:ascii="Times" w:hAnsi="Times"/>
        </w:rPr>
        <w:t xml:space="preserve"> </w:t>
      </w:r>
    </w:p>
    <w:p w14:paraId="61254C9C" w14:textId="77777777" w:rsidR="00277205" w:rsidRPr="00D00720" w:rsidRDefault="00277205" w:rsidP="00806F5B">
      <w:pPr>
        <w:spacing w:line="480" w:lineRule="auto"/>
        <w:rPr>
          <w:rFonts w:ascii="Times" w:hAnsi="Times"/>
        </w:rPr>
      </w:pPr>
    </w:p>
    <w:p w14:paraId="066770AA" w14:textId="2D93F203" w:rsidR="00277205" w:rsidRPr="00D00720" w:rsidRDefault="00277205" w:rsidP="00806F5B">
      <w:pPr>
        <w:spacing w:line="480" w:lineRule="auto"/>
        <w:rPr>
          <w:rFonts w:ascii="Times" w:hAnsi="Times"/>
        </w:rPr>
      </w:pPr>
      <w:r w:rsidRPr="00D00720">
        <w:rPr>
          <w:rFonts w:ascii="Times" w:hAnsi="Times"/>
        </w:rPr>
        <w:t>Needless to say the isolation and recombination of a bundle of attributes does not eliminate those attributes of the underlying asset that are unquantified, or unquantifiable. Isolating temperature as it affects the life cycle of a carrot does not mean that other features of either the weather or the carrot simply disappear. Likewise, tracking the population numbers of an individual species does not automatically entail that its entanglements with other species are severed. Rather, the attributes blended together by a derivative continue ‘to bristle with reference</w:t>
      </w:r>
      <w:r w:rsidR="008542DF">
        <w:rPr>
          <w:rFonts w:ascii="Times" w:hAnsi="Times"/>
        </w:rPr>
        <w:t>.</w:t>
      </w:r>
      <w:r w:rsidRPr="00D00720">
        <w:rPr>
          <w:rFonts w:ascii="Times" w:hAnsi="Times"/>
        </w:rPr>
        <w:t>’</w:t>
      </w:r>
      <w:r w:rsidR="008542DF">
        <w:rPr>
          <w:rStyle w:val="EndnoteReference"/>
          <w:rFonts w:ascii="Times" w:hAnsi="Times"/>
        </w:rPr>
        <w:endnoteReference w:id="60"/>
      </w:r>
      <w:r w:rsidRPr="00D00720">
        <w:rPr>
          <w:rFonts w:ascii="Times" w:hAnsi="Times"/>
        </w:rPr>
        <w:t xml:space="preserve"> What emerges is a process of doubling, whereby a bundle of attributes acts as a metonym for a whole that is nevertheless affected by the manipulation and trading of these attributes. This act of doubling an underlying entity is the second feature of derivative logic we wish to highlight. As Martin</w:t>
      </w:r>
      <w:r w:rsidR="004F7A6F">
        <w:rPr>
          <w:rFonts w:ascii="Times" w:hAnsi="Times"/>
        </w:rPr>
        <w:t xml:space="preserve"> </w:t>
      </w:r>
      <w:r w:rsidRPr="00D00720">
        <w:rPr>
          <w:rFonts w:ascii="Times" w:hAnsi="Times"/>
        </w:rPr>
        <w:t xml:space="preserve">puts it, ‘Derivatives, in the very manner in which they come to be, </w:t>
      </w:r>
      <w:r w:rsidRPr="00D00720">
        <w:rPr>
          <w:rFonts w:ascii="Times" w:hAnsi="Times"/>
          <w:i/>
        </w:rPr>
        <w:t>reference a double life</w:t>
      </w:r>
      <w:r w:rsidRPr="00D00720">
        <w:rPr>
          <w:rFonts w:ascii="Times" w:hAnsi="Times"/>
        </w:rPr>
        <w:t>: they are reinventions of things for themselves into matters of interest to others, of local capacities viewed from the perspective of global attentions, of future prospects seen as present opportunities’.</w:t>
      </w:r>
      <w:r w:rsidRPr="00D00720">
        <w:rPr>
          <w:rStyle w:val="EndnoteReference"/>
          <w:rFonts w:ascii="Times" w:hAnsi="Times"/>
        </w:rPr>
        <w:endnoteReference w:id="61"/>
      </w:r>
      <w:r w:rsidRPr="00D00720">
        <w:rPr>
          <w:rFonts w:ascii="Times" w:hAnsi="Times"/>
        </w:rPr>
        <w:t xml:space="preserve">  </w:t>
      </w:r>
    </w:p>
    <w:p w14:paraId="6EF8ECFD" w14:textId="77777777" w:rsidR="00277205" w:rsidRPr="00D00720" w:rsidRDefault="00277205" w:rsidP="00806F5B">
      <w:pPr>
        <w:spacing w:line="480" w:lineRule="auto"/>
        <w:rPr>
          <w:rFonts w:ascii="Times" w:hAnsi="Times"/>
        </w:rPr>
      </w:pPr>
    </w:p>
    <w:p w14:paraId="4959DA16" w14:textId="61877A46" w:rsidR="00277205" w:rsidRPr="00D00720" w:rsidRDefault="00277205" w:rsidP="00806F5B">
      <w:pPr>
        <w:spacing w:line="480" w:lineRule="auto"/>
        <w:rPr>
          <w:rFonts w:ascii="Times" w:hAnsi="Times"/>
        </w:rPr>
      </w:pPr>
      <w:r w:rsidRPr="00D00720">
        <w:rPr>
          <w:rFonts w:ascii="Times" w:hAnsi="Times"/>
        </w:rPr>
        <w:t xml:space="preserve">In the case of biodiversity credits, the doubling enacted by metrics renders biodiversity not only visible for local authorities, land developers, offset site owners, and brokers such as the Environment Bank but also composes it for them as a site of action. The metric is thus a doubling that, to recall Robertson’s phrase, produces a ‘nature capital can see.’ In its simplest terms, the ‘derivative ecology’ produced by the biodiversity metric allows fairly abstract worries about habitat loss to be turned into quantifiable measures that ‘double’ for biodiversity, and which thus become the ‘site’ where concerned actors can mitigate against these losses through the purchase of credits. </w:t>
      </w:r>
    </w:p>
    <w:p w14:paraId="5EA88A76" w14:textId="77777777" w:rsidR="00277205" w:rsidRPr="00D00720" w:rsidRDefault="00277205" w:rsidP="00806F5B">
      <w:pPr>
        <w:spacing w:line="480" w:lineRule="auto"/>
        <w:rPr>
          <w:rFonts w:ascii="Times" w:hAnsi="Times"/>
        </w:rPr>
      </w:pPr>
    </w:p>
    <w:p w14:paraId="17105DE7" w14:textId="77777777" w:rsidR="00277205" w:rsidRPr="00D00720" w:rsidRDefault="00277205" w:rsidP="00806F5B">
      <w:pPr>
        <w:spacing w:line="480" w:lineRule="auto"/>
        <w:rPr>
          <w:rFonts w:ascii="Times" w:hAnsi="Times"/>
        </w:rPr>
      </w:pPr>
      <w:r w:rsidRPr="00D00720">
        <w:rPr>
          <w:rFonts w:ascii="Times" w:hAnsi="Times"/>
        </w:rPr>
        <w:t>But, importantly, the derivative construction of an already-externalised nature instigated by biodiversity credits is not simply an abstraction process with no material effect on the Nature from which it is composed. Rather, the ‘underlying asset’ is affected by the transaction of a credit, which initiates a process of destruction in one site in exchange for ecological practices on another. These latter processes are designed to gradually improve the offset site through the proxy of the unbundled attributes measure by the biodiversity metric. Here, the concepts of ‘distinctiveness’ and/or ‘condition’ come to shape the ways in which offset sites are developed, insofar as they become the measures by which the success of a credit exchange is measured.</w:t>
      </w:r>
    </w:p>
    <w:p w14:paraId="02D4C815" w14:textId="77777777" w:rsidR="00277205" w:rsidRPr="00D00720" w:rsidRDefault="00277205" w:rsidP="00806F5B">
      <w:pPr>
        <w:spacing w:line="480" w:lineRule="auto"/>
        <w:rPr>
          <w:rFonts w:ascii="Times" w:hAnsi="Times"/>
        </w:rPr>
      </w:pPr>
    </w:p>
    <w:p w14:paraId="69EF2D93" w14:textId="0A4FEDB0" w:rsidR="00277205" w:rsidRPr="00D00720" w:rsidRDefault="00277205" w:rsidP="00806F5B">
      <w:pPr>
        <w:spacing w:line="480" w:lineRule="auto"/>
        <w:rPr>
          <w:rFonts w:ascii="Times" w:hAnsi="Times"/>
        </w:rPr>
      </w:pPr>
      <w:r w:rsidRPr="00D00720">
        <w:rPr>
          <w:rFonts w:ascii="Times" w:hAnsi="Times"/>
        </w:rPr>
        <w:t>The invocation of process made here alludes to the temporal dimension of credit schemes. Biodiversity credits (and other ecosystem commodities) do not simply create interdependencies across different places (the dependency of one ecosystem’s assured destruction on the availability of another worthy of protection), but also create interdependencies across different times. After all, when a developer purchases an ecological credit, they are not purchasing the land itself, but paying for a process on an offset site that either seeks to improve its condition or expand it across more space over a specific period of time. For example, the purchase of biodiversity credits might restore a highly distinctive but poorly managed offset site to an excellent condition over an agreed period of time.</w:t>
      </w:r>
      <w:r w:rsidRPr="00D00720">
        <w:rPr>
          <w:rStyle w:val="EndnoteReference"/>
          <w:rFonts w:ascii="Times" w:hAnsi="Times"/>
        </w:rPr>
        <w:endnoteReference w:id="62"/>
      </w:r>
      <w:r w:rsidRPr="00D00720">
        <w:rPr>
          <w:rFonts w:ascii="Times" w:hAnsi="Times"/>
        </w:rPr>
        <w:t xml:space="preserve"> Value is thus located in the temporal process itself, and, consequently, the temporality set in motion by ecological credits requires at least as much critical attention as their spatiality</w:t>
      </w:r>
    </w:p>
    <w:p w14:paraId="380C80BB" w14:textId="77777777" w:rsidR="00277205" w:rsidRPr="00D00720" w:rsidRDefault="00277205" w:rsidP="00806F5B">
      <w:pPr>
        <w:spacing w:line="480" w:lineRule="auto"/>
        <w:rPr>
          <w:rFonts w:ascii="Times" w:hAnsi="Times"/>
        </w:rPr>
      </w:pPr>
    </w:p>
    <w:p w14:paraId="17B44542" w14:textId="3FBF08C9" w:rsidR="00277205" w:rsidRPr="00D00720" w:rsidRDefault="00861C55" w:rsidP="00806F5B">
      <w:pPr>
        <w:spacing w:line="480" w:lineRule="auto"/>
        <w:rPr>
          <w:rFonts w:ascii="Times" w:hAnsi="Times"/>
        </w:rPr>
      </w:pPr>
      <w:r>
        <w:rPr>
          <w:rFonts w:ascii="Times" w:hAnsi="Times"/>
        </w:rPr>
        <w:t xml:space="preserve">These temporal dynamics are already a key concern </w:t>
      </w:r>
      <w:r w:rsidR="00312938">
        <w:rPr>
          <w:rFonts w:ascii="Times" w:hAnsi="Times"/>
        </w:rPr>
        <w:t>for</w:t>
      </w:r>
      <w:r w:rsidR="00312938" w:rsidRPr="00D00720">
        <w:rPr>
          <w:rFonts w:ascii="Times" w:hAnsi="Times"/>
        </w:rPr>
        <w:t xml:space="preserve"> </w:t>
      </w:r>
      <w:r w:rsidR="00277205" w:rsidRPr="00D00720">
        <w:rPr>
          <w:rFonts w:ascii="Times" w:hAnsi="Times"/>
        </w:rPr>
        <w:t>stakeholders</w:t>
      </w:r>
      <w:r>
        <w:rPr>
          <w:rFonts w:ascii="Times" w:hAnsi="Times"/>
        </w:rPr>
        <w:t xml:space="preserve"> in the UK’s burgeoning biodiversity market, whose discussions </w:t>
      </w:r>
      <w:r w:rsidR="00277205" w:rsidRPr="00D00720">
        <w:rPr>
          <w:rFonts w:ascii="Times" w:hAnsi="Times"/>
        </w:rPr>
        <w:t xml:space="preserve">revolve around the time scales appropriate to the </w:t>
      </w:r>
      <w:r w:rsidR="00277205" w:rsidRPr="00D00720">
        <w:rPr>
          <w:rFonts w:ascii="Times" w:hAnsi="Times"/>
        </w:rPr>
        <w:lastRenderedPageBreak/>
        <w:t>establishment, enhancement and maintenance of offset sites and their associated risks. A fundamental issue is defining the length of time a biodiversity credit will last. If development projects necessarily destroy their sites both irreversibly and indefinitely, there is a compelling argument that conservation credits should also restore and maintain offset sites indefinitely. But while DEFRA recommends that offset sites are managed in perpetuity, it also makes allowances for some rather vague ‘practicalities.’</w:t>
      </w:r>
      <w:r w:rsidR="00277205" w:rsidRPr="00D00720">
        <w:rPr>
          <w:rStyle w:val="EndnoteReference"/>
          <w:rFonts w:ascii="Times" w:hAnsi="Times"/>
        </w:rPr>
        <w:endnoteReference w:id="63"/>
      </w:r>
      <w:r w:rsidR="00277205" w:rsidRPr="00D00720">
        <w:rPr>
          <w:rFonts w:ascii="Times" w:hAnsi="Times"/>
        </w:rPr>
        <w:t xml:space="preserve"> Such practicalities are clarified by the Environment Bank, which argues that indefinite management of an offset site runs the risk ‘of becoming exorbitant in terms of development viability.’</w:t>
      </w:r>
      <w:r w:rsidR="00277205" w:rsidRPr="00D00720">
        <w:rPr>
          <w:rStyle w:val="EndnoteReference"/>
          <w:rFonts w:ascii="Times" w:hAnsi="Times"/>
        </w:rPr>
        <w:endnoteReference w:id="64"/>
      </w:r>
      <w:r w:rsidR="00277205" w:rsidRPr="00D00720">
        <w:rPr>
          <w:rFonts w:ascii="Times" w:hAnsi="Times"/>
        </w:rPr>
        <w:t xml:space="preserve"> The Bank recommends offsets are managed for a minimum of 25 years but ‘not necessarily in perpetuity.’ These questions of temporality foreground the capitalist dynamics inherent in biodiversity credit schemes: a credit unleashes a specific temporality in motion, which, even while it provides an opportunity for accumulation, is also a financial risk that needs to be managed.  </w:t>
      </w:r>
    </w:p>
    <w:p w14:paraId="52B35B21" w14:textId="77777777" w:rsidR="00277205" w:rsidRPr="00D00720" w:rsidRDefault="00277205" w:rsidP="00806F5B">
      <w:pPr>
        <w:spacing w:line="480" w:lineRule="auto"/>
        <w:rPr>
          <w:rFonts w:ascii="Times" w:hAnsi="Times"/>
        </w:rPr>
      </w:pPr>
    </w:p>
    <w:p w14:paraId="79D1BB2E" w14:textId="76B3DEC1" w:rsidR="00277205" w:rsidRPr="00D00720" w:rsidRDefault="00277205" w:rsidP="00524BBE">
      <w:pPr>
        <w:spacing w:line="480" w:lineRule="auto"/>
        <w:rPr>
          <w:rFonts w:ascii="Times" w:hAnsi="Times"/>
        </w:rPr>
      </w:pPr>
      <w:r w:rsidRPr="00D00720">
        <w:rPr>
          <w:rFonts w:ascii="Times" w:hAnsi="Times"/>
        </w:rPr>
        <w:t>This relationship between temporality and risk is the third defining feature of derivative logic. Just as derivatives double their underlying assets into bundle</w:t>
      </w:r>
      <w:r w:rsidR="00DC3CB8">
        <w:rPr>
          <w:rFonts w:ascii="Times" w:hAnsi="Times"/>
        </w:rPr>
        <w:t>s</w:t>
      </w:r>
      <w:r w:rsidRPr="00D00720">
        <w:rPr>
          <w:rFonts w:ascii="Times" w:hAnsi="Times"/>
        </w:rPr>
        <w:t xml:space="preserve"> of attributes of lesser complexity, they also reduce the complexity and contingencies of the future to a collection of symbolic units that become </w:t>
      </w:r>
      <w:r w:rsidRPr="00DC330B">
        <w:rPr>
          <w:rFonts w:ascii="Times" w:hAnsi="Times"/>
        </w:rPr>
        <w:t>meaningful, manageable and tradable.</w:t>
      </w:r>
      <w:r w:rsidRPr="00DC330B">
        <w:rPr>
          <w:rStyle w:val="EndnoteReference"/>
          <w:rFonts w:ascii="Times" w:hAnsi="Times"/>
        </w:rPr>
        <w:endnoteReference w:id="65"/>
      </w:r>
      <w:r w:rsidRPr="00DC330B">
        <w:rPr>
          <w:rFonts w:ascii="Times" w:hAnsi="Times"/>
        </w:rPr>
        <w:t xml:space="preserve"> Through derivatives, the uncertainty and risks of the future can be embraced and mitigated by the exchange of contracts. A weather derivative, for example, may enable a company to mitigate and even profit from the risks associated with unpredictable weather events.</w:t>
      </w:r>
      <w:r w:rsidRPr="00DC330B">
        <w:rPr>
          <w:rStyle w:val="EndnoteReference"/>
          <w:rFonts w:ascii="Times" w:hAnsi="Times"/>
        </w:rPr>
        <w:endnoteReference w:id="66"/>
      </w:r>
      <w:r w:rsidR="00A10FD0" w:rsidRPr="00DC330B">
        <w:rPr>
          <w:rFonts w:ascii="Times" w:hAnsi="Times"/>
        </w:rPr>
        <w:t xml:space="preserve"> </w:t>
      </w:r>
      <w:r w:rsidR="004E5A15" w:rsidRPr="00DC330B">
        <w:rPr>
          <w:rFonts w:ascii="Times" w:hAnsi="Times"/>
        </w:rPr>
        <w:t>Indeed, a</w:t>
      </w:r>
      <w:r w:rsidR="00A10FD0" w:rsidRPr="00DC330B">
        <w:rPr>
          <w:rFonts w:ascii="Times" w:hAnsi="Times"/>
        </w:rPr>
        <w:t xml:space="preserve">s Melinda Cooper notes, the pre-emptive power of </w:t>
      </w:r>
      <w:r w:rsidR="004E5A15" w:rsidRPr="00DC330B">
        <w:rPr>
          <w:rFonts w:ascii="Times" w:hAnsi="Times"/>
        </w:rPr>
        <w:t xml:space="preserve">financial </w:t>
      </w:r>
      <w:r w:rsidR="00A10FD0" w:rsidRPr="00DC330B">
        <w:rPr>
          <w:rFonts w:ascii="Times" w:hAnsi="Times"/>
        </w:rPr>
        <w:t>derivative</w:t>
      </w:r>
      <w:r w:rsidR="001E5308" w:rsidRPr="00DC330B">
        <w:rPr>
          <w:rFonts w:ascii="Times" w:hAnsi="Times"/>
        </w:rPr>
        <w:t>s</w:t>
      </w:r>
      <w:r w:rsidR="00A10FD0" w:rsidRPr="00DC330B">
        <w:rPr>
          <w:rFonts w:ascii="Times" w:hAnsi="Times"/>
        </w:rPr>
        <w:t xml:space="preserve"> has now transformed the turbulence </w:t>
      </w:r>
      <w:r w:rsidR="00755FD7" w:rsidRPr="00DC330B">
        <w:rPr>
          <w:rFonts w:ascii="Times" w:hAnsi="Times"/>
        </w:rPr>
        <w:t>engendered by</w:t>
      </w:r>
      <w:r w:rsidR="00A10FD0" w:rsidRPr="00DC330B">
        <w:rPr>
          <w:rFonts w:ascii="Times" w:hAnsi="Times"/>
        </w:rPr>
        <w:t xml:space="preserve"> unpredictable</w:t>
      </w:r>
      <w:r w:rsidR="00755FD7" w:rsidRPr="00DC330B">
        <w:rPr>
          <w:rFonts w:ascii="Times" w:hAnsi="Times"/>
        </w:rPr>
        <w:t xml:space="preserve"> </w:t>
      </w:r>
      <w:r w:rsidR="00DC330B" w:rsidRPr="00DC330B">
        <w:rPr>
          <w:rFonts w:ascii="Times" w:hAnsi="Times"/>
        </w:rPr>
        <w:t xml:space="preserve">events -- </w:t>
      </w:r>
      <w:r w:rsidR="00755FD7" w:rsidRPr="00DC330B">
        <w:rPr>
          <w:rFonts w:ascii="Times" w:hAnsi="Times"/>
        </w:rPr>
        <w:t xml:space="preserve">be they financial, political or meteorological </w:t>
      </w:r>
      <w:r w:rsidR="00DC330B" w:rsidRPr="00DC330B">
        <w:rPr>
          <w:rFonts w:ascii="Times" w:hAnsi="Times"/>
        </w:rPr>
        <w:t xml:space="preserve">-- </w:t>
      </w:r>
      <w:r w:rsidR="00755FD7" w:rsidRPr="00DC330B">
        <w:rPr>
          <w:rFonts w:ascii="Times" w:hAnsi="Times"/>
        </w:rPr>
        <w:t xml:space="preserve">into opportunities for </w:t>
      </w:r>
      <w:r w:rsidR="00A10FD0" w:rsidRPr="00DC330B">
        <w:rPr>
          <w:rFonts w:ascii="Times" w:hAnsi="Times"/>
        </w:rPr>
        <w:t>profit-making.</w:t>
      </w:r>
      <w:r w:rsidR="00A10FD0" w:rsidRPr="00DC330B">
        <w:rPr>
          <w:rStyle w:val="EndnoteReference"/>
          <w:rFonts w:ascii="Times" w:hAnsi="Times"/>
        </w:rPr>
        <w:endnoteReference w:id="67"/>
      </w:r>
      <w:r w:rsidR="00A10FD0" w:rsidRPr="00DC330B">
        <w:rPr>
          <w:rFonts w:ascii="Times" w:hAnsi="Times"/>
        </w:rPr>
        <w:t xml:space="preserve"> </w:t>
      </w:r>
      <w:r w:rsidR="001E5308">
        <w:rPr>
          <w:rFonts w:ascii="Times" w:hAnsi="Times"/>
        </w:rPr>
        <w:t>From this perspective,</w:t>
      </w:r>
      <w:r w:rsidR="00A10FD0">
        <w:rPr>
          <w:rFonts w:ascii="Times" w:hAnsi="Times"/>
        </w:rPr>
        <w:t xml:space="preserve"> d</w:t>
      </w:r>
      <w:r w:rsidRPr="00D00720">
        <w:rPr>
          <w:rFonts w:ascii="Times" w:hAnsi="Times"/>
        </w:rPr>
        <w:t>erivatives  turn ‘the otherwise impracticable notion of temporal manipulation into a socially objective fact.’</w:t>
      </w:r>
      <w:r w:rsidRPr="00D00720">
        <w:rPr>
          <w:rStyle w:val="EndnoteReference"/>
          <w:rFonts w:ascii="Times" w:hAnsi="Times"/>
        </w:rPr>
        <w:endnoteReference w:id="68"/>
      </w:r>
    </w:p>
    <w:p w14:paraId="45BBDF9F" w14:textId="77777777" w:rsidR="00277205" w:rsidRPr="00D00720" w:rsidRDefault="00277205" w:rsidP="00806F5B">
      <w:pPr>
        <w:spacing w:line="480" w:lineRule="auto"/>
        <w:rPr>
          <w:rFonts w:ascii="Times" w:hAnsi="Times"/>
        </w:rPr>
      </w:pPr>
    </w:p>
    <w:p w14:paraId="7E06DB7A" w14:textId="24B5851A" w:rsidR="00277205" w:rsidRPr="00D00720" w:rsidRDefault="00E75D99" w:rsidP="00806F5B">
      <w:pPr>
        <w:spacing w:line="480" w:lineRule="auto"/>
        <w:rPr>
          <w:rFonts w:ascii="Times" w:hAnsi="Times"/>
        </w:rPr>
      </w:pPr>
      <w:r>
        <w:rPr>
          <w:rFonts w:ascii="Times" w:hAnsi="Times"/>
        </w:rPr>
        <w:t xml:space="preserve">As the bearers of their own derivative logic, biodiversity credits are also designed (in a similar if not entirely identical way to the examples above) to embrace the risks of unpredictable futures. </w:t>
      </w:r>
      <w:r w:rsidRPr="00D00720">
        <w:rPr>
          <w:rFonts w:ascii="Times" w:hAnsi="Times"/>
        </w:rPr>
        <w:t xml:space="preserve">In general, the temporal risks associated with </w:t>
      </w:r>
      <w:r>
        <w:rPr>
          <w:rFonts w:ascii="Times" w:hAnsi="Times"/>
        </w:rPr>
        <w:t xml:space="preserve">offsetting </w:t>
      </w:r>
      <w:r w:rsidRPr="00D00720">
        <w:rPr>
          <w:rFonts w:ascii="Times" w:hAnsi="Times"/>
        </w:rPr>
        <w:t xml:space="preserve">are </w:t>
      </w:r>
      <w:r>
        <w:rPr>
          <w:rFonts w:ascii="Times" w:hAnsi="Times"/>
        </w:rPr>
        <w:t>integrated into biodiversity credits</w:t>
      </w:r>
      <w:r w:rsidRPr="00D00720">
        <w:rPr>
          <w:rFonts w:ascii="Times" w:hAnsi="Times"/>
        </w:rPr>
        <w:t xml:space="preserve"> </w:t>
      </w:r>
      <w:r>
        <w:rPr>
          <w:rFonts w:ascii="Times" w:hAnsi="Times"/>
        </w:rPr>
        <w:t>through</w:t>
      </w:r>
      <w:r w:rsidRPr="00D00720">
        <w:rPr>
          <w:rFonts w:ascii="Times" w:hAnsi="Times"/>
        </w:rPr>
        <w:t xml:space="preserve"> multipliers that are designed to price in the uncertainty involved in the restoration or expansion of the offset site, which, after all, may or may not succeed. For example, the</w:t>
      </w:r>
      <w:r>
        <w:rPr>
          <w:rFonts w:ascii="Times" w:hAnsi="Times"/>
        </w:rPr>
        <w:t xml:space="preserve"> UK</w:t>
      </w:r>
      <w:r w:rsidRPr="00D00720">
        <w:rPr>
          <w:rFonts w:ascii="Times" w:hAnsi="Times"/>
        </w:rPr>
        <w:t xml:space="preserve"> Government’s guidelines recommend the use of a multiplier in order to try and account for ‘the difference in time between the negative impact on biodiversity and the offset reaching the required quality or level of maturity’.</w:t>
      </w:r>
      <w:r w:rsidRPr="00D00720">
        <w:rPr>
          <w:rStyle w:val="EndnoteReference"/>
          <w:rFonts w:ascii="Times" w:hAnsi="Times"/>
        </w:rPr>
        <w:endnoteReference w:id="69"/>
      </w:r>
      <w:r w:rsidRPr="00D00720">
        <w:rPr>
          <w:rFonts w:ascii="Times" w:hAnsi="Times"/>
        </w:rPr>
        <w:t xml:space="preserve"> </w:t>
      </w:r>
      <w:r w:rsidR="00277205" w:rsidRPr="00D00720">
        <w:rPr>
          <w:rFonts w:ascii="Times" w:hAnsi="Times"/>
        </w:rPr>
        <w:t>Moreover, DEFRA expects that planning authorities, brokers and developers can calculate the risks of failure, including the time taken for offset habitats to develop, and thus ‘work out the necessary multiplier to achieve a suitable level of confidence’.</w:t>
      </w:r>
      <w:r w:rsidR="00277205" w:rsidRPr="00D00720">
        <w:rPr>
          <w:rStyle w:val="EndnoteReference"/>
          <w:rFonts w:ascii="Times" w:hAnsi="Times"/>
        </w:rPr>
        <w:endnoteReference w:id="70"/>
      </w:r>
      <w:r w:rsidR="00277205" w:rsidRPr="00D00720">
        <w:rPr>
          <w:rFonts w:ascii="Times" w:hAnsi="Times"/>
        </w:rPr>
        <w:t xml:space="preserve"> It is recommend that if the difficulty of recreation is very high then a multiplier of 10 be applied to work out the size and/or value of the credits a developer would need to buy. </w:t>
      </w:r>
    </w:p>
    <w:p w14:paraId="537EC069" w14:textId="77777777" w:rsidR="00277205" w:rsidRPr="00D00720" w:rsidRDefault="00277205" w:rsidP="00806F5B">
      <w:pPr>
        <w:spacing w:line="480" w:lineRule="auto"/>
        <w:rPr>
          <w:rFonts w:ascii="Times" w:hAnsi="Times"/>
        </w:rPr>
      </w:pPr>
    </w:p>
    <w:p w14:paraId="681EDC9E" w14:textId="7A320867" w:rsidR="00277205" w:rsidRPr="00D00720" w:rsidRDefault="00277205" w:rsidP="00806F5B">
      <w:pPr>
        <w:spacing w:line="480" w:lineRule="auto"/>
        <w:rPr>
          <w:rFonts w:ascii="Times" w:hAnsi="Times"/>
        </w:rPr>
      </w:pPr>
      <w:r w:rsidRPr="00D00720">
        <w:rPr>
          <w:rFonts w:ascii="Times" w:hAnsi="Times"/>
        </w:rPr>
        <w:t>In this way, speculations about the changing risks over time involved in offsetting are built into the abstraction process of biodiversity credits. Multipliers recognise the inherently temporal process that is set in motion by the purchase of credits and become a kind of ‘hedge’ against these uncertainties, which is priced into the credit through a process of multiplication.</w:t>
      </w:r>
      <w:r w:rsidRPr="00D00720">
        <w:rPr>
          <w:rStyle w:val="EndnoteReference"/>
          <w:rFonts w:ascii="Times" w:hAnsi="Times"/>
        </w:rPr>
        <w:endnoteReference w:id="71"/>
      </w:r>
      <w:r w:rsidRPr="00D00720">
        <w:rPr>
          <w:rFonts w:ascii="Times" w:hAnsi="Times"/>
        </w:rPr>
        <w:t xml:space="preserve"> While multiplier calculations are, according to critics such as </w:t>
      </w:r>
      <w:r w:rsidRPr="00D00720">
        <w:rPr>
          <w:rFonts w:ascii="Times" w:hAnsi="Times"/>
          <w:noProof/>
        </w:rPr>
        <w:t>Apostolopoulou</w:t>
      </w:r>
      <w:r w:rsidRPr="00D00720">
        <w:rPr>
          <w:rFonts w:ascii="Times" w:hAnsi="Times"/>
        </w:rPr>
        <w:t xml:space="preserve"> </w:t>
      </w:r>
      <w:r w:rsidRPr="00020CA9">
        <w:rPr>
          <w:rFonts w:ascii="Times" w:hAnsi="Times"/>
          <w:i/>
        </w:rPr>
        <w:t>et al</w:t>
      </w:r>
      <w:r w:rsidRPr="00D00720">
        <w:rPr>
          <w:rFonts w:ascii="Times" w:hAnsi="Times"/>
        </w:rPr>
        <w:t>. ‘by necessity quite arbitrary and reflect the desire of the analyst to make a conservative calculation rather than any underlying ecological logic,’ they nevertheless have the potential to levy powerful effects over time.</w:t>
      </w:r>
      <w:r w:rsidRPr="00D00720">
        <w:rPr>
          <w:rStyle w:val="EndnoteReference"/>
          <w:rFonts w:ascii="Times" w:hAnsi="Times"/>
        </w:rPr>
        <w:endnoteReference w:id="72"/>
      </w:r>
      <w:r w:rsidRPr="00D00720">
        <w:rPr>
          <w:rFonts w:ascii="Times" w:hAnsi="Times"/>
        </w:rPr>
        <w:t xml:space="preserve"> Each credit produced through the application of multipliers carries a speculation on the health of a given ecosystem in the future, and </w:t>
      </w:r>
      <w:r w:rsidRPr="00D00720">
        <w:rPr>
          <w:rFonts w:ascii="Times" w:hAnsi="Times"/>
        </w:rPr>
        <w:lastRenderedPageBreak/>
        <w:t>embodies a faith that this ecosystem can be protected from a range of risks whose probability of occurring can both be calculated and acted upon in advance.</w:t>
      </w:r>
    </w:p>
    <w:p w14:paraId="40A85A54" w14:textId="77777777" w:rsidR="00277205" w:rsidRPr="00D00720" w:rsidRDefault="00277205" w:rsidP="00806F5B">
      <w:pPr>
        <w:spacing w:line="480" w:lineRule="auto"/>
        <w:rPr>
          <w:rFonts w:ascii="Times" w:hAnsi="Times"/>
        </w:rPr>
      </w:pPr>
    </w:p>
    <w:p w14:paraId="030278A3" w14:textId="77A9D717" w:rsidR="00277205" w:rsidRPr="00D00720" w:rsidRDefault="00277205" w:rsidP="00806F5B">
      <w:pPr>
        <w:spacing w:line="480" w:lineRule="auto"/>
        <w:rPr>
          <w:rFonts w:ascii="Times" w:hAnsi="Times"/>
        </w:rPr>
      </w:pPr>
      <w:r w:rsidRPr="00D00720">
        <w:rPr>
          <w:rFonts w:ascii="Times" w:hAnsi="Times"/>
        </w:rPr>
        <w:t xml:space="preserve">Probability here should not be confused with predictability, however. For while both bind the present to the future, they do so in different ways. A risk is predictable if it conceptualises the future as a linear sequence of events; if a risk is considered probable (or improbable), it represents one of many possible future scenarios that may branch out in a non-linear fashion. Biodiversity credits rely on an ability to conceptualise the future as a space of probabilities that may affect the value of the underlying asset. This gives the future a functional existence in the present, which is summarised by </w:t>
      </w:r>
      <w:proofErr w:type="spellStart"/>
      <w:r w:rsidRPr="00D00720">
        <w:rPr>
          <w:rFonts w:ascii="Times" w:hAnsi="Times"/>
        </w:rPr>
        <w:t>Arnoldi</w:t>
      </w:r>
      <w:proofErr w:type="spellEnd"/>
      <w:r w:rsidRPr="00D00720">
        <w:rPr>
          <w:rFonts w:ascii="Times" w:hAnsi="Times"/>
        </w:rPr>
        <w:t xml:space="preserve"> as a shift from a future as something merely possible to something that has being ‘in practice.’</w:t>
      </w:r>
      <w:r w:rsidRPr="00D00720">
        <w:rPr>
          <w:rStyle w:val="EndnoteReference"/>
          <w:rFonts w:ascii="Times" w:hAnsi="Times"/>
        </w:rPr>
        <w:endnoteReference w:id="73"/>
      </w:r>
      <w:r w:rsidRPr="00D00720">
        <w:rPr>
          <w:rFonts w:ascii="Times" w:hAnsi="Times"/>
        </w:rPr>
        <w:t xml:space="preserve"> This ability to operationalize the future in the present effectively transforms the future into a resource, and as </w:t>
      </w:r>
      <w:proofErr w:type="spellStart"/>
      <w:r w:rsidRPr="00D00720">
        <w:rPr>
          <w:rFonts w:ascii="Times" w:hAnsi="Times"/>
        </w:rPr>
        <w:t>Arnoldi</w:t>
      </w:r>
      <w:proofErr w:type="spellEnd"/>
      <w:r w:rsidRPr="00D00720">
        <w:rPr>
          <w:rFonts w:ascii="Times" w:hAnsi="Times"/>
        </w:rPr>
        <w:t xml:space="preserve"> points out, this is only made possible by specific technologies and knowledges. The transition from scientific knowledge based on certitude to other models based on complexity, chaos, and non-linear dynamics feed into technologies that are able to conceptualise open futures with much greater confidence. These dynamics also feed into new approaches to ecology, as will be discussed in the final section below. </w:t>
      </w:r>
    </w:p>
    <w:p w14:paraId="159E2EB9" w14:textId="77777777" w:rsidR="00277205" w:rsidRPr="00D00720" w:rsidRDefault="00277205" w:rsidP="00806F5B">
      <w:pPr>
        <w:spacing w:line="480" w:lineRule="auto"/>
        <w:rPr>
          <w:rFonts w:ascii="Times" w:hAnsi="Times"/>
        </w:rPr>
      </w:pPr>
    </w:p>
    <w:p w14:paraId="2F778D05" w14:textId="43AA00FE" w:rsidR="00277205" w:rsidRPr="00D00720" w:rsidRDefault="00277205" w:rsidP="00806F5B">
      <w:pPr>
        <w:spacing w:line="480" w:lineRule="auto"/>
        <w:rPr>
          <w:rFonts w:ascii="Times" w:hAnsi="Times"/>
        </w:rPr>
      </w:pPr>
      <w:r w:rsidRPr="00D00720">
        <w:rPr>
          <w:rFonts w:ascii="Times" w:hAnsi="Times"/>
        </w:rPr>
        <w:t>In summary, the use of derivatives to distribute the financial risks to governments posed by nature conservation may still be relatively small scale, but this does not prevent a</w:t>
      </w:r>
      <w:r w:rsidR="00065DAF">
        <w:rPr>
          <w:rFonts w:ascii="Times" w:hAnsi="Times"/>
        </w:rPr>
        <w:t xml:space="preserve"> tripartite</w:t>
      </w:r>
      <w:r w:rsidRPr="00D00720">
        <w:rPr>
          <w:rFonts w:ascii="Times" w:hAnsi="Times"/>
        </w:rPr>
        <w:t xml:space="preserve"> derivative logic from suffusing a range of market-based approaches to conservation. In contrast to </w:t>
      </w:r>
      <w:proofErr w:type="spellStart"/>
      <w:r w:rsidRPr="00D00720">
        <w:rPr>
          <w:rFonts w:ascii="Times" w:hAnsi="Times"/>
        </w:rPr>
        <w:t>Büscher’s</w:t>
      </w:r>
      <w:proofErr w:type="spellEnd"/>
      <w:r w:rsidRPr="00D00720">
        <w:rPr>
          <w:rFonts w:ascii="Times" w:hAnsi="Times"/>
        </w:rPr>
        <w:t xml:space="preserve"> ‘derivative nature’ the extent to which this logic penetrates market based approaches to conservation licenses us to speak of a broader </w:t>
      </w:r>
      <w:r w:rsidRPr="00D00720">
        <w:rPr>
          <w:rFonts w:ascii="Times" w:hAnsi="Times"/>
          <w:i/>
        </w:rPr>
        <w:t>derivative ecology</w:t>
      </w:r>
      <w:r w:rsidRPr="00D00720">
        <w:rPr>
          <w:rFonts w:ascii="Times" w:hAnsi="Times"/>
        </w:rPr>
        <w:t xml:space="preserve">, in the dual sense that the derivative logic of biodiversity credits pertains to specific non-human ecologies, and that derivative logic in itself operates within a social ecology of institutions, </w:t>
      </w:r>
      <w:r w:rsidRPr="00D00720">
        <w:rPr>
          <w:rFonts w:ascii="Times" w:hAnsi="Times"/>
        </w:rPr>
        <w:lastRenderedPageBreak/>
        <w:t xml:space="preserve">regulations, specialists, trading platforms and the parcels of time and space that they shape. Where ‘derivative nature’ builds its conceptual architecture along the border between nature and culture, ‘derivative ecology’ speaks of the relational entanglements of conservation, finance and the ecosystems they condition. </w:t>
      </w:r>
    </w:p>
    <w:p w14:paraId="3C2924CA" w14:textId="77777777" w:rsidR="00277205" w:rsidRPr="00D00720" w:rsidRDefault="00277205" w:rsidP="00C17128">
      <w:pPr>
        <w:spacing w:line="480" w:lineRule="auto"/>
        <w:ind w:firstLine="709"/>
        <w:rPr>
          <w:rFonts w:ascii="Times" w:hAnsi="Times"/>
        </w:rPr>
      </w:pPr>
    </w:p>
    <w:bookmarkEnd w:id="1"/>
    <w:bookmarkEnd w:id="2"/>
    <w:p w14:paraId="5E6D2B2A" w14:textId="5D819C1F" w:rsidR="00277205" w:rsidRPr="00DF14E7" w:rsidRDefault="00277205" w:rsidP="00BB7AF8">
      <w:pPr>
        <w:spacing w:line="480" w:lineRule="auto"/>
        <w:rPr>
          <w:rFonts w:ascii="Helvetica Neue" w:hAnsi="Helvetica Neue"/>
          <w:b/>
        </w:rPr>
      </w:pPr>
      <w:r w:rsidRPr="00DF14E7">
        <w:rPr>
          <w:rFonts w:ascii="Helvetica Neue" w:hAnsi="Helvetica Neue"/>
          <w:b/>
        </w:rPr>
        <w:t xml:space="preserve">5: The Aberrant Temporalities of Ecological Communities. </w:t>
      </w:r>
    </w:p>
    <w:p w14:paraId="16B5ED8F" w14:textId="77777777" w:rsidR="00277205" w:rsidRPr="00D00720" w:rsidRDefault="00277205" w:rsidP="00BB7AF8">
      <w:pPr>
        <w:spacing w:line="480" w:lineRule="auto"/>
        <w:rPr>
          <w:rFonts w:ascii="Times" w:hAnsi="Times"/>
          <w:b/>
        </w:rPr>
      </w:pPr>
    </w:p>
    <w:p w14:paraId="4CB836B7" w14:textId="7E2A8ADC" w:rsidR="00277205" w:rsidRPr="00D00720" w:rsidRDefault="00277205" w:rsidP="00642FA8">
      <w:pPr>
        <w:spacing w:line="480" w:lineRule="auto"/>
        <w:rPr>
          <w:rFonts w:ascii="Times" w:hAnsi="Times"/>
        </w:rPr>
      </w:pPr>
      <w:r w:rsidRPr="00D00720">
        <w:rPr>
          <w:rFonts w:ascii="Times" w:hAnsi="Times"/>
          <w:lang w:val="en-US"/>
        </w:rPr>
        <w:t xml:space="preserve">The etymology of the word ‘derivative’ is bound up with a vocabulary of rivers and flows. It is therefore ironic that derivative ecology involves reducing the inherent dynamism of ecosystems to a single, relatively stable set of measurements. While biodiversity credits are the carriers of flows of a financial kind </w:t>
      </w:r>
      <w:r w:rsidRPr="00D00720">
        <w:rPr>
          <w:rFonts w:ascii="Times" w:hAnsi="Times"/>
        </w:rPr>
        <w:t>–</w:t>
      </w:r>
      <w:r w:rsidRPr="00D00720">
        <w:rPr>
          <w:rFonts w:ascii="Times" w:hAnsi="Times"/>
          <w:lang w:val="en-US"/>
        </w:rPr>
        <w:t xml:space="preserve"> a flow of capital from one organization to another, from one space to another, or one time to another </w:t>
      </w:r>
      <w:r w:rsidRPr="00D00720">
        <w:rPr>
          <w:rFonts w:ascii="Times" w:hAnsi="Times"/>
        </w:rPr>
        <w:t>–</w:t>
      </w:r>
      <w:r w:rsidRPr="00D00720">
        <w:rPr>
          <w:rFonts w:ascii="Times" w:hAnsi="Times"/>
          <w:lang w:val="en-US"/>
        </w:rPr>
        <w:t xml:space="preserve"> the underlying ‘asset’ that supports them is locked into a particular trajectory of development over a given period of time. </w:t>
      </w:r>
    </w:p>
    <w:p w14:paraId="70731964" w14:textId="77777777" w:rsidR="00277205" w:rsidRPr="00D00720" w:rsidRDefault="00277205" w:rsidP="00806F5B">
      <w:pPr>
        <w:spacing w:line="480" w:lineRule="auto"/>
        <w:rPr>
          <w:rFonts w:ascii="Times" w:hAnsi="Times"/>
          <w:lang w:val="en-US"/>
        </w:rPr>
      </w:pPr>
    </w:p>
    <w:p w14:paraId="3B20E482" w14:textId="0190FE71" w:rsidR="00277205" w:rsidRDefault="00277205" w:rsidP="00806F5B">
      <w:pPr>
        <w:spacing w:line="480" w:lineRule="auto"/>
        <w:rPr>
          <w:rFonts w:ascii="Times" w:hAnsi="Times"/>
          <w:lang w:val="en-US"/>
        </w:rPr>
      </w:pPr>
      <w:r w:rsidRPr="00D00720">
        <w:rPr>
          <w:rFonts w:ascii="Times" w:hAnsi="Times"/>
          <w:lang w:val="en-US"/>
        </w:rPr>
        <w:t>The idea of nature as inherently dynamic is now so commonplace as to seem clichéd. But within ecological science there has been a steady shift in how dynamism is conceptualized. Once dominant ideas such as vegetative succession, whereby an ecological community was thought to progress through a series of predictable changes until it reaches a ‘climax community’ have been largely disputed.</w:t>
      </w:r>
      <w:r w:rsidRPr="00D00720">
        <w:rPr>
          <w:rStyle w:val="EndnoteReference"/>
          <w:rFonts w:ascii="Times" w:hAnsi="Times"/>
          <w:lang w:val="en-US"/>
        </w:rPr>
        <w:endnoteReference w:id="74"/>
      </w:r>
      <w:r w:rsidRPr="00D00720">
        <w:rPr>
          <w:rFonts w:ascii="Times" w:hAnsi="Times"/>
          <w:lang w:val="en-US"/>
        </w:rPr>
        <w:t xml:space="preserve"> Where such ideas provided a linear model of how ecosystems change over time, more recent paradigms emphasize decidedly non-linear accounts of how </w:t>
      </w:r>
      <w:proofErr w:type="spellStart"/>
      <w:r w:rsidRPr="00D00720">
        <w:rPr>
          <w:rFonts w:ascii="Times" w:hAnsi="Times"/>
          <w:lang w:val="en-US"/>
        </w:rPr>
        <w:t>ecosystemic</w:t>
      </w:r>
      <w:proofErr w:type="spellEnd"/>
      <w:r w:rsidRPr="00D00720">
        <w:rPr>
          <w:rFonts w:ascii="Times" w:hAnsi="Times"/>
          <w:lang w:val="en-US"/>
        </w:rPr>
        <w:t xml:space="preserve"> change might occur.</w:t>
      </w:r>
      <w:r w:rsidRPr="00D00720">
        <w:rPr>
          <w:rStyle w:val="EndnoteReference"/>
          <w:rFonts w:ascii="Times" w:hAnsi="Times"/>
          <w:lang w:val="en-US"/>
        </w:rPr>
        <w:endnoteReference w:id="75"/>
      </w:r>
      <w:r w:rsidRPr="00D00720">
        <w:rPr>
          <w:rFonts w:ascii="Times" w:hAnsi="Times"/>
          <w:lang w:val="en-US"/>
        </w:rPr>
        <w:t xml:space="preserve"> As </w:t>
      </w:r>
      <w:proofErr w:type="spellStart"/>
      <w:r w:rsidRPr="00D00720">
        <w:rPr>
          <w:rFonts w:ascii="Times" w:hAnsi="Times"/>
          <w:lang w:val="en-US"/>
        </w:rPr>
        <w:t>Scheffer</w:t>
      </w:r>
      <w:proofErr w:type="spellEnd"/>
      <w:r w:rsidRPr="00D00720">
        <w:rPr>
          <w:rFonts w:ascii="Times" w:hAnsi="Times"/>
          <w:lang w:val="en-US"/>
        </w:rPr>
        <w:t xml:space="preserve"> et al note, an ecosystem may respond to changes in environmental conditions such as a gradual reduction in soli nutrient levels as one might expect; in a way that is correspondingly gradual.</w:t>
      </w:r>
      <w:r w:rsidRPr="00D00720">
        <w:rPr>
          <w:rStyle w:val="EndnoteReference"/>
          <w:rFonts w:ascii="Times" w:hAnsi="Times"/>
          <w:lang w:val="en-US"/>
        </w:rPr>
        <w:endnoteReference w:id="76"/>
      </w:r>
      <w:r w:rsidRPr="00D00720">
        <w:rPr>
          <w:rFonts w:ascii="Times" w:hAnsi="Times"/>
          <w:lang w:val="en-US"/>
        </w:rPr>
        <w:t xml:space="preserve"> But it may also respond in a way that is rapid, involving a ‘catastrophic’ transition from one stable state to another, for example from a vegetated to desert environment. Perhaps even more confounding for </w:t>
      </w:r>
      <w:r w:rsidRPr="00D00720">
        <w:rPr>
          <w:rFonts w:ascii="Times" w:hAnsi="Times"/>
          <w:lang w:val="en-US"/>
        </w:rPr>
        <w:lastRenderedPageBreak/>
        <w:t xml:space="preserve">linear models, if one were to seek to return the ecosystem back to its former state, it would be insufficient to simply restore the environmental conditions that were present before this transition. This shows that a given set of environmental conditions does not automatically give rise to one single ecological community. Multiple arrangements are possible, each of which could equally form stable states. Each possibility in the life of an ecological community serves as an ‘attractor’, to borrow a term from the mathematics of dynamical systems, pulling an ecosystem’s properties towards it like gravity pulls a ball from one valley to another on an uneven surface. Moreover, there can sometimes be very little indication of when the pull of a given attractor may become weak enough to enable the community to transition into another state. While these processes are all capable of being modeled mathematically, the logic they reveal is not one that is easily accommodated by the suite of market based conservation instruments discussed above, trapped as they are in a derivative logic that treats ecosystems as simple clockworks that can be counted upon to provide offsets because they behave in predictable ways.  </w:t>
      </w:r>
    </w:p>
    <w:p w14:paraId="6E04950C" w14:textId="77777777" w:rsidR="00277205" w:rsidRPr="00D00720" w:rsidRDefault="00277205" w:rsidP="00806F5B">
      <w:pPr>
        <w:spacing w:line="480" w:lineRule="auto"/>
        <w:rPr>
          <w:rFonts w:ascii="Times" w:hAnsi="Times"/>
          <w:lang w:val="en-US"/>
        </w:rPr>
      </w:pPr>
    </w:p>
    <w:p w14:paraId="68C813BC" w14:textId="5B86B94B" w:rsidR="00277205" w:rsidRPr="00D00720" w:rsidRDefault="00277205" w:rsidP="00806F5B">
      <w:pPr>
        <w:spacing w:line="480" w:lineRule="auto"/>
        <w:rPr>
          <w:rFonts w:ascii="Times" w:hAnsi="Times"/>
          <w:lang w:val="en-US"/>
        </w:rPr>
      </w:pPr>
      <w:r w:rsidRPr="00D00720">
        <w:rPr>
          <w:rFonts w:ascii="Times" w:hAnsi="Times"/>
          <w:lang w:val="en-US"/>
        </w:rPr>
        <w:t xml:space="preserve">But it is not only the non-linear nature of </w:t>
      </w:r>
      <w:proofErr w:type="spellStart"/>
      <w:r w:rsidRPr="00D00720">
        <w:rPr>
          <w:rFonts w:ascii="Times" w:hAnsi="Times"/>
          <w:lang w:val="en-US"/>
        </w:rPr>
        <w:t>ecosystemic</w:t>
      </w:r>
      <w:proofErr w:type="spellEnd"/>
      <w:r w:rsidRPr="00D00720">
        <w:rPr>
          <w:rFonts w:ascii="Times" w:hAnsi="Times"/>
          <w:lang w:val="en-US"/>
        </w:rPr>
        <w:t xml:space="preserve"> change that has the capacity to evade the derivative logic of biodiversity credits. ‘Ecological surprises’ are thrown up in another way too.</w:t>
      </w:r>
      <w:r w:rsidRPr="00D00720">
        <w:rPr>
          <w:rStyle w:val="EndnoteReference"/>
          <w:rFonts w:ascii="Times" w:hAnsi="Times"/>
          <w:lang w:val="en-US"/>
        </w:rPr>
        <w:endnoteReference w:id="77"/>
      </w:r>
      <w:r w:rsidRPr="00D00720">
        <w:rPr>
          <w:rFonts w:ascii="Times" w:hAnsi="Times"/>
          <w:lang w:val="en-US"/>
        </w:rPr>
        <w:t xml:space="preserve"> When nutrient levels in a shallow lake cause the water to transition from one steady state to another – for example from clear to turbid – it nevertheless transitions between two states that ecologists recognize, often accompanied by communities of plants and animals found under similar conditions elsewhere. By contrast, what </w:t>
      </w:r>
      <w:proofErr w:type="gramStart"/>
      <w:r w:rsidRPr="00D00720">
        <w:rPr>
          <w:rFonts w:ascii="Times" w:hAnsi="Times"/>
          <w:lang w:val="en-US"/>
        </w:rPr>
        <w:t>ecologists</w:t>
      </w:r>
      <w:proofErr w:type="gramEnd"/>
      <w:r w:rsidRPr="00D00720">
        <w:rPr>
          <w:rFonts w:ascii="Times" w:hAnsi="Times"/>
          <w:lang w:val="en-US"/>
        </w:rPr>
        <w:t xml:space="preserve"> term ‘novel ecosystems’ and ‘no analog communities’ emerge as a consequence of species being reshuffled into communities without precedent.</w:t>
      </w:r>
      <w:r w:rsidRPr="00D00720">
        <w:rPr>
          <w:rStyle w:val="EndnoteReference"/>
          <w:rFonts w:ascii="Times" w:hAnsi="Times"/>
          <w:lang w:val="en-US"/>
        </w:rPr>
        <w:endnoteReference w:id="78"/>
      </w:r>
      <w:r w:rsidRPr="00D00720">
        <w:rPr>
          <w:rFonts w:ascii="Times" w:hAnsi="Times"/>
          <w:lang w:val="en-US"/>
        </w:rPr>
        <w:t xml:space="preserve"> No-analog communities do not represent a new chapter in the evolutionary history of the species that comprise them. The novelty stems from their ability to form new relational entanglements with other species. In some </w:t>
      </w:r>
      <w:proofErr w:type="gramStart"/>
      <w:r w:rsidRPr="00D00720">
        <w:rPr>
          <w:rFonts w:ascii="Times" w:hAnsi="Times"/>
          <w:lang w:val="en-US"/>
        </w:rPr>
        <w:t>cases</w:t>
      </w:r>
      <w:proofErr w:type="gramEnd"/>
      <w:r w:rsidRPr="00D00720">
        <w:rPr>
          <w:rFonts w:ascii="Times" w:hAnsi="Times"/>
          <w:lang w:val="en-US"/>
        </w:rPr>
        <w:t xml:space="preserve"> this </w:t>
      </w:r>
      <w:r w:rsidRPr="00D00720">
        <w:rPr>
          <w:rFonts w:ascii="Times" w:hAnsi="Times"/>
          <w:lang w:val="en-US"/>
        </w:rPr>
        <w:lastRenderedPageBreak/>
        <w:t xml:space="preserve">may preserve the same overall structure of the ecosystem in question, for example a top predator might be replaced by a different animal that comes to occupy the same position in the system. In others the result may be compositionally distinct in dramatic ways. Whether the degree of novelty is large or small, financial instruments such as biodiversity credits, which are indexed to specific communities of species worthy of protection, may come under strain when such communities start to reform as a result of rapidly changing environmental conditions.   </w:t>
      </w:r>
    </w:p>
    <w:p w14:paraId="0AA1F549" w14:textId="77777777" w:rsidR="00277205" w:rsidRPr="00D00720" w:rsidRDefault="00277205" w:rsidP="00806F5B">
      <w:pPr>
        <w:spacing w:line="480" w:lineRule="auto"/>
        <w:rPr>
          <w:rFonts w:ascii="Times" w:hAnsi="Times"/>
          <w:lang w:val="en-US"/>
        </w:rPr>
      </w:pPr>
    </w:p>
    <w:p w14:paraId="6E6100F8" w14:textId="77777777" w:rsidR="0072029F" w:rsidRDefault="00277205" w:rsidP="00806F5B">
      <w:pPr>
        <w:spacing w:line="480" w:lineRule="auto"/>
        <w:rPr>
          <w:rFonts w:ascii="Times" w:hAnsi="Times"/>
          <w:lang w:val="en-US"/>
        </w:rPr>
      </w:pPr>
      <w:r w:rsidRPr="00D00720">
        <w:rPr>
          <w:rFonts w:ascii="Times" w:hAnsi="Times"/>
          <w:lang w:val="en-US"/>
        </w:rPr>
        <w:t xml:space="preserve">This emphasis in the field of ecology on the non-linear and novel filters into the writings of scholars in the environmental humanities such as Anna </w:t>
      </w:r>
      <w:proofErr w:type="spellStart"/>
      <w:r w:rsidRPr="00D00720">
        <w:rPr>
          <w:rFonts w:ascii="Times" w:hAnsi="Times"/>
          <w:lang w:val="en-US"/>
        </w:rPr>
        <w:t>Lowenhaupt</w:t>
      </w:r>
      <w:proofErr w:type="spellEnd"/>
      <w:r w:rsidRPr="00D00720">
        <w:rPr>
          <w:rFonts w:ascii="Times" w:hAnsi="Times"/>
          <w:lang w:val="en-US"/>
        </w:rPr>
        <w:t xml:space="preserve"> Tsing, who consider the capacity for non-humans to make history in collaboration with, opposition to, and isolation from humans.  Taking the development of modern forestry in Finland as one of her examples, Tsing documents the way in which the national standards that rule forestry associations in turn shape the forest into a ‘static and sustainable resource’ that is expected to replenish itself according to regular cycles.</w:t>
      </w:r>
      <w:r w:rsidRPr="00D00720">
        <w:rPr>
          <w:rStyle w:val="EndnoteReference"/>
          <w:rFonts w:ascii="Times" w:hAnsi="Times"/>
          <w:lang w:val="en-US"/>
        </w:rPr>
        <w:endnoteReference w:id="79"/>
      </w:r>
      <w:r w:rsidRPr="00D00720">
        <w:rPr>
          <w:rFonts w:ascii="Times" w:hAnsi="Times"/>
          <w:lang w:val="en-US"/>
        </w:rPr>
        <w:t xml:space="preserve"> The species of pine cultivated in these commercial forests thrive in conditions where other species might struggle. One of the reasons </w:t>
      </w:r>
      <w:proofErr w:type="gramStart"/>
      <w:r w:rsidRPr="00D00720">
        <w:rPr>
          <w:rFonts w:ascii="Times" w:hAnsi="Times"/>
          <w:lang w:val="en-US"/>
        </w:rPr>
        <w:t>pine</w:t>
      </w:r>
      <w:proofErr w:type="gramEnd"/>
      <w:r w:rsidRPr="00D00720">
        <w:rPr>
          <w:rFonts w:ascii="Times" w:hAnsi="Times"/>
          <w:lang w:val="en-US"/>
        </w:rPr>
        <w:t xml:space="preserve"> is able to flourish in poor soil is because of its symbiotic relationships with fungi, and in particular the </w:t>
      </w:r>
      <w:proofErr w:type="spellStart"/>
      <w:r w:rsidRPr="00D00720">
        <w:rPr>
          <w:rFonts w:ascii="Times" w:hAnsi="Times"/>
          <w:lang w:val="en-US"/>
        </w:rPr>
        <w:t>matsutake</w:t>
      </w:r>
      <w:proofErr w:type="spellEnd"/>
      <w:r w:rsidRPr="00D00720">
        <w:rPr>
          <w:rFonts w:ascii="Times" w:hAnsi="Times"/>
          <w:lang w:val="en-US"/>
        </w:rPr>
        <w:t xml:space="preserve"> fungi that is the subject of Tsing’s book. Over time, the cycle of growth, death, and decomposition in these forests that result from the pine-fungi relationship can improve soil quality, and make space for other species, and historical change to appear. </w:t>
      </w:r>
    </w:p>
    <w:p w14:paraId="32E7D7B0" w14:textId="77777777" w:rsidR="0072029F" w:rsidRDefault="0072029F" w:rsidP="00806F5B">
      <w:pPr>
        <w:spacing w:line="480" w:lineRule="auto"/>
        <w:rPr>
          <w:rFonts w:ascii="Times" w:hAnsi="Times"/>
          <w:lang w:val="en-US"/>
        </w:rPr>
      </w:pPr>
    </w:p>
    <w:p w14:paraId="6E37ABC4" w14:textId="0B1C6CB1" w:rsidR="00277205" w:rsidRPr="00D00720" w:rsidRDefault="00277205" w:rsidP="00806F5B">
      <w:pPr>
        <w:spacing w:line="480" w:lineRule="auto"/>
        <w:rPr>
          <w:rFonts w:ascii="Times" w:hAnsi="Times"/>
          <w:lang w:val="en-US"/>
        </w:rPr>
      </w:pPr>
      <w:r w:rsidRPr="00D00720">
        <w:rPr>
          <w:rFonts w:ascii="Times" w:hAnsi="Times"/>
          <w:lang w:val="en-US"/>
        </w:rPr>
        <w:t xml:space="preserve">In this way Tsing claims that together pine and </w:t>
      </w:r>
      <w:proofErr w:type="spellStart"/>
      <w:r w:rsidRPr="00D00720">
        <w:rPr>
          <w:rFonts w:ascii="Times" w:hAnsi="Times"/>
          <w:lang w:val="en-US"/>
        </w:rPr>
        <w:t>mast</w:t>
      </w:r>
      <w:r w:rsidR="007830B5">
        <w:rPr>
          <w:rFonts w:ascii="Times" w:hAnsi="Times"/>
          <w:lang w:val="en-US"/>
        </w:rPr>
        <w:t>s</w:t>
      </w:r>
      <w:r w:rsidRPr="00D00720">
        <w:rPr>
          <w:rFonts w:ascii="Times" w:hAnsi="Times"/>
          <w:lang w:val="en-US"/>
        </w:rPr>
        <w:t>u</w:t>
      </w:r>
      <w:r w:rsidR="007830B5">
        <w:rPr>
          <w:rFonts w:ascii="Times" w:hAnsi="Times"/>
          <w:lang w:val="en-US"/>
        </w:rPr>
        <w:t>ta</w:t>
      </w:r>
      <w:r w:rsidRPr="00D00720">
        <w:rPr>
          <w:rFonts w:ascii="Times" w:hAnsi="Times"/>
          <w:lang w:val="en-US"/>
        </w:rPr>
        <w:t>ke</w:t>
      </w:r>
      <w:proofErr w:type="spellEnd"/>
      <w:r w:rsidRPr="00D00720">
        <w:rPr>
          <w:rFonts w:ascii="Times" w:hAnsi="Times"/>
          <w:lang w:val="en-US"/>
        </w:rPr>
        <w:t xml:space="preserve"> make a history that is forcefully interrupted by modern forestry, which deliberately keeps soil quality low in order to guarantee a stable monocrop of pine. The capacity of natural processes to create worlds, in sometimes subtle and imperceptible ways, is forced into the procrustean bed of one world </w:t>
      </w:r>
      <w:r w:rsidRPr="00D00720">
        <w:rPr>
          <w:rFonts w:ascii="Times" w:hAnsi="Times"/>
          <w:lang w:val="en-US"/>
        </w:rPr>
        <w:lastRenderedPageBreak/>
        <w:t xml:space="preserve">making enterprise – that of modern forestry that imposes regular cycles of growth and harvest. The industrial governance of forests stops their capacity to actively make history. Left to its own devices, or managed in a less uniform way, the rhythms of the forest do not necessarily conform to annual cycles; seed dispersal skips a year or two, </w:t>
      </w:r>
      <w:proofErr w:type="spellStart"/>
      <w:r w:rsidRPr="00D00720">
        <w:rPr>
          <w:rFonts w:ascii="Times" w:hAnsi="Times"/>
          <w:lang w:val="en-US"/>
        </w:rPr>
        <w:t>mastuke</w:t>
      </w:r>
      <w:proofErr w:type="spellEnd"/>
      <w:r w:rsidRPr="00D00720">
        <w:rPr>
          <w:rFonts w:ascii="Times" w:hAnsi="Times"/>
          <w:lang w:val="en-US"/>
        </w:rPr>
        <w:t xml:space="preserve"> save their energy for irregular fruiting. The historical patterns of forest regeneration proceed in dates rather than cycles, </w:t>
      </w:r>
      <w:r w:rsidRPr="00D00720">
        <w:rPr>
          <w:rFonts w:ascii="Times" w:hAnsi="Times"/>
        </w:rPr>
        <w:t>'patches develop on different trajectories, creating uneven forest landscapes.'</w:t>
      </w:r>
      <w:r w:rsidRPr="00D00720">
        <w:rPr>
          <w:rStyle w:val="EndnoteReference"/>
          <w:rFonts w:ascii="Times" w:hAnsi="Times"/>
        </w:rPr>
        <w:endnoteReference w:id="80"/>
      </w:r>
      <w:r w:rsidRPr="00D00720">
        <w:rPr>
          <w:rFonts w:ascii="Times" w:hAnsi="Times"/>
        </w:rPr>
        <w:t xml:space="preserve"> We could perhaps even say uneven temporal landscapes, forged through historically dynamic processes that are open, and not only shaped by humans. </w:t>
      </w:r>
    </w:p>
    <w:p w14:paraId="024BB0FD" w14:textId="77777777" w:rsidR="00277205" w:rsidRPr="00D00720" w:rsidRDefault="00277205" w:rsidP="00806F5B">
      <w:pPr>
        <w:spacing w:line="480" w:lineRule="auto"/>
        <w:rPr>
          <w:rFonts w:ascii="Times" w:hAnsi="Times"/>
        </w:rPr>
      </w:pPr>
    </w:p>
    <w:p w14:paraId="2E65B0D6" w14:textId="7D020086" w:rsidR="00277205" w:rsidRPr="00D00720" w:rsidRDefault="00277205" w:rsidP="00806F5B">
      <w:pPr>
        <w:spacing w:line="480" w:lineRule="auto"/>
        <w:rPr>
          <w:rFonts w:ascii="Times" w:hAnsi="Times"/>
        </w:rPr>
      </w:pPr>
      <w:r w:rsidRPr="00D00720">
        <w:rPr>
          <w:rFonts w:ascii="Times" w:hAnsi="Times"/>
        </w:rPr>
        <w:t>It is precisely the uneven and non-linear temporal dynamics exposed in these contributions to ecology and the environmental humanities that market based tools such as biodiversity credits curtail. The time scale of their operation, though short, can limit the history making capacities of everything from forests to rock pools. And they do so precisely because of the derivative logic they embody. The bundle of attributes that ‘doubles’ the underlying asset is elevated to a position of pre-eminence, whereby the ecosystem that it was designed to protect is increasingly derived from the ecological credit, rather than the other way round.</w:t>
      </w:r>
      <w:r w:rsidRPr="00D00720">
        <w:rPr>
          <w:rStyle w:val="EndnoteReference"/>
          <w:rFonts w:ascii="Times" w:hAnsi="Times"/>
        </w:rPr>
        <w:endnoteReference w:id="81"/>
      </w:r>
      <w:r w:rsidRPr="00D00720">
        <w:rPr>
          <w:rFonts w:ascii="Times" w:hAnsi="Times"/>
        </w:rPr>
        <w:t xml:space="preserve"> This process occurs over time, in which measures such as ‘distinctiveness’ that underpin the value of biodiversity credits chain an ecosystem to an impoverished abstraction of itself that is created at the time the ecological commodity is ‘banked’. Within a 25 year time span the parameters of these measures may change dramatically – what scores poorly on the distinctiveness metric today may prove highly distinctive in several decades time as a consequence of climate change and outbreaks of disease that affect ecological communities elsewhere. The credit that ‘captures’ these metrics at the time of its creation is not an abstraction from ‘actual nature’, to recall the point made above, in so far as this is always already shaped through its contact with the historical force of humans. Rather, the snapshot </w:t>
      </w:r>
      <w:r w:rsidRPr="00D00720">
        <w:rPr>
          <w:rFonts w:ascii="Times" w:hAnsi="Times"/>
        </w:rPr>
        <w:lastRenderedPageBreak/>
        <w:t xml:space="preserve">created by an ecological credit is taken of capitalist modernity’s externalised nature, which through an additional act of capture, is bounded and shielded from the unsettling and unpredictable dynamics of anthropogenic climate change. The externalisation of nature under capitalism serves as a precondition for its later capture through financial instruments that are employed in the name of its protection. While the resulting snapshot may represent a relatively faithful characterisation of an ecosystem, over time it comes to exert pressure on this ecosystem to change within a narrow set of parameters, limiting its capacity to make history on its own terms, or on more even terms with the humans who make history with it and through it. </w:t>
      </w:r>
    </w:p>
    <w:p w14:paraId="2CD1879E" w14:textId="77777777" w:rsidR="00277205" w:rsidRPr="00D00720" w:rsidRDefault="00277205" w:rsidP="00806F5B">
      <w:pPr>
        <w:spacing w:line="480" w:lineRule="auto"/>
        <w:rPr>
          <w:rFonts w:ascii="Times" w:hAnsi="Times"/>
        </w:rPr>
      </w:pPr>
    </w:p>
    <w:p w14:paraId="7CD7EA57" w14:textId="6523EE26" w:rsidR="00277205" w:rsidRPr="00D00720" w:rsidRDefault="00277205" w:rsidP="00806F5B">
      <w:pPr>
        <w:spacing w:line="480" w:lineRule="auto"/>
        <w:rPr>
          <w:rFonts w:ascii="Times" w:hAnsi="Times"/>
        </w:rPr>
      </w:pPr>
      <w:r w:rsidRPr="00D00720">
        <w:rPr>
          <w:rFonts w:ascii="Times" w:hAnsi="Times"/>
        </w:rPr>
        <w:t xml:space="preserve">This may of course prevent change for the worse, which is, after all, what biodiversity credits are designed to do, but it may also prevent the underlying asset from becoming more distinctive or taking on new characteristics. Change in either direction is to a large extent dependent on the degree to which the buyer of a credit honours the commitments its purchase represents. If commitments are honoured for the credit to be meaningful, then it will inevitably come to act on the underlying asset, only permitting change in the ecological community insofar as this happens within a narrow bandwidth. </w:t>
      </w:r>
    </w:p>
    <w:p w14:paraId="7D4C8A98" w14:textId="77777777" w:rsidR="00277205" w:rsidRPr="00D00720" w:rsidRDefault="00277205" w:rsidP="00806F5B">
      <w:pPr>
        <w:spacing w:line="480" w:lineRule="auto"/>
        <w:rPr>
          <w:rFonts w:ascii="Times" w:hAnsi="Times"/>
        </w:rPr>
      </w:pPr>
    </w:p>
    <w:p w14:paraId="024611E2" w14:textId="7E52A6F9" w:rsidR="00277205" w:rsidRPr="00D00720" w:rsidRDefault="00277205" w:rsidP="00806F5B">
      <w:pPr>
        <w:spacing w:line="480" w:lineRule="auto"/>
        <w:rPr>
          <w:rFonts w:ascii="Times" w:hAnsi="Times"/>
        </w:rPr>
      </w:pPr>
      <w:r w:rsidRPr="00D00720">
        <w:rPr>
          <w:rFonts w:ascii="Times" w:hAnsi="Times"/>
        </w:rPr>
        <w:t>Here it might be objected that the time scale necessary for ecosystems to make history in a meaningful way far exceed the 25-year guarantee provided through biodiversity credits. This would be true if the changes in question were driven through evolutionary mechanisms alone, but as indicated above, no-</w:t>
      </w:r>
      <w:proofErr w:type="spellStart"/>
      <w:r w:rsidRPr="00D00720">
        <w:rPr>
          <w:rFonts w:ascii="Times" w:hAnsi="Times"/>
        </w:rPr>
        <w:t>analog</w:t>
      </w:r>
      <w:proofErr w:type="spellEnd"/>
      <w:r w:rsidRPr="00D00720">
        <w:rPr>
          <w:rFonts w:ascii="Times" w:hAnsi="Times"/>
        </w:rPr>
        <w:t xml:space="preserve"> communities are ecological, rather than evolutionary phenomena, made up of species that are extant today, albeit in unprecedented combinations.</w:t>
      </w:r>
      <w:r w:rsidRPr="00D00720">
        <w:rPr>
          <w:rStyle w:val="EndnoteReference"/>
          <w:rFonts w:ascii="Times" w:hAnsi="Times"/>
        </w:rPr>
        <w:endnoteReference w:id="82"/>
      </w:r>
      <w:r w:rsidRPr="00D00720">
        <w:rPr>
          <w:rFonts w:ascii="Times" w:hAnsi="Times"/>
        </w:rPr>
        <w:t xml:space="preserve"> Coupled with the capacity for ecosystems to undergo rapid transitions between metastable states, unaccompanied by the warning signals humans have become accustomed to recognise, </w:t>
      </w:r>
      <w:r w:rsidRPr="00D00720">
        <w:rPr>
          <w:rFonts w:ascii="Times" w:hAnsi="Times"/>
        </w:rPr>
        <w:lastRenderedPageBreak/>
        <w:t>it becomes more difficult to speak with authority about the time scale upon which non-human histories take shape.</w:t>
      </w:r>
      <w:r w:rsidRPr="00D00720">
        <w:rPr>
          <w:rStyle w:val="EndnoteReference"/>
          <w:rFonts w:ascii="Times" w:hAnsi="Times"/>
        </w:rPr>
        <w:endnoteReference w:id="83"/>
      </w:r>
      <w:r w:rsidRPr="00D00720">
        <w:rPr>
          <w:rFonts w:ascii="Times" w:hAnsi="Times"/>
        </w:rPr>
        <w:t xml:space="preserve"> </w:t>
      </w:r>
    </w:p>
    <w:p w14:paraId="7C6DE406" w14:textId="77777777" w:rsidR="00277205" w:rsidRPr="00D00720" w:rsidRDefault="00277205" w:rsidP="00806F5B">
      <w:pPr>
        <w:spacing w:line="480" w:lineRule="auto"/>
        <w:rPr>
          <w:rFonts w:ascii="Times" w:hAnsi="Times"/>
        </w:rPr>
      </w:pPr>
    </w:p>
    <w:p w14:paraId="33338340" w14:textId="21EFCAEA" w:rsidR="0080182A" w:rsidRPr="00D00720" w:rsidRDefault="00277205" w:rsidP="00806F5B">
      <w:pPr>
        <w:spacing w:line="480" w:lineRule="auto"/>
        <w:rPr>
          <w:rFonts w:ascii="Times" w:hAnsi="Times"/>
        </w:rPr>
      </w:pPr>
      <w:r w:rsidRPr="00D00720">
        <w:rPr>
          <w:rFonts w:ascii="Times" w:hAnsi="Times"/>
        </w:rPr>
        <w:t>These timescales are being further accelerated through climate change, where an increasing number of no-</w:t>
      </w:r>
      <w:proofErr w:type="spellStart"/>
      <w:r w:rsidRPr="00D00720">
        <w:rPr>
          <w:rFonts w:ascii="Times" w:hAnsi="Times"/>
        </w:rPr>
        <w:t>analog</w:t>
      </w:r>
      <w:proofErr w:type="spellEnd"/>
      <w:r w:rsidRPr="00D00720">
        <w:rPr>
          <w:rFonts w:ascii="Times" w:hAnsi="Times"/>
        </w:rPr>
        <w:t xml:space="preserve"> communities are likely to result from climates that are themselves without modern </w:t>
      </w:r>
      <w:proofErr w:type="spellStart"/>
      <w:r w:rsidRPr="00D00720">
        <w:rPr>
          <w:rFonts w:ascii="Times" w:hAnsi="Times"/>
        </w:rPr>
        <w:t>analogs</w:t>
      </w:r>
      <w:proofErr w:type="spellEnd"/>
      <w:r w:rsidRPr="00D00720">
        <w:rPr>
          <w:rFonts w:ascii="Times" w:hAnsi="Times"/>
        </w:rPr>
        <w:t>.</w:t>
      </w:r>
      <w:r w:rsidRPr="00D00720">
        <w:rPr>
          <w:rStyle w:val="EndnoteReference"/>
          <w:rFonts w:ascii="Times" w:hAnsi="Times"/>
        </w:rPr>
        <w:endnoteReference w:id="84"/>
      </w:r>
      <w:r w:rsidRPr="00D00720">
        <w:rPr>
          <w:rFonts w:ascii="Times" w:hAnsi="Times"/>
        </w:rPr>
        <w:t xml:space="preserve"> This has led some to call for a shift in emphasis away from the traditional historical orientation of restoration ecology and embrace a set of ‘future-orientated’ restoration practices that ‘should aim to establish ecosystems that are able to persist in future environments’.</w:t>
      </w:r>
      <w:r w:rsidRPr="00D00720">
        <w:rPr>
          <w:rStyle w:val="EndnoteReference"/>
          <w:rFonts w:ascii="Times" w:hAnsi="Times"/>
        </w:rPr>
        <w:endnoteReference w:id="85"/>
      </w:r>
      <w:r w:rsidRPr="00D00720">
        <w:rPr>
          <w:rFonts w:ascii="Times" w:hAnsi="Times"/>
        </w:rPr>
        <w:t xml:space="preserve"> </w:t>
      </w:r>
      <w:r w:rsidR="00BB7AF8" w:rsidRPr="00D00720">
        <w:rPr>
          <w:rFonts w:ascii="Times" w:hAnsi="Times"/>
        </w:rPr>
        <w:t xml:space="preserve">Under newly emerging environmental conditions, the restoration of historical ecological communities may be both impossible, and undermine the ability of these communities to adapt to future conditions. </w:t>
      </w:r>
      <w:r w:rsidR="005C2CE5" w:rsidRPr="00D00720">
        <w:rPr>
          <w:rFonts w:ascii="Times" w:hAnsi="Times"/>
        </w:rPr>
        <w:t xml:space="preserve">This position poses a larger set of questions for restoration ecology in general, but given the growing role that financial instruments have in its </w:t>
      </w:r>
      <w:r w:rsidR="007E66E3" w:rsidRPr="00D00720">
        <w:rPr>
          <w:rFonts w:ascii="Times" w:hAnsi="Times"/>
        </w:rPr>
        <w:t xml:space="preserve">operation, it also poses a distinct challenge to tools such as biodiversity credits, which are constitutively unable to </w:t>
      </w:r>
      <w:r w:rsidR="00796A2F" w:rsidRPr="00D00720">
        <w:rPr>
          <w:rFonts w:ascii="Times" w:hAnsi="Times"/>
        </w:rPr>
        <w:t xml:space="preserve">accommodate ecological surprises </w:t>
      </w:r>
      <w:r w:rsidR="007E66E3" w:rsidRPr="00D00720">
        <w:rPr>
          <w:rFonts w:ascii="Times" w:hAnsi="Times"/>
        </w:rPr>
        <w:t xml:space="preserve">of the kind that ecologists and humanities scholars have come to recognise, respond to, and even embrace. </w:t>
      </w:r>
    </w:p>
    <w:p w14:paraId="5A3F07F0" w14:textId="77777777" w:rsidR="0080182A" w:rsidRPr="00D00720" w:rsidRDefault="0080182A" w:rsidP="00BB7AF8">
      <w:pPr>
        <w:spacing w:line="480" w:lineRule="auto"/>
        <w:ind w:firstLine="709"/>
        <w:rPr>
          <w:rFonts w:ascii="Times" w:hAnsi="Times"/>
        </w:rPr>
      </w:pPr>
    </w:p>
    <w:p w14:paraId="1587A613" w14:textId="4A7C39E8" w:rsidR="00BB7AF8" w:rsidRPr="00DF14E7" w:rsidRDefault="007B6F38" w:rsidP="00BB7AF8">
      <w:pPr>
        <w:spacing w:line="480" w:lineRule="auto"/>
        <w:rPr>
          <w:rFonts w:ascii="Helvetica Neue" w:hAnsi="Helvetica Neue"/>
          <w:b/>
          <w:lang w:val="en-US"/>
        </w:rPr>
      </w:pPr>
      <w:r w:rsidRPr="00DF14E7">
        <w:rPr>
          <w:rFonts w:ascii="Helvetica Neue" w:hAnsi="Helvetica Neue"/>
          <w:b/>
          <w:lang w:val="en-US"/>
        </w:rPr>
        <w:t>Conclusion</w:t>
      </w:r>
    </w:p>
    <w:p w14:paraId="43CD83A9" w14:textId="77777777" w:rsidR="00087ECD" w:rsidRPr="00D00720" w:rsidRDefault="00087ECD" w:rsidP="00BB7AF8">
      <w:pPr>
        <w:spacing w:line="480" w:lineRule="auto"/>
        <w:rPr>
          <w:rFonts w:ascii="Times" w:hAnsi="Times"/>
          <w:b/>
          <w:lang w:val="en-US"/>
        </w:rPr>
      </w:pPr>
    </w:p>
    <w:p w14:paraId="32153124" w14:textId="74AB7450" w:rsidR="00E05467" w:rsidRPr="00D00720" w:rsidRDefault="001E46D9" w:rsidP="00CD16BE">
      <w:pPr>
        <w:spacing w:line="480" w:lineRule="auto"/>
        <w:rPr>
          <w:rFonts w:ascii="Times" w:hAnsi="Times"/>
          <w:lang w:val="en-US"/>
        </w:rPr>
      </w:pPr>
      <w:r w:rsidRPr="00D00720">
        <w:rPr>
          <w:rFonts w:ascii="Times" w:hAnsi="Times"/>
          <w:lang w:val="en-US"/>
        </w:rPr>
        <w:t>I</w:t>
      </w:r>
      <w:r w:rsidR="00E05467" w:rsidRPr="00D00720">
        <w:rPr>
          <w:rFonts w:ascii="Times" w:hAnsi="Times"/>
          <w:lang w:val="en-US"/>
        </w:rPr>
        <w:t xml:space="preserve">f, for </w:t>
      </w:r>
      <w:proofErr w:type="spellStart"/>
      <w:r w:rsidR="00E05467" w:rsidRPr="00D00720">
        <w:rPr>
          <w:rFonts w:ascii="Times" w:hAnsi="Times"/>
          <w:lang w:val="en-US"/>
        </w:rPr>
        <w:t>Vester</w:t>
      </w:r>
      <w:proofErr w:type="spellEnd"/>
      <w:r w:rsidR="00E05467" w:rsidRPr="00D00720">
        <w:rPr>
          <w:rFonts w:ascii="Times" w:hAnsi="Times"/>
          <w:lang w:val="en-US"/>
        </w:rPr>
        <w:t xml:space="preserve">, the </w:t>
      </w:r>
      <w:r w:rsidR="00A149A5" w:rsidRPr="00D00720">
        <w:rPr>
          <w:rFonts w:ascii="Times" w:hAnsi="Times"/>
          <w:lang w:val="en-US"/>
        </w:rPr>
        <w:t>problem of</w:t>
      </w:r>
      <w:r w:rsidR="00E05467" w:rsidRPr="00D00720">
        <w:rPr>
          <w:rFonts w:ascii="Times" w:hAnsi="Times"/>
          <w:lang w:val="en-US"/>
        </w:rPr>
        <w:t xml:space="preserve"> assign</w:t>
      </w:r>
      <w:r w:rsidR="00A149A5" w:rsidRPr="00D00720">
        <w:rPr>
          <w:rFonts w:ascii="Times" w:hAnsi="Times"/>
          <w:lang w:val="en-US"/>
        </w:rPr>
        <w:t xml:space="preserve">ing </w:t>
      </w:r>
      <w:r w:rsidR="00E05467" w:rsidRPr="00D00720">
        <w:rPr>
          <w:rFonts w:ascii="Times" w:hAnsi="Times"/>
          <w:lang w:val="en-US"/>
        </w:rPr>
        <w:t xml:space="preserve">monetary value to </w:t>
      </w:r>
      <w:r w:rsidR="00A149A5" w:rsidRPr="00D00720">
        <w:rPr>
          <w:rFonts w:ascii="Times" w:hAnsi="Times"/>
          <w:lang w:val="en-US"/>
        </w:rPr>
        <w:t>a species</w:t>
      </w:r>
      <w:r w:rsidR="00E05467" w:rsidRPr="00D00720">
        <w:rPr>
          <w:rFonts w:ascii="Times" w:hAnsi="Times"/>
          <w:lang w:val="en-US"/>
        </w:rPr>
        <w:t xml:space="preserve"> was a question of complexity,</w:t>
      </w:r>
      <w:r w:rsidR="00A149A5" w:rsidRPr="00D00720">
        <w:rPr>
          <w:rFonts w:ascii="Times" w:hAnsi="Times"/>
          <w:lang w:val="en-US"/>
        </w:rPr>
        <w:t xml:space="preserve"> rather than an ethical question </w:t>
      </w:r>
      <w:r w:rsidR="00A149A5" w:rsidRPr="00D00720">
        <w:rPr>
          <w:rFonts w:ascii="Times" w:hAnsi="Times"/>
          <w:i/>
          <w:lang w:val="en-US"/>
        </w:rPr>
        <w:t>per se,</w:t>
      </w:r>
      <w:r w:rsidR="00E05467" w:rsidRPr="00D00720">
        <w:rPr>
          <w:rFonts w:ascii="Times" w:hAnsi="Times"/>
          <w:lang w:val="en-US"/>
        </w:rPr>
        <w:t xml:space="preserve"> then his objections might </w:t>
      </w:r>
      <w:r w:rsidR="00A149A5" w:rsidRPr="00D00720">
        <w:rPr>
          <w:rFonts w:ascii="Times" w:hAnsi="Times"/>
          <w:lang w:val="en-US"/>
        </w:rPr>
        <w:t xml:space="preserve">have been quelled by the multifaceted derivative logics that inhere in biodiversity credits. </w:t>
      </w:r>
      <w:r w:rsidR="006417D8" w:rsidRPr="00D00720">
        <w:rPr>
          <w:rFonts w:ascii="Times" w:hAnsi="Times"/>
          <w:lang w:val="en-US"/>
        </w:rPr>
        <w:t xml:space="preserve">For their promise is precisely one of drawing seemingly incommensurable qualities and the risks inherent in temporal processes together </w:t>
      </w:r>
      <w:r w:rsidR="00B028F6" w:rsidRPr="00D00720">
        <w:rPr>
          <w:rFonts w:ascii="Times" w:hAnsi="Times"/>
          <w:lang w:val="en-US"/>
        </w:rPr>
        <w:t>for the purposes of discerning and trading value</w:t>
      </w:r>
      <w:r w:rsidR="006417D8" w:rsidRPr="00D00720">
        <w:rPr>
          <w:rFonts w:ascii="Times" w:hAnsi="Times"/>
          <w:lang w:val="en-US"/>
        </w:rPr>
        <w:t>.</w:t>
      </w:r>
      <w:r w:rsidR="00B028F6" w:rsidRPr="00D00720">
        <w:rPr>
          <w:rFonts w:ascii="Times" w:hAnsi="Times"/>
          <w:lang w:val="en-US"/>
        </w:rPr>
        <w:t xml:space="preserve"> </w:t>
      </w:r>
      <w:r w:rsidR="007D09A0" w:rsidRPr="00D00720">
        <w:rPr>
          <w:rFonts w:ascii="Times" w:hAnsi="Times"/>
          <w:lang w:val="en-US"/>
        </w:rPr>
        <w:t xml:space="preserve">But </w:t>
      </w:r>
      <w:r w:rsidR="00C568DB" w:rsidRPr="00D00720">
        <w:rPr>
          <w:rFonts w:ascii="Times" w:hAnsi="Times"/>
          <w:lang w:val="en-US"/>
        </w:rPr>
        <w:t xml:space="preserve">as </w:t>
      </w:r>
      <w:r w:rsidR="002C7526" w:rsidRPr="00D00720">
        <w:rPr>
          <w:rFonts w:ascii="Times" w:hAnsi="Times"/>
          <w:lang w:val="en-US"/>
        </w:rPr>
        <w:t>this article has shown</w:t>
      </w:r>
      <w:r w:rsidR="00C568DB" w:rsidRPr="00D00720">
        <w:rPr>
          <w:rFonts w:ascii="Times" w:hAnsi="Times"/>
          <w:lang w:val="en-US"/>
        </w:rPr>
        <w:t xml:space="preserve">, while derivative </w:t>
      </w:r>
      <w:r w:rsidR="002C7526" w:rsidRPr="00D00720">
        <w:rPr>
          <w:rFonts w:ascii="Times" w:hAnsi="Times"/>
          <w:lang w:val="en-US"/>
        </w:rPr>
        <w:t>ecology</w:t>
      </w:r>
      <w:r w:rsidR="00C568DB" w:rsidRPr="00D00720">
        <w:rPr>
          <w:rFonts w:ascii="Times" w:hAnsi="Times"/>
          <w:lang w:val="en-US"/>
        </w:rPr>
        <w:t xml:space="preserve"> make</w:t>
      </w:r>
      <w:r w:rsidR="002C7526" w:rsidRPr="00D00720">
        <w:rPr>
          <w:rFonts w:ascii="Times" w:hAnsi="Times"/>
          <w:lang w:val="en-US"/>
        </w:rPr>
        <w:t>s</w:t>
      </w:r>
      <w:r w:rsidR="00C568DB" w:rsidRPr="00D00720">
        <w:rPr>
          <w:rFonts w:ascii="Times" w:hAnsi="Times"/>
          <w:lang w:val="en-US"/>
        </w:rPr>
        <w:t xml:space="preserve"> possible kinds of valuation </w:t>
      </w:r>
      <w:r w:rsidR="002C7526" w:rsidRPr="00D00720">
        <w:rPr>
          <w:rFonts w:ascii="Times" w:hAnsi="Times"/>
          <w:lang w:val="en-US"/>
        </w:rPr>
        <w:lastRenderedPageBreak/>
        <w:t xml:space="preserve">previously </w:t>
      </w:r>
      <w:r w:rsidR="00C568DB" w:rsidRPr="00D00720">
        <w:rPr>
          <w:rFonts w:ascii="Times" w:hAnsi="Times"/>
          <w:lang w:val="en-US"/>
        </w:rPr>
        <w:t xml:space="preserve">unimaginable, </w:t>
      </w:r>
      <w:r w:rsidR="002C7526" w:rsidRPr="00D00720">
        <w:rPr>
          <w:rFonts w:ascii="Times" w:hAnsi="Times"/>
          <w:lang w:val="en-US"/>
        </w:rPr>
        <w:t>it also</w:t>
      </w:r>
      <w:r w:rsidR="00C568DB" w:rsidRPr="00D00720">
        <w:rPr>
          <w:rFonts w:ascii="Times" w:hAnsi="Times"/>
          <w:lang w:val="en-US"/>
        </w:rPr>
        <w:t xml:space="preserve"> </w:t>
      </w:r>
      <w:r w:rsidR="00CD16BE" w:rsidRPr="00D00720">
        <w:rPr>
          <w:rFonts w:ascii="Times" w:hAnsi="Times"/>
          <w:lang w:val="en-US"/>
        </w:rPr>
        <w:t>reproduce</w:t>
      </w:r>
      <w:r w:rsidR="002C7526" w:rsidRPr="00D00720">
        <w:rPr>
          <w:rFonts w:ascii="Times" w:hAnsi="Times"/>
          <w:lang w:val="en-US"/>
        </w:rPr>
        <w:t>s</w:t>
      </w:r>
      <w:r w:rsidR="00FF4E0E" w:rsidRPr="00D00720">
        <w:rPr>
          <w:rFonts w:ascii="Times" w:hAnsi="Times"/>
          <w:lang w:val="en-US"/>
        </w:rPr>
        <w:t xml:space="preserve"> many of </w:t>
      </w:r>
      <w:r w:rsidR="00C568DB" w:rsidRPr="00D00720">
        <w:rPr>
          <w:rFonts w:ascii="Times" w:hAnsi="Times"/>
          <w:lang w:val="en-US"/>
        </w:rPr>
        <w:t xml:space="preserve">the </w:t>
      </w:r>
      <w:r w:rsidR="00822EC9" w:rsidRPr="00D00720">
        <w:rPr>
          <w:rFonts w:ascii="Times" w:hAnsi="Times"/>
          <w:lang w:val="en-US"/>
        </w:rPr>
        <w:t xml:space="preserve">problems </w:t>
      </w:r>
      <w:r w:rsidR="00716D80" w:rsidRPr="00D00720">
        <w:rPr>
          <w:rFonts w:ascii="Times" w:hAnsi="Times"/>
          <w:lang w:val="en-US"/>
        </w:rPr>
        <w:t>initiated</w:t>
      </w:r>
      <w:r w:rsidR="00822EC9" w:rsidRPr="00D00720">
        <w:rPr>
          <w:rFonts w:ascii="Times" w:hAnsi="Times"/>
          <w:lang w:val="en-US"/>
        </w:rPr>
        <w:t xml:space="preserve"> by capitalist modernity and its assumption that Nature is an external</w:t>
      </w:r>
      <w:r w:rsidR="00FF4E0E" w:rsidRPr="00D00720">
        <w:rPr>
          <w:rFonts w:ascii="Times" w:hAnsi="Times"/>
          <w:lang w:val="en-US"/>
        </w:rPr>
        <w:t>, linear</w:t>
      </w:r>
      <w:r w:rsidR="00822EC9" w:rsidRPr="00D00720">
        <w:rPr>
          <w:rFonts w:ascii="Times" w:hAnsi="Times"/>
          <w:lang w:val="en-US"/>
        </w:rPr>
        <w:t xml:space="preserve"> and</w:t>
      </w:r>
      <w:r w:rsidR="00F1786B" w:rsidRPr="00D00720">
        <w:rPr>
          <w:rFonts w:ascii="Times" w:hAnsi="Times"/>
          <w:lang w:val="en-US"/>
        </w:rPr>
        <w:t xml:space="preserve"> passive background of human action</w:t>
      </w:r>
      <w:r w:rsidR="00822EC9" w:rsidRPr="00D00720">
        <w:rPr>
          <w:rFonts w:ascii="Times" w:hAnsi="Times"/>
          <w:lang w:val="en-US"/>
        </w:rPr>
        <w:t xml:space="preserve">. </w:t>
      </w:r>
      <w:r w:rsidR="00FF4E0E" w:rsidRPr="00D00720">
        <w:rPr>
          <w:rFonts w:ascii="Times" w:hAnsi="Times"/>
          <w:lang w:val="en-US"/>
        </w:rPr>
        <w:t>B</w:t>
      </w:r>
      <w:r w:rsidR="00822EC9" w:rsidRPr="00D00720">
        <w:rPr>
          <w:rFonts w:ascii="Times" w:hAnsi="Times"/>
          <w:lang w:val="en-US"/>
        </w:rPr>
        <w:t>y taking capitalism’s production of</w:t>
      </w:r>
      <w:r w:rsidR="00F1786B" w:rsidRPr="00D00720">
        <w:rPr>
          <w:rFonts w:ascii="Times" w:hAnsi="Times"/>
          <w:lang w:val="en-US"/>
        </w:rPr>
        <w:t xml:space="preserve"> external Nature as its ‘underlying asset’,</w:t>
      </w:r>
      <w:r w:rsidR="00184546" w:rsidRPr="00D00720">
        <w:rPr>
          <w:rFonts w:ascii="Times" w:hAnsi="Times"/>
          <w:lang w:val="en-US"/>
        </w:rPr>
        <w:t xml:space="preserve"> the kinds of future that</w:t>
      </w:r>
      <w:r w:rsidR="00F1786B" w:rsidRPr="00D00720">
        <w:rPr>
          <w:rFonts w:ascii="Times" w:hAnsi="Times"/>
          <w:lang w:val="en-US"/>
        </w:rPr>
        <w:t xml:space="preserve"> biodiversity credits </w:t>
      </w:r>
      <w:r w:rsidR="008F0C1E" w:rsidRPr="00D00720">
        <w:rPr>
          <w:rFonts w:ascii="Times" w:hAnsi="Times"/>
          <w:lang w:val="en-US"/>
        </w:rPr>
        <w:t>make actionable in the present are tied to</w:t>
      </w:r>
      <w:r w:rsidR="000D429D" w:rsidRPr="00D00720">
        <w:rPr>
          <w:rFonts w:ascii="Times" w:hAnsi="Times"/>
          <w:lang w:val="en-US"/>
        </w:rPr>
        <w:t xml:space="preserve"> </w:t>
      </w:r>
      <w:r w:rsidR="00CC43F8" w:rsidRPr="00D00720">
        <w:rPr>
          <w:rFonts w:ascii="Times" w:hAnsi="Times"/>
          <w:lang w:val="en-US"/>
        </w:rPr>
        <w:t>the</w:t>
      </w:r>
      <w:r w:rsidR="000D429D" w:rsidRPr="00D00720">
        <w:rPr>
          <w:rFonts w:ascii="Times" w:hAnsi="Times"/>
          <w:lang w:val="en-US"/>
        </w:rPr>
        <w:t xml:space="preserve"> restor</w:t>
      </w:r>
      <w:r w:rsidR="00CF2129" w:rsidRPr="00D00720">
        <w:rPr>
          <w:rFonts w:ascii="Times" w:hAnsi="Times"/>
          <w:lang w:val="en-US"/>
        </w:rPr>
        <w:t>ation</w:t>
      </w:r>
      <w:r w:rsidR="00FF4E0E" w:rsidRPr="00D00720">
        <w:rPr>
          <w:rFonts w:ascii="Times" w:hAnsi="Times"/>
          <w:lang w:val="en-US"/>
        </w:rPr>
        <w:t xml:space="preserve"> of a timeless and </w:t>
      </w:r>
      <w:proofErr w:type="spellStart"/>
      <w:r w:rsidR="000D429D" w:rsidRPr="00D00720">
        <w:rPr>
          <w:rFonts w:ascii="Times" w:hAnsi="Times"/>
          <w:lang w:val="en-US"/>
        </w:rPr>
        <w:t>idealised</w:t>
      </w:r>
      <w:proofErr w:type="spellEnd"/>
      <w:r w:rsidR="008F0C1E" w:rsidRPr="00D00720">
        <w:rPr>
          <w:rFonts w:ascii="Times" w:hAnsi="Times"/>
          <w:lang w:val="en-US"/>
        </w:rPr>
        <w:t xml:space="preserve"> </w:t>
      </w:r>
      <w:r w:rsidR="00184546" w:rsidRPr="00D00720">
        <w:rPr>
          <w:rFonts w:ascii="Times" w:hAnsi="Times"/>
          <w:lang w:val="en-US"/>
        </w:rPr>
        <w:t xml:space="preserve">Nature that is </w:t>
      </w:r>
      <w:r w:rsidR="00FF4E0E" w:rsidRPr="00D00720">
        <w:rPr>
          <w:rFonts w:ascii="Times" w:hAnsi="Times"/>
          <w:lang w:val="en-US"/>
        </w:rPr>
        <w:t xml:space="preserve">stripped of its capacity to make history through its encounters with </w:t>
      </w:r>
      <w:r w:rsidR="000D429D" w:rsidRPr="00D00720">
        <w:rPr>
          <w:rFonts w:ascii="Times" w:hAnsi="Times"/>
          <w:lang w:val="en-US"/>
        </w:rPr>
        <w:t>human society.</w:t>
      </w:r>
      <w:r w:rsidR="00CF2129" w:rsidRPr="00D00720">
        <w:rPr>
          <w:rFonts w:ascii="Times" w:hAnsi="Times"/>
          <w:lang w:val="en-US"/>
        </w:rPr>
        <w:t xml:space="preserve"> In executing a future that is fixed within this image, </w:t>
      </w:r>
      <w:r w:rsidR="000D429D" w:rsidRPr="00D00720">
        <w:rPr>
          <w:rFonts w:ascii="Times" w:hAnsi="Times"/>
          <w:lang w:val="en-US"/>
        </w:rPr>
        <w:t xml:space="preserve">biodiversity credits </w:t>
      </w:r>
      <w:r w:rsidR="00CC43F8" w:rsidRPr="00D00720">
        <w:rPr>
          <w:rFonts w:ascii="Times" w:hAnsi="Times"/>
          <w:lang w:val="en-US"/>
        </w:rPr>
        <w:t>thus</w:t>
      </w:r>
      <w:r w:rsidR="00F37E5F" w:rsidRPr="00D00720">
        <w:rPr>
          <w:rFonts w:ascii="Times" w:hAnsi="Times"/>
          <w:lang w:val="en-US"/>
        </w:rPr>
        <w:t xml:space="preserve"> </w:t>
      </w:r>
      <w:r w:rsidR="000D429D" w:rsidRPr="00D00720">
        <w:rPr>
          <w:rFonts w:ascii="Times" w:hAnsi="Times"/>
        </w:rPr>
        <w:t>harbour</w:t>
      </w:r>
      <w:r w:rsidR="000D429D" w:rsidRPr="00D00720">
        <w:rPr>
          <w:rFonts w:ascii="Times" w:hAnsi="Times"/>
          <w:lang w:val="en-US"/>
        </w:rPr>
        <w:t xml:space="preserve"> the considerable danger of disbarring ecosystems from the kinds of transformation that may be necessary to adapt to anthropogenic climate change.</w:t>
      </w:r>
    </w:p>
    <w:p w14:paraId="1ED1AF4C" w14:textId="77777777" w:rsidR="00806F5B" w:rsidRPr="00D00720" w:rsidRDefault="00806F5B" w:rsidP="00806F5B">
      <w:pPr>
        <w:spacing w:line="480" w:lineRule="auto"/>
        <w:rPr>
          <w:rFonts w:ascii="Times" w:hAnsi="Times"/>
        </w:rPr>
      </w:pPr>
    </w:p>
    <w:p w14:paraId="250666C6" w14:textId="5EC5E327" w:rsidR="00045297" w:rsidRDefault="00FF4E0E" w:rsidP="00806F5B">
      <w:pPr>
        <w:pBdr>
          <w:bottom w:val="single" w:sz="6" w:space="1" w:color="auto"/>
        </w:pBdr>
        <w:spacing w:line="480" w:lineRule="auto"/>
        <w:rPr>
          <w:rFonts w:ascii="Times" w:hAnsi="Times"/>
        </w:rPr>
      </w:pPr>
      <w:r w:rsidRPr="00D00720">
        <w:rPr>
          <w:rFonts w:ascii="Times" w:hAnsi="Times"/>
        </w:rPr>
        <w:t>R</w:t>
      </w:r>
      <w:r w:rsidR="000D429D" w:rsidRPr="00D00720">
        <w:rPr>
          <w:rFonts w:ascii="Times" w:hAnsi="Times"/>
        </w:rPr>
        <w:t xml:space="preserve">ecent currents in </w:t>
      </w:r>
      <w:r w:rsidR="007E66E3" w:rsidRPr="00D00720">
        <w:rPr>
          <w:rFonts w:ascii="Times" w:hAnsi="Times"/>
        </w:rPr>
        <w:t>ecological science and the environmental humanities</w:t>
      </w:r>
      <w:r w:rsidR="00716D80" w:rsidRPr="00D00720">
        <w:rPr>
          <w:rFonts w:ascii="Times" w:hAnsi="Times"/>
        </w:rPr>
        <w:t xml:space="preserve"> </w:t>
      </w:r>
      <w:r w:rsidR="00CC43F8" w:rsidRPr="00D00720">
        <w:rPr>
          <w:rFonts w:ascii="Times" w:hAnsi="Times"/>
        </w:rPr>
        <w:t>demonstrate the need to</w:t>
      </w:r>
      <w:r w:rsidR="00474BBB" w:rsidRPr="00D00720">
        <w:rPr>
          <w:rFonts w:ascii="Times" w:hAnsi="Times"/>
        </w:rPr>
        <w:t xml:space="preserve"> rethink the world-making capacity of ecological communities. Time and again, empirical studies of these communities throw up ecological surprises that confound expectations </w:t>
      </w:r>
      <w:r w:rsidR="003F0223" w:rsidRPr="00D00720">
        <w:rPr>
          <w:rFonts w:ascii="Times" w:hAnsi="Times"/>
        </w:rPr>
        <w:t>of</w:t>
      </w:r>
      <w:r w:rsidR="00474BBB" w:rsidRPr="00D00720">
        <w:rPr>
          <w:rFonts w:ascii="Times" w:hAnsi="Times"/>
        </w:rPr>
        <w:t xml:space="preserve"> </w:t>
      </w:r>
      <w:proofErr w:type="spellStart"/>
      <w:r w:rsidR="00474BBB" w:rsidRPr="00D00720">
        <w:rPr>
          <w:rFonts w:ascii="Times" w:hAnsi="Times"/>
        </w:rPr>
        <w:t>ecosystemic</w:t>
      </w:r>
      <w:proofErr w:type="spellEnd"/>
      <w:r w:rsidR="00474BBB" w:rsidRPr="00D00720">
        <w:rPr>
          <w:rFonts w:ascii="Times" w:hAnsi="Times"/>
        </w:rPr>
        <w:t xml:space="preserve"> change </w:t>
      </w:r>
      <w:r w:rsidR="003F0223" w:rsidRPr="00D00720">
        <w:rPr>
          <w:rFonts w:ascii="Times" w:hAnsi="Times"/>
        </w:rPr>
        <w:t>working</w:t>
      </w:r>
      <w:r w:rsidR="00474BBB" w:rsidRPr="00D00720">
        <w:rPr>
          <w:rFonts w:ascii="Times" w:hAnsi="Times"/>
        </w:rPr>
        <w:t xml:space="preserve"> in a linear fashion proportionate to changes in environmental conditions. More often than not, </w:t>
      </w:r>
      <w:r w:rsidR="003F0223" w:rsidRPr="00D00720">
        <w:rPr>
          <w:rFonts w:ascii="Times" w:hAnsi="Times"/>
        </w:rPr>
        <w:t xml:space="preserve">the life of an ecosystem unfolds across multiple paths </w:t>
      </w:r>
      <w:r w:rsidR="00474BBB" w:rsidRPr="00D00720">
        <w:rPr>
          <w:rFonts w:ascii="Times" w:hAnsi="Times"/>
        </w:rPr>
        <w:t xml:space="preserve">towards unpredictable endpoints, sometimes undergoing catastrophic transitions between two or more steady states. </w:t>
      </w:r>
      <w:r w:rsidR="003F0223" w:rsidRPr="00D00720">
        <w:rPr>
          <w:rFonts w:ascii="Times" w:hAnsi="Times"/>
        </w:rPr>
        <w:t>While catastrophe is generally</w:t>
      </w:r>
      <w:r w:rsidR="00E31888" w:rsidRPr="00D00720">
        <w:rPr>
          <w:rFonts w:ascii="Times" w:hAnsi="Times"/>
        </w:rPr>
        <w:t xml:space="preserve"> best avoided</w:t>
      </w:r>
      <w:r w:rsidR="003F0223" w:rsidRPr="00D00720">
        <w:rPr>
          <w:rFonts w:ascii="Times" w:hAnsi="Times"/>
        </w:rPr>
        <w:t>, the capaci</w:t>
      </w:r>
      <w:r w:rsidR="00045297" w:rsidRPr="00D00720">
        <w:rPr>
          <w:rFonts w:ascii="Times" w:hAnsi="Times"/>
        </w:rPr>
        <w:t xml:space="preserve">ty for ecosystems to make </w:t>
      </w:r>
      <w:r w:rsidR="003F0223" w:rsidRPr="00D00720">
        <w:rPr>
          <w:rFonts w:ascii="Times" w:hAnsi="Times"/>
        </w:rPr>
        <w:t xml:space="preserve">history requires </w:t>
      </w:r>
      <w:r w:rsidR="00045297" w:rsidRPr="00D00720">
        <w:rPr>
          <w:rFonts w:ascii="Times" w:hAnsi="Times"/>
        </w:rPr>
        <w:t xml:space="preserve">a sensitivity to rhythms and synchronicities of life that </w:t>
      </w:r>
      <w:r w:rsidR="00B60346" w:rsidRPr="00D00720">
        <w:rPr>
          <w:rFonts w:ascii="Times" w:hAnsi="Times"/>
        </w:rPr>
        <w:t xml:space="preserve">rarely stay true to the </w:t>
      </w:r>
      <w:r w:rsidR="00627DA4" w:rsidRPr="00D00720">
        <w:rPr>
          <w:rFonts w:ascii="Times" w:hAnsi="Times"/>
        </w:rPr>
        <w:t xml:space="preserve">version of </w:t>
      </w:r>
      <w:r w:rsidR="00B60346" w:rsidRPr="00D00720">
        <w:rPr>
          <w:rFonts w:ascii="Times" w:hAnsi="Times"/>
        </w:rPr>
        <w:t xml:space="preserve">Nature than capital can see. </w:t>
      </w:r>
      <w:r w:rsidR="00045297" w:rsidRPr="00D00720">
        <w:rPr>
          <w:rFonts w:ascii="Times" w:hAnsi="Times"/>
        </w:rPr>
        <w:t xml:space="preserve">Engaging with ecosystems in a way that </w:t>
      </w:r>
      <w:r w:rsidR="00B60346" w:rsidRPr="00D00720">
        <w:rPr>
          <w:rFonts w:ascii="Times" w:hAnsi="Times"/>
        </w:rPr>
        <w:t xml:space="preserve">helps them to </w:t>
      </w:r>
      <w:r w:rsidR="00045297" w:rsidRPr="00D00720">
        <w:rPr>
          <w:rFonts w:ascii="Times" w:hAnsi="Times"/>
        </w:rPr>
        <w:t>avoid catastrophe</w:t>
      </w:r>
      <w:r w:rsidR="00B60346" w:rsidRPr="00D00720">
        <w:rPr>
          <w:rFonts w:ascii="Times" w:hAnsi="Times"/>
        </w:rPr>
        <w:t xml:space="preserve">, at the same time that </w:t>
      </w:r>
      <w:r w:rsidR="00CA7E33" w:rsidRPr="00D00720">
        <w:rPr>
          <w:rFonts w:ascii="Times" w:hAnsi="Times"/>
        </w:rPr>
        <w:t xml:space="preserve">leaving </w:t>
      </w:r>
      <w:r w:rsidR="00045297" w:rsidRPr="00D00720">
        <w:rPr>
          <w:rFonts w:ascii="Times" w:hAnsi="Times"/>
        </w:rPr>
        <w:t>space</w:t>
      </w:r>
      <w:r w:rsidR="00627DA4" w:rsidRPr="00D00720">
        <w:rPr>
          <w:rFonts w:ascii="Times" w:hAnsi="Times"/>
        </w:rPr>
        <w:t xml:space="preserve"> and time </w:t>
      </w:r>
      <w:r w:rsidR="00CA7E33" w:rsidRPr="00D00720">
        <w:rPr>
          <w:rFonts w:ascii="Times" w:hAnsi="Times"/>
        </w:rPr>
        <w:t xml:space="preserve">for them to </w:t>
      </w:r>
      <w:r w:rsidR="00627DA4" w:rsidRPr="00D00720">
        <w:rPr>
          <w:rFonts w:ascii="Times" w:hAnsi="Times"/>
        </w:rPr>
        <w:t xml:space="preserve">make history </w:t>
      </w:r>
      <w:r w:rsidR="00CA7E33" w:rsidRPr="00D00720">
        <w:rPr>
          <w:rFonts w:ascii="Times" w:hAnsi="Times"/>
        </w:rPr>
        <w:t xml:space="preserve">is a challenge that </w:t>
      </w:r>
      <w:r w:rsidR="00045297" w:rsidRPr="00D00720">
        <w:rPr>
          <w:rFonts w:ascii="Times" w:hAnsi="Times"/>
        </w:rPr>
        <w:t xml:space="preserve">derivative ecology is </w:t>
      </w:r>
      <w:r w:rsidR="00CA7E33" w:rsidRPr="00D00720">
        <w:rPr>
          <w:rFonts w:ascii="Times" w:hAnsi="Times"/>
        </w:rPr>
        <w:t>constitutively</w:t>
      </w:r>
      <w:r w:rsidR="00045297" w:rsidRPr="00D00720">
        <w:rPr>
          <w:rFonts w:ascii="Times" w:hAnsi="Times"/>
        </w:rPr>
        <w:t xml:space="preserve"> unable to </w:t>
      </w:r>
      <w:r w:rsidR="00627DA4" w:rsidRPr="00D00720">
        <w:rPr>
          <w:rFonts w:ascii="Times" w:hAnsi="Times"/>
        </w:rPr>
        <w:t>meet</w:t>
      </w:r>
      <w:r w:rsidR="00045297" w:rsidRPr="00D00720">
        <w:rPr>
          <w:rFonts w:ascii="Times" w:hAnsi="Times"/>
        </w:rPr>
        <w:t xml:space="preserve">. </w:t>
      </w:r>
    </w:p>
    <w:p w14:paraId="68A833F2" w14:textId="77777777" w:rsidR="00467C57" w:rsidRDefault="00467C57" w:rsidP="00806F5B">
      <w:pPr>
        <w:pBdr>
          <w:bottom w:val="single" w:sz="6" w:space="1" w:color="auto"/>
        </w:pBdr>
        <w:spacing w:line="480" w:lineRule="auto"/>
        <w:rPr>
          <w:rFonts w:ascii="Times" w:hAnsi="Times"/>
        </w:rPr>
      </w:pPr>
    </w:p>
    <w:p w14:paraId="3365ADB6" w14:textId="77777777" w:rsidR="00467C57" w:rsidRDefault="00467C57" w:rsidP="00806F5B">
      <w:pPr>
        <w:spacing w:line="480" w:lineRule="auto"/>
        <w:rPr>
          <w:rFonts w:ascii="Times" w:hAnsi="Times"/>
        </w:rPr>
      </w:pPr>
    </w:p>
    <w:p w14:paraId="12A22C40" w14:textId="7288509D" w:rsidR="00467C57" w:rsidRPr="00467C57" w:rsidRDefault="00467C57" w:rsidP="00467C57">
      <w:pPr>
        <w:spacing w:line="480" w:lineRule="auto"/>
        <w:rPr>
          <w:rFonts w:ascii="Times" w:hAnsi="Times"/>
        </w:rPr>
      </w:pPr>
    </w:p>
    <w:p w14:paraId="76FA131E" w14:textId="77777777" w:rsidR="00467C57" w:rsidRPr="00467C57" w:rsidRDefault="00467C57" w:rsidP="00467C57">
      <w:pPr>
        <w:spacing w:line="480" w:lineRule="auto"/>
        <w:rPr>
          <w:rFonts w:ascii="Times" w:hAnsi="Times"/>
        </w:rPr>
      </w:pPr>
      <w:r w:rsidRPr="00467C57">
        <w:rPr>
          <w:rFonts w:ascii="Times" w:hAnsi="Times"/>
        </w:rPr>
        <w:lastRenderedPageBreak/>
        <w:t xml:space="preserve">Both authors would like to acknowledge the </w:t>
      </w:r>
      <w:proofErr w:type="spellStart"/>
      <w:r w:rsidRPr="00467C57">
        <w:rPr>
          <w:rFonts w:ascii="Times" w:hAnsi="Times"/>
        </w:rPr>
        <w:t>Leverhulme</w:t>
      </w:r>
      <w:proofErr w:type="spellEnd"/>
      <w:r w:rsidRPr="00467C57">
        <w:rPr>
          <w:rFonts w:ascii="Times" w:hAnsi="Times"/>
        </w:rPr>
        <w:t xml:space="preserve"> Trust for its generous support of their research.</w:t>
      </w:r>
    </w:p>
    <w:p w14:paraId="3EEDF90E" w14:textId="77777777" w:rsidR="00467C57" w:rsidRPr="00467C57" w:rsidRDefault="00467C57" w:rsidP="00467C57">
      <w:pPr>
        <w:spacing w:line="480" w:lineRule="auto"/>
        <w:rPr>
          <w:rFonts w:ascii="Times" w:hAnsi="Times"/>
        </w:rPr>
      </w:pPr>
    </w:p>
    <w:p w14:paraId="2EC99D7B" w14:textId="77777777" w:rsidR="00467C57" w:rsidRDefault="00467C57" w:rsidP="00467C57">
      <w:pPr>
        <w:spacing w:line="480" w:lineRule="auto"/>
        <w:rPr>
          <w:rFonts w:ascii="Times" w:hAnsi="Times"/>
        </w:rPr>
      </w:pPr>
      <w:r w:rsidRPr="00467C57">
        <w:rPr>
          <w:rFonts w:ascii="Times" w:hAnsi="Times"/>
          <w:b/>
        </w:rPr>
        <w:t xml:space="preserve">Josh Bowsher </w:t>
      </w:r>
      <w:r w:rsidRPr="00467C57">
        <w:rPr>
          <w:rFonts w:ascii="Times" w:hAnsi="Times"/>
        </w:rPr>
        <w:t xml:space="preserve">works across social theory and socio-legal studies in order to critically explore human rights, collective memory and the interrelated dynamics of </w:t>
      </w:r>
      <w:proofErr w:type="spellStart"/>
      <w:r w:rsidRPr="00467C57">
        <w:rPr>
          <w:rFonts w:ascii="Times" w:hAnsi="Times"/>
        </w:rPr>
        <w:t>financialisation</w:t>
      </w:r>
      <w:proofErr w:type="spellEnd"/>
      <w:r w:rsidRPr="00467C57">
        <w:rPr>
          <w:rFonts w:ascii="Times" w:hAnsi="Times"/>
        </w:rPr>
        <w:t xml:space="preserve"> and neoliberal globalisation. He is now </w:t>
      </w:r>
      <w:proofErr w:type="spellStart"/>
      <w:r w:rsidRPr="00467C57">
        <w:rPr>
          <w:rFonts w:ascii="Times" w:hAnsi="Times"/>
        </w:rPr>
        <w:t>Leverhulme</w:t>
      </w:r>
      <w:proofErr w:type="spellEnd"/>
      <w:r w:rsidRPr="00467C57">
        <w:rPr>
          <w:rFonts w:ascii="Times" w:hAnsi="Times"/>
        </w:rPr>
        <w:t xml:space="preserve"> Early Career Research Fellow at Brunel Law School. His work has been published in Law and Critique, Social and Legal Studies and the European Journal of Social Theory.</w:t>
      </w:r>
    </w:p>
    <w:p w14:paraId="53186B34" w14:textId="77777777" w:rsidR="00467C57" w:rsidRDefault="00467C57" w:rsidP="00467C57">
      <w:pPr>
        <w:spacing w:line="480" w:lineRule="auto"/>
        <w:rPr>
          <w:rFonts w:ascii="Times" w:hAnsi="Times"/>
        </w:rPr>
      </w:pPr>
    </w:p>
    <w:p w14:paraId="3F73E7B2" w14:textId="07AB563F" w:rsidR="00467C57" w:rsidRPr="00467C57" w:rsidRDefault="00467C57" w:rsidP="00467C57">
      <w:pPr>
        <w:spacing w:line="480" w:lineRule="auto"/>
        <w:rPr>
          <w:rFonts w:ascii="Times" w:hAnsi="Times"/>
        </w:rPr>
      </w:pPr>
      <w:r w:rsidRPr="00467C57">
        <w:rPr>
          <w:rFonts w:ascii="Times" w:hAnsi="Times"/>
          <w:b/>
        </w:rPr>
        <w:t>Theo Reeves-</w:t>
      </w:r>
      <w:proofErr w:type="spellStart"/>
      <w:r w:rsidRPr="00467C57">
        <w:rPr>
          <w:rFonts w:ascii="Times" w:hAnsi="Times"/>
          <w:b/>
        </w:rPr>
        <w:t>Evison</w:t>
      </w:r>
      <w:proofErr w:type="spellEnd"/>
      <w:r w:rsidRPr="00467C57">
        <w:rPr>
          <w:rFonts w:ascii="Times" w:hAnsi="Times"/>
        </w:rPr>
        <w:t xml:space="preserve"> is a </w:t>
      </w:r>
      <w:proofErr w:type="spellStart"/>
      <w:r w:rsidRPr="00467C57">
        <w:rPr>
          <w:rFonts w:ascii="Times" w:hAnsi="Times"/>
        </w:rPr>
        <w:t>Leverhulme</w:t>
      </w:r>
      <w:proofErr w:type="spellEnd"/>
      <w:r w:rsidRPr="00467C57">
        <w:rPr>
          <w:rFonts w:ascii="Times" w:hAnsi="Times"/>
        </w:rPr>
        <w:t xml:space="preserve"> Early Career Fellow at Birmingham School of Art, where his research focuses on the critical imbrications of art, nature and speculation. He is the editor, together with Jon K. Shaw of Fiction as Method (Sternberg, 2017), and has published recent articles in magazines and journals such as Frieze, </w:t>
      </w:r>
      <w:proofErr w:type="spellStart"/>
      <w:r w:rsidRPr="00467C57">
        <w:rPr>
          <w:rFonts w:ascii="Times" w:hAnsi="Times"/>
        </w:rPr>
        <w:t>Paragrana</w:t>
      </w:r>
      <w:proofErr w:type="spellEnd"/>
      <w:r w:rsidRPr="00467C57">
        <w:rPr>
          <w:rFonts w:ascii="Times" w:hAnsi="Times"/>
        </w:rPr>
        <w:t xml:space="preserve"> and Parallax. In January 2018 he edited a special issue of the journal Third Text with Mark Rainey on the theme of ‘</w:t>
      </w:r>
      <w:proofErr w:type="spellStart"/>
      <w:r w:rsidRPr="00467C57">
        <w:rPr>
          <w:rFonts w:ascii="Times" w:hAnsi="Times"/>
        </w:rPr>
        <w:t>ethico</w:t>
      </w:r>
      <w:proofErr w:type="spellEnd"/>
      <w:r w:rsidRPr="00467C57">
        <w:rPr>
          <w:rFonts w:ascii="Times" w:hAnsi="Times"/>
        </w:rPr>
        <w:t>-aesthetic repairs’, and his monograph Ethics of Contemporary Art: In the Shadow of Transgression is to be published in 2020 by Bloomsbury Academic Press.</w:t>
      </w:r>
    </w:p>
    <w:p w14:paraId="72898E2B" w14:textId="77777777" w:rsidR="00467C57" w:rsidRPr="00467C57" w:rsidRDefault="00467C57" w:rsidP="00467C57">
      <w:pPr>
        <w:spacing w:line="480" w:lineRule="auto"/>
        <w:rPr>
          <w:rFonts w:ascii="Times" w:hAnsi="Times"/>
        </w:rPr>
      </w:pPr>
    </w:p>
    <w:p w14:paraId="3040EC9D" w14:textId="77777777" w:rsidR="00467C57" w:rsidRPr="00D00720" w:rsidRDefault="00467C57" w:rsidP="00467C57">
      <w:pPr>
        <w:spacing w:line="480" w:lineRule="auto"/>
        <w:rPr>
          <w:rFonts w:ascii="Times" w:hAnsi="Times"/>
        </w:rPr>
      </w:pPr>
    </w:p>
    <w:sectPr w:rsidR="00467C57" w:rsidRPr="00D00720">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7A17" w14:textId="77777777" w:rsidR="00C24E74" w:rsidRDefault="00C24E74" w:rsidP="00AB6F29">
      <w:r>
        <w:separator/>
      </w:r>
    </w:p>
  </w:endnote>
  <w:endnote w:type="continuationSeparator" w:id="0">
    <w:p w14:paraId="7D28E149" w14:textId="77777777" w:rsidR="00C24E74" w:rsidRDefault="00C24E74" w:rsidP="00AB6F29">
      <w:r>
        <w:continuationSeparator/>
      </w:r>
    </w:p>
  </w:endnote>
  <w:endnote w:id="1">
    <w:p w14:paraId="304DA88E" w14:textId="77777777" w:rsidR="006A06DD" w:rsidRPr="00DC330B" w:rsidRDefault="006A06DD" w:rsidP="00277205">
      <w:pPr>
        <w:spacing w:line="480" w:lineRule="auto"/>
        <w:rPr>
          <w:color w:val="00B0F0"/>
        </w:rPr>
      </w:pPr>
      <w:r w:rsidRPr="00DC330B">
        <w:rPr>
          <w:b/>
          <w:lang w:val="en-US"/>
        </w:rPr>
        <w:t>Notes</w:t>
      </w:r>
    </w:p>
    <w:p w14:paraId="1C40C876" w14:textId="6865E785" w:rsidR="006A06DD" w:rsidRPr="00723CEB" w:rsidRDefault="006A06DD" w:rsidP="0032713D">
      <w:pPr>
        <w:pStyle w:val="EndnoteText"/>
        <w:spacing w:after="240"/>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F0460E">
        <w:rPr>
          <w:rFonts w:ascii="Times New Roman" w:hAnsi="Times New Roman" w:cs="Times New Roman"/>
        </w:rPr>
        <w:fldChar w:fldCharType="begin" w:fldLock="1"/>
      </w:r>
      <w:r w:rsidR="008E50D4">
        <w:rPr>
          <w:rFonts w:ascii="Times New Roman" w:hAnsi="Times New Roman" w:cs="Times New Roman"/>
        </w:rPr>
        <w:instrText>ADDIN CSL_CITATION {"citationItems":[{"id":"ITEM-1","itemData":{"ISSN":"0191-4537","author":[{"dropping-particle":"","family":"Moore","given":"Jason W.","non-dropping-particle":"","parse-names":false,"suffix":""}],"container-title":"Upping the Anti: A Journal of Theory and Action","id":"ITEM-1","issue":"May","issued":{"date-parts":[["2011"]]},"page":"39-53","title":"Wall Street Is a Way of Organizing Nature: An Interview with Jason Moore","type":"article-journal","volume":"12"},"locator":"2-3","uris":["http://www.mendeley.com/documents/?uuid=8fb37d78-3ebb-486e-ac83-d29af35c1636","http://www.mendeley.com/documents/?uuid=83252c60-7170-4ae7-be08-bffb22fc28a9"]}],"mendeley":{"formattedCitation":"Jason W. Moore, “Wall Street Is a Way of Organizing Nature: An Interview with Jason Moore,” &lt;i&gt;Upping the Anti: A Journal of Theory and Action&lt;/i&gt; 12, no. May (2011): 2–3.","manualFormatting":"Jason W. Moore, “Wall Street Is a Way of Organizing Nature: An Interview with Jason Moore,” Upping the Anti: A Journal of Theory and Action 12, May (2011): 2–3.","plainTextFormattedCitation":"Jason W. Moore, “Wall Street Is a Way of Organizing Nature: An Interview with Jason Moore,” Upping the Anti: A Journal of Theory and Action 12, no. May (2011): 2–3.","previouslyFormattedCitation":"Jason W. Moore, “Wall Street Is a Way of Organizing Nature: An Interview with Jason Moore,” &lt;i&gt;Upping the Anti: A Journal of Theory and Action&lt;/i&gt; 12, no. May (2011): 2–3."},"properties":{"noteIndex":0},"schema":"https://github.com/citation-style-language/schema/raw/master/csl-citation.json"}</w:instrText>
      </w:r>
      <w:r w:rsidRPr="00F0460E">
        <w:rPr>
          <w:rFonts w:ascii="Times New Roman" w:hAnsi="Times New Roman" w:cs="Times New Roman"/>
        </w:rPr>
        <w:fldChar w:fldCharType="separate"/>
      </w:r>
      <w:r w:rsidRPr="00F0460E">
        <w:rPr>
          <w:rFonts w:ascii="Times New Roman" w:hAnsi="Times New Roman" w:cs="Times New Roman"/>
          <w:noProof/>
        </w:rPr>
        <w:t xml:space="preserve">Jason W. Moore, “Wall Street Is a Way of Organizing Nature: An Interview with Jason Moore,” </w:t>
      </w:r>
      <w:r w:rsidRPr="00D931F3">
        <w:rPr>
          <w:rFonts w:ascii="Times New Roman" w:hAnsi="Times New Roman" w:cs="Times New Roman"/>
          <w:i/>
          <w:noProof/>
        </w:rPr>
        <w:t>Upping the Anti: A Journal of Theory and Action</w:t>
      </w:r>
      <w:r w:rsidRPr="00726F20">
        <w:rPr>
          <w:rFonts w:ascii="Times New Roman" w:hAnsi="Times New Roman" w:cs="Times New Roman"/>
          <w:noProof/>
        </w:rPr>
        <w:t xml:space="preserve"> 12, May (2011): 2–3.</w:t>
      </w:r>
      <w:r w:rsidRPr="00F0460E">
        <w:rPr>
          <w:rFonts w:ascii="Times New Roman" w:hAnsi="Times New Roman" w:cs="Times New Roman"/>
        </w:rPr>
        <w:fldChar w:fldCharType="end"/>
      </w:r>
    </w:p>
  </w:endnote>
  <w:endnote w:id="2">
    <w:p w14:paraId="0E8BD51D" w14:textId="55953F60" w:rsidR="006A06DD" w:rsidRPr="00723CEB" w:rsidRDefault="006A06DD" w:rsidP="0032713D">
      <w:pPr>
        <w:pStyle w:val="EndnoteText"/>
        <w:spacing w:after="240"/>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{"citationItems":[{"id":"ITEM-1","itemData":{"author":[{"dropping-particle":"","family":"Lowenhaupt Tsing","given":"Anna","non-dropping-particle":"","parse-names":false,"suffix":""}],"id":"ITEM-1","issued":{"date-parts":[["2015"]]},"publisher":"Princeton University Press","publisher-place":"Princeton","title":"The Mushroom at the End of the World: On the Possibility of Life in Capitalist Ruins","type":"book"},"uris":["http://www.mendeley.com/documents/?uuid=320dbf5c-7029-4199-9260-f000d7ad5dca"]}],"mendeley":{"formattedCitation":"Anna Lowenhaupt Tsing, &lt;i&gt;The Mushroom at the End of the World: On the Possibility of Life in Capitalist Ruins&lt;/i&gt; (Princeton: Princeton University Press, 2015).","manualFormatting":"Anna Lowenhaupt Tsing, The Mushroom at the End of the World: On the Possibility of Life in Capitalist Ruins, Princeton, Princeton University Press, 2015, p. 168.","plainTextFormattedCitation":"Anna Lowenhaupt Tsing, The Mushroom at the End of the World: On the Possibility of Life in Capitalist Ruins (Princeton: Princeton University Press, 2015).","previouslyFormattedCitation":"Anna Lowenhaupt Tsing, &lt;i&gt;The Mushroom at the End of the World: On the Possibility of Life in Capitalist Ruins&lt;/i&gt; (Princeton: Princeton University Press, 2015)."},"properties":{"noteIndex":0},"schema":"https://github.com/citation-style-language/schema/raw/master/csl-citation.json"}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Anna Lowenhaupt Tsing, </w:t>
      </w:r>
      <w:r w:rsidRPr="00723CEB">
        <w:rPr>
          <w:rFonts w:ascii="Times New Roman" w:hAnsi="Times New Roman" w:cs="Times New Roman"/>
          <w:i/>
          <w:noProof/>
        </w:rPr>
        <w:t>The Mushroom at the End of the World: On the Possibility of Life in Capitalist Ruins</w:t>
      </w:r>
      <w:r w:rsidRPr="00D931F3">
        <w:rPr>
          <w:rFonts w:ascii="Times New Roman" w:hAnsi="Times New Roman" w:cs="Times New Roman"/>
          <w:noProof/>
        </w:rPr>
        <w:t>,</w:t>
      </w:r>
      <w:r w:rsidRPr="00726F20">
        <w:rPr>
          <w:rFonts w:ascii="Times New Roman" w:hAnsi="Times New Roman" w:cs="Times New Roman"/>
          <w:noProof/>
        </w:rPr>
        <w:t xml:space="preserve"> Princeton, Princeton University Press, 2015, p. 168.</w:t>
      </w:r>
      <w:r w:rsidRPr="00723CEB">
        <w:rPr>
          <w:rFonts w:ascii="Times New Roman" w:hAnsi="Times New Roman" w:cs="Times New Roman"/>
        </w:rPr>
        <w:fldChar w:fldCharType="end"/>
      </w:r>
    </w:p>
  </w:endnote>
  <w:endnote w:id="3">
    <w:p w14:paraId="552F0FAA" w14:textId="248484AB" w:rsidR="006A06DD" w:rsidRPr="008542DF" w:rsidRDefault="006A06DD" w:rsidP="004D3369">
      <w:pPr>
        <w:rPr>
          <w:sz w:val="20"/>
          <w:szCs w:val="20"/>
          <w:highlight w:val="yellow"/>
          <w:lang w:val="de-DE"/>
        </w:rPr>
      </w:pPr>
      <w:r w:rsidRPr="00723CEB">
        <w:rPr>
          <w:rStyle w:val="EndnoteReference"/>
          <w:sz w:val="20"/>
          <w:szCs w:val="20"/>
        </w:rPr>
        <w:endnoteRef/>
      </w:r>
      <w:r w:rsidRPr="00723CEB">
        <w:rPr>
          <w:sz w:val="20"/>
          <w:szCs w:val="20"/>
          <w:lang w:val="de-DE"/>
        </w:rPr>
        <w:t xml:space="preserve"> Frederic </w:t>
      </w:r>
      <w:proofErr w:type="spellStart"/>
      <w:r w:rsidRPr="00723CEB">
        <w:rPr>
          <w:sz w:val="20"/>
          <w:szCs w:val="20"/>
          <w:lang w:val="de-DE"/>
        </w:rPr>
        <w:t>Vester</w:t>
      </w:r>
      <w:proofErr w:type="spellEnd"/>
      <w:r w:rsidRPr="00723CEB">
        <w:rPr>
          <w:sz w:val="20"/>
          <w:szCs w:val="20"/>
          <w:lang w:val="de-DE"/>
        </w:rPr>
        <w:t xml:space="preserve">, </w:t>
      </w:r>
      <w:r w:rsidRPr="00723CEB">
        <w:rPr>
          <w:i/>
          <w:sz w:val="20"/>
          <w:szCs w:val="20"/>
          <w:lang w:val="de-DE"/>
        </w:rPr>
        <w:t xml:space="preserve">Der Wert eines Vogels, </w:t>
      </w:r>
      <w:r w:rsidRPr="00723CEB">
        <w:rPr>
          <w:sz w:val="20"/>
          <w:szCs w:val="20"/>
          <w:lang w:val="de-DE"/>
        </w:rPr>
        <w:t>M</w:t>
      </w:r>
      <w:r w:rsidRPr="00D931F3">
        <w:rPr>
          <w:color w:val="000000"/>
          <w:sz w:val="20"/>
          <w:szCs w:val="20"/>
          <w:lang w:val="de-DE"/>
        </w:rPr>
        <w:t>ü</w:t>
      </w:r>
      <w:r w:rsidRPr="00726F20">
        <w:rPr>
          <w:sz w:val="20"/>
          <w:szCs w:val="20"/>
          <w:lang w:val="de-DE"/>
        </w:rPr>
        <w:t xml:space="preserve">nchen, </w:t>
      </w:r>
      <w:proofErr w:type="spellStart"/>
      <w:r w:rsidRPr="00726F20">
        <w:rPr>
          <w:sz w:val="20"/>
          <w:szCs w:val="20"/>
          <w:lang w:val="de-DE"/>
        </w:rPr>
        <w:t>K</w:t>
      </w:r>
      <w:r w:rsidRPr="00726F20">
        <w:rPr>
          <w:color w:val="000000"/>
          <w:sz w:val="20"/>
          <w:szCs w:val="20"/>
          <w:lang w:val="de-DE"/>
        </w:rPr>
        <w:t>ö</w:t>
      </w:r>
      <w:r w:rsidRPr="007C5E3B">
        <w:rPr>
          <w:sz w:val="20"/>
          <w:szCs w:val="20"/>
          <w:lang w:val="de-DE"/>
        </w:rPr>
        <w:t>sel</w:t>
      </w:r>
      <w:proofErr w:type="spellEnd"/>
      <w:r w:rsidRPr="007C5E3B">
        <w:rPr>
          <w:sz w:val="20"/>
          <w:szCs w:val="20"/>
          <w:lang w:val="de-DE"/>
        </w:rPr>
        <w:t xml:space="preserve">-Verlag, 1983. </w:t>
      </w:r>
    </w:p>
  </w:endnote>
  <w:endnote w:id="4">
    <w:p w14:paraId="533AFE1C" w14:textId="261E6785" w:rsidR="006A06DD" w:rsidRPr="008542DF" w:rsidRDefault="006A06DD" w:rsidP="004556E6">
      <w:pPr>
        <w:rPr>
          <w:sz w:val="20"/>
          <w:szCs w:val="20"/>
        </w:rPr>
      </w:pPr>
      <w:r w:rsidRPr="00723CEB">
        <w:rPr>
          <w:rStyle w:val="EndnoteReference"/>
          <w:sz w:val="20"/>
          <w:szCs w:val="20"/>
        </w:rPr>
        <w:endnoteRef/>
      </w:r>
      <w:r w:rsidRPr="00723CEB">
        <w:rPr>
          <w:sz w:val="20"/>
          <w:szCs w:val="20"/>
          <w:lang w:val="en-US"/>
        </w:rPr>
        <w:t xml:space="preserve"> Severin Carroll, “Scottish GPs to begin prescribing rambling and birdwatching” </w:t>
      </w:r>
      <w:r w:rsidRPr="00723CEB">
        <w:rPr>
          <w:i/>
          <w:sz w:val="20"/>
          <w:szCs w:val="20"/>
          <w:lang w:val="en-US"/>
        </w:rPr>
        <w:t xml:space="preserve">Guardian, </w:t>
      </w:r>
      <w:r w:rsidRPr="00723CEB">
        <w:rPr>
          <w:sz w:val="20"/>
          <w:szCs w:val="20"/>
          <w:lang w:val="en-US"/>
        </w:rPr>
        <w:t xml:space="preserve">5 October 2018. See also: Patricia </w:t>
      </w:r>
      <w:proofErr w:type="spellStart"/>
      <w:r w:rsidRPr="00723CEB">
        <w:rPr>
          <w:sz w:val="20"/>
          <w:szCs w:val="20"/>
          <w:lang w:val="en-US"/>
        </w:rPr>
        <w:t>Habasch</w:t>
      </w:r>
      <w:proofErr w:type="spellEnd"/>
      <w:r w:rsidRPr="00723CEB">
        <w:rPr>
          <w:sz w:val="20"/>
          <w:szCs w:val="20"/>
          <w:lang w:val="en-US"/>
        </w:rPr>
        <w:t>, “Prescribing Nature: Techniques, Challenges and Ethical Considerations” in M. Jordan and J. Hinds (</w:t>
      </w:r>
      <w:proofErr w:type="spellStart"/>
      <w:r w:rsidRPr="00723CEB">
        <w:rPr>
          <w:sz w:val="20"/>
          <w:szCs w:val="20"/>
          <w:lang w:val="en-US"/>
        </w:rPr>
        <w:t>eds</w:t>
      </w:r>
      <w:proofErr w:type="spellEnd"/>
      <w:r w:rsidRPr="00723CEB">
        <w:rPr>
          <w:sz w:val="20"/>
          <w:szCs w:val="20"/>
          <w:lang w:val="en-US"/>
        </w:rPr>
        <w:t xml:space="preserve">) </w:t>
      </w:r>
      <w:r w:rsidRPr="00D931F3">
        <w:rPr>
          <w:i/>
          <w:sz w:val="20"/>
          <w:szCs w:val="20"/>
          <w:lang w:val="en-US"/>
        </w:rPr>
        <w:t>Ecotherapy:</w:t>
      </w:r>
      <w:r w:rsidRPr="00726F20">
        <w:rPr>
          <w:i/>
          <w:sz w:val="20"/>
          <w:szCs w:val="20"/>
          <w:lang w:val="en-US"/>
        </w:rPr>
        <w:t xml:space="preserve"> Theory, Research and Practices, </w:t>
      </w:r>
      <w:r w:rsidRPr="007C5E3B">
        <w:rPr>
          <w:sz w:val="20"/>
          <w:szCs w:val="20"/>
          <w:lang w:val="en-US"/>
        </w:rPr>
        <w:t>London, Palgrave Macmillan, 2016, pp138-147.</w:t>
      </w:r>
    </w:p>
  </w:endnote>
  <w:endnote w:id="5">
    <w:p w14:paraId="30332234" w14:textId="502342AD" w:rsidR="006A06DD" w:rsidRPr="00723CEB" w:rsidRDefault="006A06DD" w:rsidP="00D25F5E">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{"citationItems":[{"id":"ITEM-1","itemData":{"DOI":"10.1038/s41893-018-0176-z","ISSN":"2398-9629","abstract":"‘No net loss’ (NNL) biodiversity policies, which seek to neutralize ongoing biodiversity losses caused by economic development activities, are applicable worldwide. Yet, there has been no global assessment concerning practical measures actually implemented under NNL policies. Here, we systematically map the global implementation of biodiversity offsets (‘offsets’)—a crucial yet controversial NNL practice. We find, first, that offsets occupy an area up to two orders of magnitude larger than previously suggested: 12,983 offset projects extending over $$153,679_{ - 64,223}^{ + 25,013}$$153,679-64,223+25,013 km2 across 37 countries. Second, offsets are far from homogeneous in implementation, and emerging economies (particularly in South America) are more dominant in terms of global offsetting area than expected. Third, most offset projects are very small, and the overwhelming majority (99.7%) arise through regulatory requirements rather than prominent project finance safeguards. Our database provides a sampling frame via which future studies could evaluate the efficacy of NNL policies.","author":[{"dropping-particle":"","family":"Bull","given":"Joseph William","non-dropping-particle":"","parse-names":false,"suffix":""},{"dropping-particle":"","family":"Strange","given":"Niels","non-dropping-particle":"","parse-names":false,"suffix":""}],"container-title":"Nature Sustainability","id":"ITEM-1","issue":"12","issued":{"date-parts":[["2018"]]},"page":"790-798","title":"The global extent of biodiversity offset implementation under no net loss policies","type":"article-journal","volume":"1"},"uris":["http://www.mendeley.com/documents/?uuid=68e6b150-ea00-4f33-b919-ee6cee3d031f"]}],"mendeley":{"formattedCitation":"Joseph William Bull and Niels Strange, “The Global Extent of Biodiversity Offset Implementation under No Net Loss Policies,” &lt;i&gt;Nature Sustainability&lt;/i&gt; 1, no. 12 (2018): 790–98, https://doi.org/10.1038/s41893-018-0176-z.","manualFormatting":"Joseph William Bull and Niels Strange, “The Global Extent of Biodiversity Offset Implementation under No Net Loss Policies,” Nature Sustainability 1, 12 (2018): 790–98.","plainTextFormattedCitation":"Joseph William Bull and Niels Strange, “The Global Extent of Biodiversity Offset Implementation under No Net Loss Policies,” Nature Sustainability 1, no. 12 (2018): 790–98, https://doi.org/10.1038/s41893-018-0176-z.","previouslyFormattedCitation":"Joseph William Bull and Niels Strange, “The Global Extent of Biodiversity Offset Implementation under No Net Loss Policies,” &lt;i&gt;Nature Sustainability&lt;/i&gt; 1, no. 12 (2018): 790–98, https://doi.org/10.1038/s41893-018-0176-z."},"properties":{"noteIndex":0},"schema":"https://github.com/citation-style-language/schema/raw/master/csl-citation.json"}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Joseph William Bull and Niels Strange, “The Global Extent of Biodiversity Offset Implementation under No Net Loss Policies,” </w:t>
      </w:r>
      <w:r w:rsidRPr="00723CEB">
        <w:rPr>
          <w:rFonts w:ascii="Times New Roman" w:hAnsi="Times New Roman" w:cs="Times New Roman"/>
          <w:i/>
          <w:noProof/>
        </w:rPr>
        <w:t>Nature Sustainability</w:t>
      </w:r>
      <w:r w:rsidRPr="00D931F3">
        <w:rPr>
          <w:rFonts w:ascii="Times New Roman" w:hAnsi="Times New Roman" w:cs="Times New Roman"/>
          <w:noProof/>
        </w:rPr>
        <w:t xml:space="preserve"> 1, 12 (2018): 790–98.</w:t>
      </w:r>
      <w:r w:rsidRPr="00723CEB">
        <w:rPr>
          <w:rFonts w:ascii="Times New Roman" w:hAnsi="Times New Roman" w:cs="Times New Roman"/>
        </w:rPr>
        <w:fldChar w:fldCharType="end"/>
      </w:r>
    </w:p>
    <w:p w14:paraId="32F33DBF" w14:textId="61914FED" w:rsidR="006A06DD" w:rsidRPr="00726F20" w:rsidRDefault="006A06DD" w:rsidP="00092688">
      <w:pPr>
        <w:rPr>
          <w:sz w:val="20"/>
          <w:szCs w:val="20"/>
        </w:rPr>
      </w:pPr>
    </w:p>
  </w:endnote>
  <w:endnote w:id="6">
    <w:p w14:paraId="5DFD7946" w14:textId="3DCD577C" w:rsidR="006A06DD" w:rsidRPr="007C5E3B" w:rsidRDefault="006A06DD" w:rsidP="00137CE9">
      <w:pPr>
        <w:pStyle w:val="EndnoteText"/>
        <w:spacing w:after="240"/>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Bennett","given":"Genevieve","non-dropping-particle":"","parse-names":false,"suffix":""},{"dropping-particle":"","family":"Gallant","given":"Melissa","non-dropping-particle":"","parse-names":false,"suffix":""},{"dropping-particle":"ten","family":"Kate","given":"Kerry","non-dropping-particle":"","parse-names":false,"suffix":""}],"id":"ITEM-1","issued":{"date-parts":[["2017"]]},"number-of-pages":"77","publisher-place":"Washington, DC","title":"State of Biodiversity Mitigation 2017","type":"report"},"uris":["http://www.mendeley.com/documents/?uuid=b49f50df-c4a4-49d5-bdb8-91b99da211b4","http://www.mendeley.com/documents/?uuid=58b123c6-c7ce-4e5b-be07-7d700f913e94"]},{"id":"ITEM-2","itemData":{"author":[{"dropping-particle":"","family":"Apostolopoulou","given":"Evangelia","non-dropping-particle":"","parse-names":false,"suffix":""},{"dropping-particle":"","family":"Greco","given":"Elisa","non-dropping-particle":"","parse-names":false,"suffix":""},{"dropping-particle":"","family":"Adams","given":"William M","non-dropping-particle":"","parse-names":false,"suffix":""}],"container-title":"ACME","id":"ITEM-2","issue":"3","issued":{"date-parts":[["2018"]]},"page":"861-892","title":"Biodiversity Offsetting and the Production of ‘ Equivalent Natures ’: A Marxist Critique","type":"article-journal","volume":"17"},"uris":["http://www.mendeley.com/documents/?uuid=4be9ac5f-772c-451d-8e82-b2d482f7366b","http://www.mendeley.com/documents/?uuid=fcb66195-c926-4403-9fcf-f07e36d4d269"]}],"mendeley":{"formattedCitation":"Genevieve Bennett, Melissa Gallant, and Kerry ten Kate, “State of Biodiversity Mitigation 2017” (Washington, DC, 2017), https://www.forest-trends.org/wp-content/uploads/2018/01/doc_5707.pdf; Evangelia Apostolopoulou, Elisa Greco, and William M Adams, “Biodiversity Offsetting and the Production of ‘ Equivalent Natures ’: A Marxist Critique,” &lt;i&gt;ACME&lt;/i&gt; 17, no. 3 (2018): 861–92.","manualFormatting":"Genevieve Bennett and Melissa Gallant,","plainTextFormattedCitation":"Genevieve Bennett, Melissa Gallant, and Kerry ten Kate, “State of Biodiversity Mitigation 2017” (Washington, DC, 2017), https://www.forest-trends.org/wp-content/uploads/2018/01/doc_5707.pdf; Evangelia Apostolopoulou, Elisa Greco, and William M Adams, “Biodiversity Offsetting and the Production of ‘ Equivalent Natures ’: A Marxist Critique,” ACME 17, no. 3 (2018): 861–92.","previouslyFormattedCitation":"Genevieve Bennett, Melissa Gallant, and Kerry ten Kate, “State of Biodiversity Mitigation 2017” (Washington, DC, 2017), https://www.forest-trends.org/wp-content/uploads/2018/01/doc_5707.pdf; Evangelia Apostolopoulou, Elisa Greco, and William M Adams, “Biodiversity Offsetting and the Production of ‘ Equivalent Natures ’: A Marxist Critique,” &lt;i&gt;ACME&lt;/i&gt; 17, no. 3 (2018): 861–92."},"properties":{"noteIndex":0},"schema":"https://github.com/citation-style-language/schema/raw/master/csl-citation.json"}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Genevieve Bennett and </w:t>
      </w:r>
      <w:r w:rsidRPr="00723CEB">
        <w:rPr>
          <w:rFonts w:ascii="Times New Roman" w:eastAsia="Times New Roman" w:hAnsi="Times New Roman" w:cs="Times New Roman"/>
          <w:noProof/>
        </w:rPr>
        <w:t>Melissa Gallant</w:t>
      </w:r>
      <w:r w:rsidRPr="00D931F3">
        <w:rPr>
          <w:rFonts w:ascii="Times New Roman" w:hAnsi="Times New Roman" w:cs="Times New Roman"/>
          <w:noProof/>
        </w:rPr>
        <w:t>,</w:t>
      </w:r>
      <w:r w:rsidRPr="00723CEB">
        <w:rPr>
          <w:rFonts w:ascii="Times New Roman" w:hAnsi="Times New Roman" w:cs="Times New Roman"/>
        </w:rPr>
        <w:fldChar w:fldCharType="end"/>
      </w:r>
      <w:r w:rsidRPr="00723CEB">
        <w:rPr>
          <w:rFonts w:ascii="Times New Roman" w:hAnsi="Times New Roman" w:cs="Times New Roman"/>
        </w:rPr>
        <w:t xml:space="preserve"> </w:t>
      </w:r>
      <w:r w:rsidRPr="00723CEB">
        <w:rPr>
          <w:rFonts w:ascii="Times New Roman" w:hAnsi="Times New Roman" w:cs="Times New Roman"/>
          <w:i/>
        </w:rPr>
        <w:t xml:space="preserve">State of Biodiversity Mitigation 2017: </w:t>
      </w:r>
      <w:r w:rsidRPr="00723CEB">
        <w:rPr>
          <w:rFonts w:ascii="Times New Roman" w:eastAsia="Times New Roman" w:hAnsi="Times New Roman" w:cs="Times New Roman"/>
          <w:i/>
        </w:rPr>
        <w:t>Markets and Compensation for Global Infrastructure Development</w:t>
      </w:r>
      <w:r w:rsidRPr="00D931F3">
        <w:rPr>
          <w:rFonts w:ascii="Times New Roman" w:eastAsia="Times New Roman" w:hAnsi="Times New Roman" w:cs="Times New Roman"/>
        </w:rPr>
        <w:t>, Washington, Forest Trends, 2017</w:t>
      </w:r>
      <w:r w:rsidRPr="00726F20">
        <w:rPr>
          <w:rFonts w:ascii="Times New Roman" w:hAnsi="Times New Roman" w:cs="Times New Roman"/>
        </w:rPr>
        <w:t>, p4.</w:t>
      </w:r>
    </w:p>
  </w:endnote>
  <w:endnote w:id="7">
    <w:p w14:paraId="29A991ED" w14:textId="6E01C8FF" w:rsidR="006A06DD" w:rsidRPr="00723CEB" w:rsidRDefault="006A06DD" w:rsidP="00092688">
      <w:pPr>
        <w:pStyle w:val="EndnoteText"/>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10.1111/j.1467-8330.2010.00760.x","author":[{"dropping-particle":"","family":"Brockington","given":"Dan","non-dropping-particle":"","parse-names":false,"suffix":""},{"dropping-particle":"","family":"Duffy","given":"Rosaleen","non-dropping-particle":"","parse-names":false,"suffix":""}],"container-title":"Antipode","id":"ITEM-1","issue":"3","issued":{"date-parts":[["2010"]]},"note":"Also comprises the introduction to Brockington and Duffy's edited book 'Capitalism and Conservation'","page":"469-484","title":"Capitalism and Conservation: The Production and Reproduction of Biodiversity Conservation","type":"article-journal","volume":"42"},"uris":["http://www.mendeley.com/documents/?uuid=d052e8b5-cf67-4419-88dd-e013995f85d4"]}],"mendeley":{"formattedCitation":"Dan Brockington and Rosaleen Duffy, “Capitalism and Conservation: The Production and Reproduction of Biodiversity Conservation,” &lt;i&gt;Antipode&lt;/i&gt; 42, no. 3 (2010): 469–84, https://doi.org/10.1111/j.1467-8330.2010.00760.x.","manualFormatting":"Dan Brockington and Rosaleen Duffy, “Capitalism and Conservation: The Production and Reproduction of Biodiversity Conservation,” Antipode 42, 3 (2010): 469–84;  ","plainTextFormattedCitation":"Dan Brockington and Rosaleen Duffy, “Capitalism and Conservation: The Production and Reproduction of Biodiversity Conservation,” Antipode 42, no. 3 (2010): 469–84, https://doi.org/10.1111/j.1467-8330.2010.00760.x.","previouslyFormattedCitation":"Dan Brockington and Rosaleen Duffy, “Capitalism and Conservation: The Production and Reproduction of Biodiversity Conservation,” &lt;i&gt;Antipode&lt;/i&gt; 42, no. 3 (2010): 469–84, https://doi.org/10.1111/j.1467-8330.2010.00760.x."},"properties":{"noteIndex":0},"schema":"https://github.com/citation-style-language/schema/raw/master/csl-citation.json"}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Dan Brockington and Rosaleen Duffy, “Capitalism and Conservation: The Production and Reproduction of Biodiversity Conservation,” </w:t>
      </w:r>
      <w:r w:rsidRPr="00D931F3">
        <w:rPr>
          <w:rFonts w:ascii="Times New Roman" w:hAnsi="Times New Roman" w:cs="Times New Roman"/>
          <w:i/>
          <w:noProof/>
        </w:rPr>
        <w:t>Antipode</w:t>
      </w:r>
      <w:r w:rsidRPr="00726F20">
        <w:rPr>
          <w:rFonts w:ascii="Times New Roman" w:hAnsi="Times New Roman" w:cs="Times New Roman"/>
          <w:noProof/>
        </w:rPr>
        <w:t xml:space="preserve"> 42, 3 (2010): 469–84;  </w:t>
      </w:r>
      <w:r w:rsidRPr="00723CEB">
        <w:rPr>
          <w:rFonts w:ascii="Times New Roman" w:hAnsi="Times New Roman" w:cs="Times New Roman"/>
        </w:rPr>
        <w:fldChar w:fldCharType="end"/>
      </w:r>
      <w:r w:rsidRPr="008542DF">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{"citationItems":[{"id":"ITEM-1","itemData":{"DOI":"10.1523/JNEUROSCI.3283-07.2007","ISBN":"0081-0606","ISSN":"15292401","PMID":"11532364","abstract":"Studies have shown increased risk taking in healthy individuals after low-frequency repetitive transcranial magnetic stimulation, known to transiently suppress cortical excitability, over the right dorsolateral prefrontal cortex (DLPFC). It appears, therefore, plausible that differential modulation of DLPFC activity, increasing the right while decreasing the left, might lead to decreased risk taking, which could hold clinical relevance as excessively risky decision making is observed in clinical populations leading to deleterious consequences. The goal of the present study was to investigate whether risk-taking behaviors could be decreased using concurrent anodal transcranial direct current stimulation (tDCS) of the right DLPFC, which allows upregulation of brain activity, with cathodal tDCS of the left DLPCF, which downregulates activity. Thirty-six healthy volunteers performed the risk task while they received either anodal over the right with cathodal over the left DLPFC, anodal over the left with cathodal over the right DLPFC, or sham stimulation. We hypothesized that right anodal/left cathodal would decrease risk-taking behavior compared with left anodal/right cathodal or sham stimulation. As predicted, during right anodal/left cathodal stimulation over the DLPFC, participants chose more often the safe prospect compared with the other groups. Moreover, these participants appeared to be insensitive to the reward associated with the prospects. These findings support the notion that the interhemispheric balance of activity across the DLPFCs is critical in decision-making behaviors. Most importantly, the observed suppression of risky behaviors suggests that populations with boundless risk-taking behaviors leading to negative real-life consequences, such as individuals with addiction, might benefit from such neuromodulation-based approaches.","author":[{"dropping-particle":"","family":"Smith","given":"Neil","non-dropping-particle":"","parse-names":false,"suffix":""}],"container-title":"Socialist Register","id":"ITEM-1","issued":{"date-parts":[["2007"]]},"page":"1-21","title":"Nature as accumulation strategy","type":"article-journal","volume":"43"},"uris":["http://www.mendeley.com/documents/?uuid=378bd084-7cc5-4c98-8231-1610fdbd91f9"]}],"mendeley":{"formattedCitation":"Neil Smith, “Nature as Accumulation Strategy,” &lt;i&gt;Socialist Register&lt;/i&gt; 43 (2007): 1–21, https://doi.org/10.1523/JNEUROSCI.3283-07.2007.","manualFormatting":"Neil Smith, “Nature as Accumulation Strategy,” Socialist Register 43 (2007): 1–21.","plainTextFormattedCitation":"Neil Smith, “Nature as Accumulation Strategy,” Socialist Register 43 (2007): 1–21, https://doi.org/10.1523/JNEUROSCI.3283-07.2007.","previouslyFormattedCitation":"Neil Smith, “Nature as Accumulation Strategy,” &lt;i&gt;Socialist Register&lt;/i&gt; 43 (2007): 1–21, https://doi.org/10.1523/JNEUROSCI.3283-07.2007."},"properties":{"noteIndex":0},"schema":"https://github.com/citation-style-language/schema/raw/master/csl-citation.json"}</w:instrText>
      </w:r>
      <w:r w:rsidRPr="008542DF">
        <w:rPr>
          <w:rFonts w:ascii="Times New Roman" w:hAnsi="Times New Roman" w:cs="Times New Roman"/>
        </w:rPr>
        <w:fldChar w:fldCharType="separate"/>
      </w:r>
      <w:r w:rsidRPr="00726F20">
        <w:rPr>
          <w:rFonts w:ascii="Times New Roman" w:hAnsi="Times New Roman" w:cs="Times New Roman"/>
          <w:noProof/>
        </w:rPr>
        <w:t xml:space="preserve">Neil Smith, “Nature as Accumulation Strategy,” </w:t>
      </w:r>
      <w:r w:rsidRPr="008542DF">
        <w:rPr>
          <w:rFonts w:ascii="Times New Roman" w:hAnsi="Times New Roman" w:cs="Times New Roman"/>
          <w:i/>
          <w:noProof/>
        </w:rPr>
        <w:t>Socialist Register</w:t>
      </w:r>
      <w:r w:rsidRPr="008542DF">
        <w:rPr>
          <w:rFonts w:ascii="Times New Roman" w:hAnsi="Times New Roman" w:cs="Times New Roman"/>
          <w:noProof/>
        </w:rPr>
        <w:t xml:space="preserve"> 43 (2007): 1–21.</w:t>
      </w:r>
      <w:r w:rsidRPr="008542DF">
        <w:rPr>
          <w:rFonts w:ascii="Times New Roman" w:hAnsi="Times New Roman" w:cs="Times New Roman"/>
        </w:rPr>
        <w:fldChar w:fldCharType="end"/>
      </w:r>
    </w:p>
  </w:endnote>
  <w:endnote w:id="8">
    <w:p w14:paraId="579DD75A" w14:textId="4B786F00" w:rsidR="006A06DD" w:rsidRPr="00DF5C18" w:rsidRDefault="006A06DD" w:rsidP="00D65582">
      <w:pPr>
        <w:pStyle w:val="NormalWeb"/>
        <w:rPr>
          <w:rFonts w:ascii="Times New Roman" w:hAnsi="Times New Roman"/>
        </w:rPr>
      </w:pPr>
      <w:r w:rsidRPr="00723CEB">
        <w:rPr>
          <w:rStyle w:val="EndnoteReference"/>
          <w:rFonts w:ascii="Times New Roman" w:hAnsi="Times New Roman"/>
        </w:rPr>
        <w:endnoteRef/>
      </w:r>
      <w:r w:rsidRPr="00723CEB">
        <w:rPr>
          <w:rFonts w:ascii="Times New Roman" w:hAnsi="Times New Roman"/>
        </w:rPr>
        <w:t xml:space="preserve"> Dick Bryan and Michael Rafferty, “Financial Derivatives as Social Policy beyond Crisis,” </w:t>
      </w:r>
      <w:r w:rsidRPr="00723CEB">
        <w:rPr>
          <w:rFonts w:ascii="Times New Roman" w:hAnsi="Times New Roman"/>
          <w:i/>
          <w:iCs/>
        </w:rPr>
        <w:t>Sociology</w:t>
      </w:r>
      <w:r w:rsidRPr="00723CEB">
        <w:rPr>
          <w:rFonts w:ascii="Times New Roman" w:hAnsi="Times New Roman"/>
        </w:rPr>
        <w:t xml:space="preserve">, 48, 5, (2014), 887–903; Randy Martin, “A Precarious Dance, a Derivative Sociality.” </w:t>
      </w:r>
      <w:r w:rsidRPr="00D931F3">
        <w:rPr>
          <w:rFonts w:ascii="Times New Roman" w:hAnsi="Times New Roman"/>
          <w:i/>
          <w:iCs/>
        </w:rPr>
        <w:t>TDR: The Drama Review</w:t>
      </w:r>
      <w:r w:rsidRPr="00726F20">
        <w:rPr>
          <w:rFonts w:ascii="Times New Roman" w:hAnsi="Times New Roman"/>
        </w:rPr>
        <w:t xml:space="preserve">, 4, 56 (2012), 62–77; Randy Martin, </w:t>
      </w:r>
      <w:r w:rsidRPr="008542DF">
        <w:rPr>
          <w:rFonts w:ascii="Times New Roman" w:hAnsi="Times New Roman"/>
          <w:i/>
          <w:iCs/>
        </w:rPr>
        <w:t>Knowledge LTD : Toward a Social Logic of the Derivative</w:t>
      </w:r>
      <w:r w:rsidRPr="008542DF">
        <w:rPr>
          <w:rFonts w:ascii="Times New Roman" w:hAnsi="Times New Roman"/>
        </w:rPr>
        <w:t>, Philadelphia, Temple University Press, 2015; Michelle T</w:t>
      </w:r>
      <w:r w:rsidRPr="00DF5C18">
        <w:rPr>
          <w:rFonts w:ascii="Times New Roman" w:hAnsi="Times New Roman"/>
        </w:rPr>
        <w:t xml:space="preserve">y, “Austerity and the Speculative Logic of Derivatives,” </w:t>
      </w:r>
      <w:proofErr w:type="spellStart"/>
      <w:r w:rsidRPr="00DF5C18">
        <w:rPr>
          <w:rFonts w:ascii="Times New Roman" w:hAnsi="Times New Roman"/>
          <w:i/>
          <w:iCs/>
        </w:rPr>
        <w:t>Symploke</w:t>
      </w:r>
      <w:proofErr w:type="spellEnd"/>
      <w:r w:rsidRPr="00DF5C18">
        <w:rPr>
          <w:rFonts w:ascii="Times New Roman" w:hAnsi="Times New Roman"/>
        </w:rPr>
        <w:t>, 22, 1–2 (2017), 133–48.</w:t>
      </w:r>
    </w:p>
  </w:endnote>
  <w:endnote w:id="9">
    <w:p w14:paraId="465597B2" w14:textId="03111CA1" w:rsidR="006A06DD" w:rsidRPr="00723CEB" w:rsidRDefault="006A06DD" w:rsidP="00137CE9">
      <w:pPr>
        <w:pStyle w:val="EndnoteText"/>
        <w:spacing w:after="240"/>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{"citationItems":[{"id":"ITEM-1","itemData":{"DOI":"10.1016/j.geoforum.2017.05.013","ISBN":"00167185 (ISSN)","ISSN":"00167185","abstract":"In this paper, by drawing on primary empirical data obtained through 62 interviews in seven case studies we seek to offer a Marxist historical-geographical analysis of biodiversity offsetting policy in England, and its emergence in the context of the global economic crisis, and government aspirations for large-scale urban development projects. By paying attention to the interplay between offsetting, urbanization and the neoliberal reconstruction of conservation, we aim to extend the focus of the neoliberal conservation literature from the role of offsets as ecological 'commodities' to the way offsetting is used to support the production of space(s), place(s) and nature(s) in line with contemporary patterns of capitalist urban growth. In particular, we show how offsetting operationalized new ideas about nature as a stock of biodiversity, how it streamlined planning to support extended urbanization, how it foreclosed public debate about controversial urban development projects, and how it reterritorialized nature-society relationships. We also give a central role to social contestation against the implementation of offsetting in England, drawing attention to its class character and highlighting the potential for a new emancipatory politics that would encompass a 'right to nature' as a key element of struggles for the 'right to the city'.","author":[{"dropping-particle":"","family":"Apostolopoulou","given":"Evangelia","non-dropping-particle":"","parse-names":false,"suffix":""},{"dropping-particle":"","family":"Adams","given":"William M.","non-dropping-particle":"","parse-names":false,"suffix":""}],"container-title":"Geoforum","id":"ITEM-1","issue":"December 2016","issued":{"date-parts":[["2016"]]},"title":"Cutting nature to fit: Urbanization, neoliberalism and biodiversity offsetting in England","type":"article-journal"},"uris":["http://www.mendeley.com/documents/?uuid=ee4328a7-cfdb-4439-9e70-bb99d57100b4"]}],"mendeley":{"formattedCitation":"Evangelia Apostolopoulou and William M. Adams, “Cutting Nature to Fit: Urbanization, Neoliberalism and Biodiversity Offsetting in England,” &lt;i&gt;Geoforum&lt;/i&gt;, no. December 2016 (2016), https://doi.org/10.1016/j.geoforum.2017.05.013.","manualFormatting":"Evangelia Apostolopoulou and William M. Adams, “Cutting Nature to Fit: Urbanization, Neoliberalism and Biodiversity Offsetting in England,” Geoforum, 98 (2019), 214-225. ","plainTextFormattedCitation":"Evangelia Apostolopoulou and William M. Adams, “Cutting Nature to Fit: Urbanization, Neoliberalism and Biodiversity Offsetting in England,” Geoforum, no. December 2016 (2016), https://doi.org/10.1016/j.geoforum.2017.05.013.","previouslyFormattedCitation":"Evangelia Apostolopoulou and William M. Adams, “Cutting Nature to Fit: Urbanization, Neoliberalism and Biodiversity Offsetting in England,” &lt;i&gt;Geoforum&lt;/i&gt;, no. December 2016 (2016), https://doi.org/10.1016/j.geoforum.2017.05.013."},"properties":{"noteIndex":0},"schema":"https://github.com/citation-style-language/schema/raw/master/csl-citation.json"}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Evangelia Apostolopoulou and William M. Adams, “Cutting Nature to Fit: Urbanization, Neoliberalism and Biodiversity Offsetting in England,” </w:t>
      </w:r>
      <w:r w:rsidRPr="00723CEB">
        <w:rPr>
          <w:rFonts w:ascii="Times New Roman" w:hAnsi="Times New Roman" w:cs="Times New Roman"/>
          <w:i/>
          <w:noProof/>
        </w:rPr>
        <w:t>Geoforum</w:t>
      </w:r>
      <w:r w:rsidRPr="00D931F3">
        <w:rPr>
          <w:rFonts w:ascii="Times New Roman" w:hAnsi="Times New Roman" w:cs="Times New Roman"/>
          <w:noProof/>
        </w:rPr>
        <w:t xml:space="preserve">, 98 </w:t>
      </w:r>
      <w:r w:rsidRPr="00726F20">
        <w:rPr>
          <w:rFonts w:ascii="Times New Roman" w:hAnsi="Times New Roman" w:cs="Times New Roman"/>
          <w:noProof/>
        </w:rPr>
        <w:t xml:space="preserve">(2019), </w:t>
      </w:r>
      <w:r w:rsidRPr="00726F20">
        <w:rPr>
          <w:rFonts w:ascii="Times New Roman" w:eastAsia="Times New Roman" w:hAnsi="Times New Roman" w:cs="Times New Roman"/>
          <w:noProof/>
        </w:rPr>
        <w:t>214-225.</w:t>
      </w:r>
      <w:r w:rsidRPr="007C5E3B">
        <w:rPr>
          <w:rFonts w:ascii="Times New Roman" w:hAnsi="Times New Roman" w:cs="Times New Roman"/>
          <w:noProof/>
        </w:rPr>
        <w:t xml:space="preserve"> </w:t>
      </w:r>
      <w:r w:rsidRPr="00723CEB">
        <w:rPr>
          <w:rFonts w:ascii="Times New Roman" w:hAnsi="Times New Roman" w:cs="Times New Roman"/>
        </w:rPr>
        <w:fldChar w:fldCharType="end"/>
      </w:r>
    </w:p>
  </w:endnote>
  <w:endnote w:id="10">
    <w:p w14:paraId="3B7E8FBF" w14:textId="183B7B22" w:rsidR="006A06DD" w:rsidRPr="00726F20" w:rsidRDefault="006A06DD" w:rsidP="00A62D52">
      <w:pPr>
        <w:pStyle w:val="EndnoteText"/>
        <w:spacing w:after="240"/>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See: Morgan Robertson, “Measurement and Alienation: Making a World of Ecosystem Services,” </w:t>
      </w:r>
      <w:r w:rsidRPr="00723CEB">
        <w:rPr>
          <w:rFonts w:ascii="Times New Roman" w:hAnsi="Times New Roman" w:cs="Times New Roman"/>
          <w:i/>
          <w:iCs/>
        </w:rPr>
        <w:t>Transactions of the Institute of British Geographers</w:t>
      </w:r>
      <w:r w:rsidRPr="00D931F3">
        <w:rPr>
          <w:rFonts w:ascii="Times New Roman" w:hAnsi="Times New Roman" w:cs="Times New Roman"/>
        </w:rPr>
        <w:t>, 37, 3 (2012), 386–401.</w:t>
      </w:r>
    </w:p>
  </w:endnote>
  <w:endnote w:id="11">
    <w:p w14:paraId="293AE4D2" w14:textId="2F88BD84" w:rsidR="006A06DD" w:rsidRPr="00D931F3" w:rsidRDefault="006A06DD" w:rsidP="00A62D52">
      <w:pPr>
        <w:pStyle w:val="EndnoteText"/>
        <w:spacing w:after="240"/>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proofErr w:type="spellStart"/>
      <w:r w:rsidRPr="00723CEB">
        <w:rPr>
          <w:rFonts w:ascii="Times New Roman" w:hAnsi="Times New Roman" w:cs="Times New Roman"/>
        </w:rPr>
        <w:t>Apostolopoulou</w:t>
      </w:r>
      <w:proofErr w:type="spellEnd"/>
      <w:r w:rsidRPr="00723CEB">
        <w:rPr>
          <w:rFonts w:ascii="Times New Roman" w:hAnsi="Times New Roman" w:cs="Times New Roman"/>
        </w:rPr>
        <w:t xml:space="preserve"> and Adams, 2019, op cit., 25.</w:t>
      </w:r>
    </w:p>
  </w:endnote>
  <w:endnote w:id="12">
    <w:p w14:paraId="28DB8540" w14:textId="71B78512" w:rsidR="006A06DD" w:rsidRPr="00D931F3" w:rsidRDefault="006A06DD" w:rsidP="00A62D52">
      <w:pPr>
        <w:pStyle w:val="EndnoteText"/>
        <w:spacing w:after="240"/>
        <w:rPr>
          <w:rFonts w:ascii="Times New Roman" w:hAnsi="Times New Roman" w:cs="Times New Roman"/>
          <w:lang w:val="nb-NO"/>
        </w:rPr>
      </w:pPr>
      <w:r w:rsidRPr="00723CEB">
        <w:rPr>
          <w:rStyle w:val="EndnoteReference"/>
          <w:rFonts w:ascii="Times New Roman" w:hAnsi="Times New Roman" w:cs="Times New Roman"/>
        </w:rPr>
        <w:endnoteRef/>
      </w:r>
      <w:r w:rsidRPr="00723CEB">
        <w:rPr>
          <w:rFonts w:ascii="Times New Roman" w:hAnsi="Times New Roman" w:cs="Times New Roman"/>
        </w:rPr>
        <w:t xml:space="preserve"> Evangelina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Apostolopoulou","given":"Evangelia","non-dropping-particle":"","parse-names":false,"suffix":""},{"dropping-particle":"","family":"Greco","given":"Elisa","non-dropping-particle":"","parse-names":false,"suffix":""},{"dropping-particle":"","family":"Adams","given":"William M","non-dropping-particle":"","parse-names":false,"suffix":""}],"container-title":"ACME","id":"ITEM-1","issue":"3","issued":{"date-parts":[["2018"]]},"page":"861-892","title":"Biodiversity Offsetting and the Production of ‘ Equivalent Natures ’: A Marxist Critique","type":"article-journal","volume":"17"},"uris":["http://www.mendeley.com/documents/?uuid=c6ca93cf-9cb6-45c9-b7b8-5cb3ce8f47eb"]}],"mendeley":{"formattedCitation":"Apostolopoulou, Greco, and Adams, “Biodiversity Offsetting and the Production of ‘ Equivalent Natures ’: A Marxist Critique.”","manualFormatting":"Apostolopoulou, Elisa Greco, and William Adams, “Biodiversity Offsetting and the Production of ‘ Equivalent Natures ’: A Marxist Critique.”","plainTextFormattedCitation":"Apostolopoulou, Greco, and Adams, “Biodiversity Offsetting and the Production of ‘ Equivalent Natures ’: A Marxist Critique.”","previouslyFormattedCitation":"Apostolopoulou, Greco, and Adams, “Biodiversity Offsetting and the Production of ‘ Equivalent Natures ’: A Marxist Critique.”"},"properties":{"noteIndex":0},"schema":"https://github.com/citation-style-language/schema/raw/master/csl-citation.json"}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Apostolopoulou, Elisa Greco, and William Adams, “Biodiversity Offsetting and the Production of ‘ Equivalent Natures ’: A Marxist Critique.”</w:t>
      </w:r>
      <w:r w:rsidRPr="00723CEB">
        <w:rPr>
          <w:rFonts w:ascii="Times New Roman" w:hAnsi="Times New Roman" w:cs="Times New Roman"/>
        </w:rPr>
        <w:fldChar w:fldCharType="end"/>
      </w:r>
      <w:r w:rsidRPr="00723CEB">
        <w:rPr>
          <w:rFonts w:ascii="Times New Roman" w:hAnsi="Times New Roman" w:cs="Times New Roman"/>
        </w:rPr>
        <w:t xml:space="preserve"> </w:t>
      </w:r>
      <w:r w:rsidRPr="00723CEB">
        <w:rPr>
          <w:rFonts w:ascii="Times New Roman" w:hAnsi="Times New Roman" w:cs="Times New Roman"/>
          <w:i/>
          <w:lang w:val="nb-NO"/>
        </w:rPr>
        <w:t xml:space="preserve">ACME </w:t>
      </w:r>
      <w:r w:rsidRPr="00723CEB">
        <w:rPr>
          <w:rFonts w:ascii="Times New Roman" w:hAnsi="Times New Roman" w:cs="Times New Roman"/>
          <w:lang w:val="nb-NO"/>
        </w:rPr>
        <w:t>17, 3 (2018): 877.</w:t>
      </w:r>
    </w:p>
  </w:endnote>
  <w:endnote w:id="13">
    <w:p w14:paraId="33BFDCB8" w14:textId="2832033D" w:rsidR="006A06DD" w:rsidRPr="0096516F" w:rsidRDefault="006A06DD" w:rsidP="0096516F">
      <w:pPr>
        <w:pStyle w:val="EndnoteText"/>
        <w:spacing w:after="240"/>
        <w:rPr>
          <w:rFonts w:ascii="Times New Roman" w:hAnsi="Times New Roman" w:cs="Times New Roman"/>
        </w:rPr>
      </w:pPr>
      <w:r w:rsidRPr="0096516F">
        <w:rPr>
          <w:rStyle w:val="EndnoteReference"/>
          <w:rFonts w:ascii="Times New Roman" w:hAnsi="Times New Roman" w:cs="Times New Roman"/>
        </w:rPr>
        <w:endnoteRef/>
      </w:r>
      <w:r w:rsidRPr="0096516F">
        <w:rPr>
          <w:rFonts w:ascii="Times New Roman" w:hAnsi="Times New Roman" w:cs="Times New Roman"/>
        </w:rPr>
        <w:t xml:space="preserve"> Julia </w:t>
      </w:r>
      <w:proofErr w:type="spellStart"/>
      <w:r w:rsidRPr="0096516F">
        <w:rPr>
          <w:rFonts w:ascii="Times New Roman" w:hAnsi="Times New Roman" w:cs="Times New Roman"/>
        </w:rPr>
        <w:t>Dehm</w:t>
      </w:r>
      <w:proofErr w:type="spellEnd"/>
      <w:r w:rsidRPr="0096516F">
        <w:rPr>
          <w:rFonts w:ascii="Times New Roman" w:hAnsi="Times New Roman" w:cs="Times New Roman"/>
        </w:rPr>
        <w:t xml:space="preserve">, “Authorizing </w:t>
      </w:r>
      <w:proofErr w:type="gramStart"/>
      <w:r w:rsidRPr="0096516F">
        <w:rPr>
          <w:rFonts w:ascii="Times New Roman" w:hAnsi="Times New Roman" w:cs="Times New Roman"/>
        </w:rPr>
        <w:t>Appropriation?:</w:t>
      </w:r>
      <w:proofErr w:type="gramEnd"/>
      <w:r w:rsidRPr="0096516F">
        <w:rPr>
          <w:rFonts w:ascii="Times New Roman" w:hAnsi="Times New Roman" w:cs="Times New Roman"/>
        </w:rPr>
        <w:t xml:space="preserve"> Law in Contested Forested Spaces,” </w:t>
      </w:r>
      <w:r w:rsidRPr="0096516F">
        <w:rPr>
          <w:rFonts w:ascii="Times New Roman" w:hAnsi="Times New Roman" w:cs="Times New Roman"/>
          <w:i/>
          <w:iCs/>
        </w:rPr>
        <w:t>European Journal of International Law</w:t>
      </w:r>
      <w:r w:rsidRPr="0096516F">
        <w:rPr>
          <w:rFonts w:ascii="Times New Roman" w:hAnsi="Times New Roman" w:cs="Times New Roman"/>
        </w:rPr>
        <w:t>, 28, 4, (2017), 1379–1396.</w:t>
      </w:r>
    </w:p>
  </w:endnote>
  <w:endnote w:id="14">
    <w:p w14:paraId="391E46F8" w14:textId="590F54B5" w:rsidR="006A06DD" w:rsidRPr="00723CEB" w:rsidRDefault="006A06DD" w:rsidP="00A62D52">
      <w:pPr>
        <w:pStyle w:val="EndnoteText"/>
        <w:spacing w:after="240"/>
        <w:rPr>
          <w:rFonts w:ascii="Times New Roman" w:hAnsi="Times New Roman" w:cs="Times New Roman"/>
          <w:lang w:val="nb-NO"/>
        </w:rPr>
      </w:pPr>
      <w:r w:rsidRPr="00723CEB">
        <w:rPr>
          <w:rStyle w:val="EndnoteReference"/>
          <w:rFonts w:ascii="Times New Roman" w:hAnsi="Times New Roman" w:cs="Times New Roman"/>
        </w:rPr>
        <w:endnoteRef/>
      </w:r>
      <w:r w:rsidRPr="00723CEB">
        <w:rPr>
          <w:rFonts w:ascii="Times New Roman" w:hAnsi="Times New Roman" w:cs="Times New Roman"/>
          <w:lang w:val="nb-NO"/>
        </w:rPr>
        <w:t xml:space="preserve"> Smith, </w:t>
      </w:r>
      <w:r w:rsidRPr="00723CEB">
        <w:rPr>
          <w:rFonts w:ascii="Times New Roman" w:hAnsi="Times New Roman" w:cs="Times New Roman"/>
        </w:rPr>
        <w:fldChar w:fldCharType="begin" w:fldLock="1"/>
      </w:r>
      <w:r w:rsidR="008E50D4">
        <w:rPr>
          <w:rFonts w:ascii="Times New Roman" w:hAnsi="Times New Roman" w:cs="Times New Roman"/>
          <w:lang w:val="nb-NO"/>
        </w:rPr>
        <w:instrText>ADDIN CSL_CITATION {"citationItems":[{"id":"ITEM-1","itemData":{"DOI":"10.1523/JNEUROSCI.3283-07.2007","ISBN":"0081-0606","ISSN":"15292401","PMID":"11532364","abstract":"Studies have shown increased risk taking in healthy individuals after low-frequency repetitive transcranial magnetic stimulation, known to transiently suppress cortical excitability, over the right dorsolateral prefrontal cortex (DLPFC). It appears, therefore, plausible that differential modulation of DLPFC activity, increasing the right while decreasing the left, might lead to decreased risk taking, which could hold clinical relevance as excessively risky decision making is observed in clinical populations leading to deleterious consequences. The goal of the present study was to investigate whether risk-taking behaviors could be decreased using concurrent anodal transcranial direct current stimulation (tDCS) of the right DLPFC, which allows upregulation of brain activity, with cathodal tDCS of the left DLPCF, which downregulates activity. Thirty-six healthy volunteers performed the risk task while they received either anodal over the right with cathodal over the left DLPFC, anodal over the left with cathodal over the right DLPFC, or sham stimulation. We hypothesized that right anodal/left cathodal would decrease risk-taking behavior compared with left anodal/right cathodal or sham stimulation. As predicted, during right anodal/left cathodal stimulation over the DLPFC, participants chose more often the safe prospect compared with the other groups. Moreover, these participants appeared to be insensitive to the reward associated with the prospects. These findings support the notion that the interhemispheric balance of activity across the DLPFCs is critical in decision-making behaviors. Most importantly, the observed suppression of risky behaviors suggests that populations with boundless risk-taking behaviors leading to negative real-life consequences, such as individuals with addiction, might benefit from such neuromodulation-based approaches.","author":[{"dropping-particle":"","family":"Smith","given":"Neil","non-dropping-particle":"","parse-names":false,"suffix":""}],"container-title":"Socialist Register","id":"ITEM-1","issued":{"date-parts":[["2007"]]},"page":"1-21","title":"Nature as accumulation strategy","type":"article-journal","volume":"43"},"locator":"28-29","suppress-author":1,"uris":["http://www.mendeley.com/documents/?uuid=7874083e-bf2f-4430-a383-a2ec2730218a"]}],"mendeley":{"formattedCitation":"“Nature as Accumulation Strategy,” &lt;i&gt;Socialist Register&lt;/i&gt; 43 (2007): 28–29, https://doi.org/10.1523/JNEUROSCI.3283-07.2007.","manualFormatting":"“Nature as Accumulation Strategy,” Socialist Register 43 (2007): 28–29.","plainTextFormattedCitation":"“Nature as Accumulation Strategy,” Socialist Register 43 (2007): 28–29, https://doi.org/10.1523/JNEUROSCI.3283-07.2007.","previouslyFormattedCitation":"“Nature as Accumulation Strategy,” &lt;i&gt;Socialist Register&lt;/i&gt; 43 (2007): 28–29, https://doi.org/10.1523/JNEUROSCI.3283-07.2007."},"properties":{"noteIndex":0},"schema":"https://github.com/citation-style-language/schema/raw/master/csl-citation.json"}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lang w:val="nb-NO"/>
        </w:rPr>
        <w:t xml:space="preserve">“Nature as Accumulation Strategy,” </w:t>
      </w:r>
      <w:r w:rsidRPr="00723CEB">
        <w:rPr>
          <w:rFonts w:ascii="Times New Roman" w:hAnsi="Times New Roman" w:cs="Times New Roman"/>
          <w:i/>
          <w:noProof/>
          <w:lang w:val="nb-NO"/>
        </w:rPr>
        <w:t>Socialist Register</w:t>
      </w:r>
      <w:r w:rsidRPr="00D931F3">
        <w:rPr>
          <w:rFonts w:ascii="Times New Roman" w:hAnsi="Times New Roman" w:cs="Times New Roman"/>
          <w:noProof/>
          <w:lang w:val="nb-NO"/>
        </w:rPr>
        <w:t xml:space="preserve"> 43 (2007): 28–29.</w:t>
      </w:r>
      <w:r w:rsidRPr="00723CEB">
        <w:rPr>
          <w:rFonts w:ascii="Times New Roman" w:hAnsi="Times New Roman" w:cs="Times New Roman"/>
        </w:rPr>
        <w:fldChar w:fldCharType="end"/>
      </w:r>
    </w:p>
  </w:endnote>
  <w:endnote w:id="15">
    <w:p w14:paraId="23F0872E" w14:textId="0FF04B41" w:rsidR="006A06DD" w:rsidRPr="00723CEB" w:rsidRDefault="006A06DD">
      <w:pPr>
        <w:pStyle w:val="EndnoteText"/>
        <w:rPr>
          <w:rFonts w:ascii="Times New Roman" w:hAnsi="Times New Roman" w:cs="Times New Roman"/>
          <w:lang w:val="nb-NO"/>
        </w:rPr>
      </w:pPr>
      <w:r w:rsidRPr="00723CEB">
        <w:rPr>
          <w:rStyle w:val="EndnoteReference"/>
          <w:rFonts w:ascii="Times New Roman" w:hAnsi="Times New Roman" w:cs="Times New Roman"/>
        </w:rPr>
        <w:endnoteRef/>
      </w:r>
      <w:r w:rsidRPr="00723CEB">
        <w:rPr>
          <w:rFonts w:ascii="Times New Roman" w:hAnsi="Times New Roman" w:cs="Times New Roman"/>
          <w:lang w:val="nb-NO"/>
        </w:rPr>
        <w:t xml:space="preserve"> </w:t>
      </w:r>
      <w:r w:rsidRPr="00723CEB">
        <w:rPr>
          <w:rFonts w:ascii="Times New Roman" w:hAnsi="Times New Roman" w:cs="Times New Roman"/>
        </w:rPr>
        <w:fldChar w:fldCharType="begin" w:fldLock="1"/>
      </w:r>
      <w:r w:rsidR="008E50D4">
        <w:rPr>
          <w:rFonts w:ascii="Times New Roman" w:hAnsi="Times New Roman" w:cs="Times New Roman"/>
          <w:lang w:val="nb-NO"/>
        </w:rPr>
        <w:instrText>ADDIN CSL_CITATION {"citationItems":[{"id":"ITEM-1","itemData":{"DOI":"10.1523/JNEUROSCI.3283-07.2007","ISBN":"0081-0606","ISSN":"15292401","PMID":"11532364","abstract":"Studies have shown increased risk taking in healthy individuals after low-frequency repetitive transcranial magnetic stimulation, known to transiently suppress cortical excitability, over the right dorsolateral prefrontal cortex (DLPFC). It appears, therefore, plausible that differential modulation of DLPFC activity, increasing the right while decreasing the left, might lead to decreased risk taking, which could hold clinical relevance as excessively risky decision making is observed in clinical populations leading to deleterious consequences. The goal of the present study was to investigate whether risk-taking behaviors could be decreased using concurrent anodal transcranial direct current stimulation (tDCS) of the right DLPFC, which allows upregulation of brain activity, with cathodal tDCS of the left DLPCF, which downregulates activity. Thirty-six healthy volunteers performed the risk task while they received either anodal over the right with cathodal over the left DLPFC, anodal over the left with cathodal over the right DLPFC, or sham stimulation. We hypothesized that right anodal/left cathodal would decrease risk-taking behavior compared with left anodal/right cathodal or sham stimulation. As predicted, during right anodal/left cathodal stimulation over the DLPFC, participants chose more often the safe prospect compared with the other groups. Moreover, these participants appeared to be insensitive to the reward associated with the prospects. These findings support the notion that the interhemispheric balance of activity across the DLPFCs is critical in decision-making behaviors. Most importantly, the observed suppression of risky behaviors suggests that populations with boundless risk-taking behaviors leading to negative real-life consequences, such as individuals with addiction, might benefit from such neuromodulation-based approaches.","author":[{"dropping-particle":"","family":"Smith","given":"Neil","non-dropping-particle":"","parse-names":false,"suffix":""}],"container-title":"Socialist Register","id":"ITEM-1","issued":{"date-parts":[["2007"]]},"page":"1-21","title":"Nature as accumulation strategy","type":"article-journal","volume":"43"},"locator":"33","uris":["http://www.mendeley.com/documents/?uuid=7874083e-bf2f-4430-a383-a2ec2730218a"]}],"mendeley":{"formattedCitation":"Smith, 33.","manualFormatting":"Ibid., 33.","plainTextFormattedCitation":"Smith, 33.","previouslyFormattedCitation":"Smith, 33."},"properties":{"noteIndex":0},"schema":"https://github.com/citation-style-language/schema/raw/master/csl-citation.json"}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lang w:val="nb-NO"/>
        </w:rPr>
        <w:t>Ibid., 33.</w:t>
      </w:r>
      <w:r w:rsidRPr="00723CEB">
        <w:rPr>
          <w:rFonts w:ascii="Times New Roman" w:hAnsi="Times New Roman" w:cs="Times New Roman"/>
        </w:rPr>
        <w:fldChar w:fldCharType="end"/>
      </w:r>
    </w:p>
    <w:p w14:paraId="60554CCC" w14:textId="77777777" w:rsidR="006A06DD" w:rsidRPr="00723CEB" w:rsidRDefault="006A06DD">
      <w:pPr>
        <w:pStyle w:val="EndnoteText"/>
        <w:rPr>
          <w:rFonts w:ascii="Times New Roman" w:hAnsi="Times New Roman" w:cs="Times New Roman"/>
          <w:lang w:val="nb-NO"/>
        </w:rPr>
      </w:pPr>
    </w:p>
  </w:endnote>
  <w:endnote w:id="16">
    <w:p w14:paraId="5BF29300" w14:textId="664E536B" w:rsidR="006A06DD" w:rsidRDefault="006A06DD" w:rsidP="008257AA">
      <w:pPr>
        <w:pStyle w:val="EndnoteText"/>
        <w:rPr>
          <w:rFonts w:ascii="Times New Roman" w:hAnsi="Times New Roman" w:cs="Times New Roman"/>
          <w:lang w:val="nb-NO"/>
        </w:rPr>
      </w:pPr>
      <w:r w:rsidRPr="00723CEB">
        <w:rPr>
          <w:rStyle w:val="EndnoteReference"/>
          <w:rFonts w:ascii="Times New Roman" w:hAnsi="Times New Roman" w:cs="Times New Roman"/>
        </w:rPr>
        <w:endnoteRef/>
      </w:r>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Such</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positioning</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of</w:t>
      </w:r>
      <w:proofErr w:type="spellEnd"/>
      <w:r w:rsidRPr="00723CEB">
        <w:rPr>
          <w:rFonts w:ascii="Times New Roman" w:hAnsi="Times New Roman" w:cs="Times New Roman"/>
          <w:lang w:val="nb-NO"/>
        </w:rPr>
        <w:t xml:space="preserve"> nature as </w:t>
      </w:r>
      <w:proofErr w:type="spellStart"/>
      <w:r w:rsidRPr="00723CEB">
        <w:rPr>
          <w:rFonts w:ascii="Times New Roman" w:hAnsi="Times New Roman" w:cs="Times New Roman"/>
          <w:lang w:val="nb-NO"/>
        </w:rPr>
        <w:t>external</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echoes</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discourses</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of</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rewilding</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which</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until</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recently</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figure</w:t>
      </w:r>
      <w:proofErr w:type="spellEnd"/>
      <w:r w:rsidRPr="00723CEB">
        <w:rPr>
          <w:rFonts w:ascii="Times New Roman" w:hAnsi="Times New Roman" w:cs="Times New Roman"/>
          <w:lang w:val="nb-NO"/>
        </w:rPr>
        <w:t xml:space="preserve"> nature as an </w:t>
      </w:r>
      <w:proofErr w:type="spellStart"/>
      <w:r w:rsidRPr="00723CEB">
        <w:rPr>
          <w:rFonts w:ascii="Times New Roman" w:hAnsi="Times New Roman" w:cs="Times New Roman"/>
          <w:lang w:val="nb-NO"/>
        </w:rPr>
        <w:t>outside</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relatively</w:t>
      </w:r>
      <w:proofErr w:type="spellEnd"/>
      <w:r w:rsidRPr="00723CEB">
        <w:rPr>
          <w:rFonts w:ascii="Times New Roman" w:hAnsi="Times New Roman" w:cs="Times New Roman"/>
          <w:lang w:val="nb-NO"/>
        </w:rPr>
        <w:t xml:space="preserve"> </w:t>
      </w:r>
      <w:proofErr w:type="spellStart"/>
      <w:r w:rsidRPr="00723CEB">
        <w:rPr>
          <w:rFonts w:ascii="Times New Roman" w:hAnsi="Times New Roman" w:cs="Times New Roman"/>
          <w:lang w:val="nb-NO"/>
        </w:rPr>
        <w:t>untouched</w:t>
      </w:r>
      <w:proofErr w:type="spellEnd"/>
      <w:r w:rsidRPr="00723CEB">
        <w:rPr>
          <w:rFonts w:ascii="Times New Roman" w:hAnsi="Times New Roman" w:cs="Times New Roman"/>
          <w:lang w:val="nb-NO"/>
        </w:rPr>
        <w:t xml:space="preserve"> by human </w:t>
      </w:r>
      <w:proofErr w:type="spellStart"/>
      <w:r w:rsidRPr="00723CEB">
        <w:rPr>
          <w:rFonts w:ascii="Times New Roman" w:hAnsi="Times New Roman" w:cs="Times New Roman"/>
          <w:lang w:val="nb-NO"/>
        </w:rPr>
        <w:t>influence</w:t>
      </w:r>
      <w:proofErr w:type="spellEnd"/>
      <w:r w:rsidRPr="00723CEB">
        <w:rPr>
          <w:rFonts w:ascii="Times New Roman" w:hAnsi="Times New Roman" w:cs="Times New Roman"/>
          <w:lang w:val="nb-NO"/>
        </w:rPr>
        <w:t xml:space="preserve">. </w:t>
      </w:r>
    </w:p>
    <w:p w14:paraId="1DCAF2AE" w14:textId="77777777" w:rsidR="006A06DD" w:rsidRPr="00723CEB" w:rsidRDefault="006A06DD" w:rsidP="008257AA">
      <w:pPr>
        <w:pStyle w:val="EndnoteText"/>
        <w:rPr>
          <w:rFonts w:ascii="Times New Roman" w:hAnsi="Times New Roman" w:cs="Times New Roman"/>
          <w:lang w:val="nb-NO"/>
        </w:rPr>
      </w:pPr>
    </w:p>
  </w:endnote>
  <w:endnote w:id="17">
    <w:p w14:paraId="2934351D" w14:textId="4F14CCC0" w:rsidR="006A06DD" w:rsidRPr="006A06DD" w:rsidRDefault="006A06DD" w:rsidP="006A06DD">
      <w:pPr>
        <w:pStyle w:val="CommentText"/>
        <w:rPr>
          <w:rFonts w:ascii="Times New Roman" w:eastAsia="Times New Roman" w:hAnsi="Times New Roman" w:cs="Times New Roman"/>
        </w:rPr>
      </w:pPr>
      <w:r w:rsidRPr="006A06DD">
        <w:rPr>
          <w:rStyle w:val="EndnoteReference"/>
          <w:rFonts w:ascii="Times New Roman" w:hAnsi="Times New Roman" w:cs="Times New Roman"/>
          <w:sz w:val="20"/>
          <w:szCs w:val="20"/>
        </w:rPr>
        <w:endnoteRef/>
      </w:r>
      <w:r w:rsidRPr="006A06DD">
        <w:rPr>
          <w:rFonts w:ascii="Times New Roman" w:hAnsi="Times New Roman" w:cs="Times New Roman"/>
          <w:sz w:val="20"/>
          <w:szCs w:val="20"/>
        </w:rPr>
        <w:t xml:space="preserve"> Perhaps the most vocal opponent of </w:t>
      </w:r>
      <w:r>
        <w:rPr>
          <w:rFonts w:ascii="Times New Roman" w:hAnsi="Times New Roman" w:cs="Times New Roman"/>
          <w:sz w:val="20"/>
          <w:szCs w:val="20"/>
        </w:rPr>
        <w:t xml:space="preserve">this approach </w:t>
      </w:r>
      <w:r w:rsidRPr="006A06DD">
        <w:rPr>
          <w:rFonts w:ascii="Times New Roman" w:hAnsi="Times New Roman" w:cs="Times New Roman"/>
          <w:sz w:val="20"/>
          <w:szCs w:val="20"/>
        </w:rPr>
        <w:t xml:space="preserve">is Andreas </w:t>
      </w:r>
      <w:proofErr w:type="spellStart"/>
      <w:r w:rsidRPr="006A06DD">
        <w:rPr>
          <w:rFonts w:ascii="Times New Roman" w:hAnsi="Times New Roman" w:cs="Times New Roman"/>
          <w:sz w:val="20"/>
          <w:szCs w:val="20"/>
        </w:rPr>
        <w:t>Malm</w:t>
      </w:r>
      <w:proofErr w:type="spellEnd"/>
      <w:r w:rsidRPr="006A06DD">
        <w:rPr>
          <w:rFonts w:ascii="Times New Roman" w:hAnsi="Times New Roman" w:cs="Times New Roman"/>
          <w:sz w:val="20"/>
          <w:szCs w:val="20"/>
        </w:rPr>
        <w:t xml:space="preserve">, who in </w:t>
      </w:r>
      <w:r w:rsidRPr="006A06DD">
        <w:rPr>
          <w:rFonts w:ascii="Times New Roman" w:hAnsi="Times New Roman" w:cs="Times New Roman"/>
          <w:i/>
          <w:sz w:val="20"/>
          <w:szCs w:val="20"/>
        </w:rPr>
        <w:t xml:space="preserve">The Progress of this Storm </w:t>
      </w:r>
      <w:r w:rsidRPr="006A06DD">
        <w:rPr>
          <w:rFonts w:ascii="Times New Roman" w:hAnsi="Times New Roman" w:cs="Times New Roman"/>
          <w:sz w:val="20"/>
          <w:szCs w:val="20"/>
        </w:rPr>
        <w:t xml:space="preserve">argues forcefully against both constructivist and hybridist approaches to </w:t>
      </w:r>
      <w:r>
        <w:rPr>
          <w:rFonts w:ascii="Times New Roman" w:hAnsi="Times New Roman" w:cs="Times New Roman"/>
          <w:sz w:val="20"/>
          <w:szCs w:val="20"/>
        </w:rPr>
        <w:t xml:space="preserve">nature, </w:t>
      </w:r>
      <w:r w:rsidRPr="00740733">
        <w:rPr>
          <w:rFonts w:ascii="Times New Roman" w:hAnsi="Times New Roman" w:cs="Times New Roman"/>
          <w:sz w:val="20"/>
          <w:szCs w:val="20"/>
        </w:rPr>
        <w:t>society</w:t>
      </w:r>
      <w:r>
        <w:rPr>
          <w:rFonts w:ascii="Times New Roman" w:hAnsi="Times New Roman" w:cs="Times New Roman"/>
          <w:sz w:val="20"/>
          <w:szCs w:val="20"/>
        </w:rPr>
        <w:t xml:space="preserve"> and the relationship between the two</w:t>
      </w:r>
      <w:r w:rsidRPr="006A06DD">
        <w:rPr>
          <w:rFonts w:ascii="Times New Roman" w:hAnsi="Times New Roman" w:cs="Times New Roman"/>
          <w:sz w:val="20"/>
          <w:szCs w:val="20"/>
        </w:rPr>
        <w:t>.</w:t>
      </w:r>
      <w:r w:rsidRPr="006A06DD">
        <w:rPr>
          <w:rFonts w:ascii="Times New Roman" w:eastAsia="Times New Roman" w:hAnsi="Times New Roman" w:cs="Times New Roman"/>
          <w:sz w:val="20"/>
          <w:szCs w:val="20"/>
        </w:rPr>
        <w:t xml:space="preserve"> </w:t>
      </w:r>
      <w:proofErr w:type="spellStart"/>
      <w:r w:rsidRPr="006A06DD">
        <w:rPr>
          <w:rFonts w:ascii="Times New Roman" w:eastAsia="Times New Roman" w:hAnsi="Times New Roman" w:cs="Times New Roman"/>
          <w:sz w:val="20"/>
          <w:szCs w:val="20"/>
        </w:rPr>
        <w:t>Malm</w:t>
      </w:r>
      <w:proofErr w:type="spellEnd"/>
      <w:r w:rsidRPr="006A06DD">
        <w:rPr>
          <w:rFonts w:ascii="Times New Roman" w:eastAsia="Times New Roman" w:hAnsi="Times New Roman" w:cs="Times New Roman"/>
          <w:sz w:val="20"/>
          <w:szCs w:val="20"/>
        </w:rPr>
        <w:t xml:space="preserve"> contends that it is essential to maintain a clear distinction between humanity and nature if we are to save the latter from environmental </w:t>
      </w:r>
      <w:r>
        <w:rPr>
          <w:rFonts w:ascii="Times New Roman" w:eastAsia="Times New Roman" w:hAnsi="Times New Roman" w:cs="Times New Roman"/>
          <w:sz w:val="20"/>
          <w:szCs w:val="20"/>
        </w:rPr>
        <w:t>catastrophe</w:t>
      </w:r>
      <w:r w:rsidRPr="006A06DD">
        <w:rPr>
          <w:rFonts w:ascii="Times New Roman" w:eastAsia="Times New Roman" w:hAnsi="Times New Roman" w:cs="Times New Roman"/>
          <w:sz w:val="20"/>
          <w:szCs w:val="20"/>
        </w:rPr>
        <w:t xml:space="preserve">. The problem, at least from our perspective, is that in drawing this line so forcefully, </w:t>
      </w:r>
      <w:proofErr w:type="spellStart"/>
      <w:r w:rsidRPr="006A06DD">
        <w:rPr>
          <w:rFonts w:ascii="Times New Roman" w:eastAsia="Times New Roman" w:hAnsi="Times New Roman" w:cs="Times New Roman"/>
          <w:sz w:val="20"/>
          <w:szCs w:val="20"/>
        </w:rPr>
        <w:t>Malm</w:t>
      </w:r>
      <w:proofErr w:type="spellEnd"/>
      <w:r w:rsidRPr="006A06DD">
        <w:rPr>
          <w:rFonts w:ascii="Times New Roman" w:eastAsia="Times New Roman" w:hAnsi="Times New Roman" w:cs="Times New Roman"/>
          <w:sz w:val="20"/>
          <w:szCs w:val="20"/>
        </w:rPr>
        <w:t xml:space="preserve"> shuts down the possibility of combatting the kinds of anthropocentric thinking that conceptuall</w:t>
      </w:r>
      <w:r w:rsidRPr="00FA7478">
        <w:rPr>
          <w:rFonts w:ascii="Times New Roman" w:eastAsia="Times New Roman" w:hAnsi="Times New Roman" w:cs="Times New Roman"/>
          <w:sz w:val="20"/>
          <w:szCs w:val="20"/>
        </w:rPr>
        <w:t>y underpin the destruction of ‘N</w:t>
      </w:r>
      <w:r w:rsidRPr="006A06DD">
        <w:rPr>
          <w:rFonts w:ascii="Times New Roman" w:eastAsia="Times New Roman" w:hAnsi="Times New Roman" w:cs="Times New Roman"/>
          <w:sz w:val="20"/>
          <w:szCs w:val="20"/>
        </w:rPr>
        <w:t>ature’</w:t>
      </w:r>
      <w:r w:rsidR="000B354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as he defines it</w:t>
      </w:r>
      <w:r w:rsidRPr="006A06DD">
        <w:rPr>
          <w:rFonts w:ascii="Times New Roman" w:eastAsia="Times New Roman" w:hAnsi="Times New Roman" w:cs="Times New Roman"/>
          <w:sz w:val="20"/>
          <w:szCs w:val="20"/>
        </w:rPr>
        <w:t xml:space="preserve">. To speak of the latter as a construction does not </w:t>
      </w:r>
      <w:r>
        <w:rPr>
          <w:rFonts w:ascii="Times New Roman" w:eastAsia="Times New Roman" w:hAnsi="Times New Roman" w:cs="Times New Roman"/>
          <w:sz w:val="20"/>
          <w:szCs w:val="20"/>
        </w:rPr>
        <w:t>necessarily deprive</w:t>
      </w:r>
      <w:r w:rsidRPr="006A06DD">
        <w:rPr>
          <w:rFonts w:ascii="Times New Roman" w:eastAsia="Times New Roman" w:hAnsi="Times New Roman" w:cs="Times New Roman"/>
          <w:sz w:val="20"/>
          <w:szCs w:val="20"/>
        </w:rPr>
        <w:t xml:space="preserve"> environmental activism of a focus for its activities, as </w:t>
      </w:r>
      <w:proofErr w:type="spellStart"/>
      <w:r w:rsidRPr="006A06DD">
        <w:rPr>
          <w:rFonts w:ascii="Times New Roman" w:eastAsia="Times New Roman" w:hAnsi="Times New Roman" w:cs="Times New Roman"/>
          <w:sz w:val="20"/>
          <w:szCs w:val="20"/>
        </w:rPr>
        <w:t>Malm</w:t>
      </w:r>
      <w:proofErr w:type="spellEnd"/>
      <w:r w:rsidRPr="006A06DD">
        <w:rPr>
          <w:rFonts w:ascii="Times New Roman" w:eastAsia="Times New Roman" w:hAnsi="Times New Roman" w:cs="Times New Roman"/>
          <w:sz w:val="20"/>
          <w:szCs w:val="20"/>
        </w:rPr>
        <w:t xml:space="preserve"> suggests, it simply compels us to ‘take care of our abstractions’, to </w:t>
      </w:r>
      <w:r>
        <w:rPr>
          <w:rFonts w:ascii="Times New Roman" w:eastAsia="Times New Roman" w:hAnsi="Times New Roman" w:cs="Times New Roman"/>
          <w:sz w:val="20"/>
          <w:szCs w:val="20"/>
        </w:rPr>
        <w:t xml:space="preserve">speak with </w:t>
      </w:r>
      <w:r w:rsidRPr="006A06DD">
        <w:rPr>
          <w:rFonts w:ascii="Times New Roman" w:eastAsia="Times New Roman" w:hAnsi="Times New Roman" w:cs="Times New Roman"/>
          <w:sz w:val="20"/>
          <w:szCs w:val="20"/>
        </w:rPr>
        <w:t xml:space="preserve">Whitehead, and pay attention to </w:t>
      </w:r>
      <w:r>
        <w:rPr>
          <w:rFonts w:ascii="Times New Roman" w:eastAsia="Times New Roman" w:hAnsi="Times New Roman" w:cs="Times New Roman"/>
          <w:sz w:val="20"/>
          <w:szCs w:val="20"/>
        </w:rPr>
        <w:t>how</w:t>
      </w:r>
      <w:r w:rsidRPr="006A06DD">
        <w:rPr>
          <w:rFonts w:ascii="Times New Roman" w:eastAsia="Times New Roman" w:hAnsi="Times New Roman" w:cs="Times New Roman"/>
          <w:sz w:val="20"/>
          <w:szCs w:val="20"/>
        </w:rPr>
        <w:t xml:space="preserve"> the abstractions of nature and society </w:t>
      </w:r>
      <w:r>
        <w:rPr>
          <w:rFonts w:ascii="Times New Roman" w:eastAsia="Times New Roman" w:hAnsi="Times New Roman" w:cs="Times New Roman"/>
          <w:sz w:val="20"/>
          <w:szCs w:val="20"/>
        </w:rPr>
        <w:t xml:space="preserve">in particular </w:t>
      </w:r>
      <w:r w:rsidRPr="006A06DD">
        <w:rPr>
          <w:rFonts w:ascii="Times New Roman" w:eastAsia="Times New Roman" w:hAnsi="Times New Roman" w:cs="Times New Roman"/>
          <w:sz w:val="20"/>
          <w:szCs w:val="20"/>
        </w:rPr>
        <w:t xml:space="preserve">shift </w:t>
      </w:r>
      <w:r>
        <w:rPr>
          <w:rFonts w:ascii="Times New Roman" w:eastAsia="Times New Roman" w:hAnsi="Times New Roman" w:cs="Times New Roman"/>
          <w:sz w:val="20"/>
          <w:szCs w:val="20"/>
        </w:rPr>
        <w:t>in ways</w:t>
      </w:r>
      <w:r w:rsidRPr="006A06DD">
        <w:rPr>
          <w:rFonts w:ascii="Times New Roman" w:eastAsia="Times New Roman" w:hAnsi="Times New Roman" w:cs="Times New Roman"/>
          <w:sz w:val="20"/>
          <w:szCs w:val="20"/>
        </w:rPr>
        <w:t xml:space="preserve"> that may be unhelpful to climate activism</w:t>
      </w:r>
      <w:r>
        <w:rPr>
          <w:rFonts w:ascii="Times New Roman" w:eastAsia="Times New Roman" w:hAnsi="Times New Roman" w:cs="Times New Roman"/>
          <w:sz w:val="20"/>
          <w:szCs w:val="20"/>
        </w:rPr>
        <w:t xml:space="preserve"> in the future</w:t>
      </w:r>
      <w:r w:rsidRPr="006A06DD">
        <w:rPr>
          <w:rFonts w:ascii="Times New Roman" w:eastAsia="Times New Roman" w:hAnsi="Times New Roman" w:cs="Times New Roman"/>
          <w:sz w:val="20"/>
          <w:szCs w:val="20"/>
        </w:rPr>
        <w:t xml:space="preserve">. See </w:t>
      </w:r>
      <w:proofErr w:type="spellStart"/>
      <w:r w:rsidRPr="006A06DD">
        <w:rPr>
          <w:rFonts w:ascii="Times New Roman" w:eastAsia="Times New Roman" w:hAnsi="Times New Roman" w:cs="Times New Roman"/>
          <w:sz w:val="20"/>
          <w:szCs w:val="20"/>
        </w:rPr>
        <w:t>Malm</w:t>
      </w:r>
      <w:proofErr w:type="spellEnd"/>
      <w:r w:rsidRPr="006A06DD">
        <w:rPr>
          <w:rFonts w:ascii="Times New Roman" w:eastAsia="Times New Roman" w:hAnsi="Times New Roman" w:cs="Times New Roman"/>
          <w:sz w:val="20"/>
          <w:szCs w:val="20"/>
        </w:rPr>
        <w:t xml:space="preserve">, Andreas, </w:t>
      </w:r>
      <w:r w:rsidRPr="00FA7478">
        <w:rPr>
          <w:rFonts w:ascii="Times New Roman" w:eastAsia="Times New Roman" w:hAnsi="Times New Roman" w:cs="Times New Roman"/>
          <w:i/>
          <w:sz w:val="20"/>
          <w:szCs w:val="20"/>
        </w:rPr>
        <w:t>The Progress of this Storm: N</w:t>
      </w:r>
      <w:r w:rsidRPr="006A06DD">
        <w:rPr>
          <w:rFonts w:ascii="Times New Roman" w:eastAsia="Times New Roman" w:hAnsi="Times New Roman" w:cs="Times New Roman"/>
          <w:i/>
          <w:sz w:val="20"/>
          <w:szCs w:val="20"/>
        </w:rPr>
        <w:t xml:space="preserve">ature and Society in a Warming World. </w:t>
      </w:r>
      <w:r w:rsidRPr="006A06DD">
        <w:rPr>
          <w:rFonts w:ascii="Times New Roman" w:eastAsia="Times New Roman" w:hAnsi="Times New Roman" w:cs="Times New Roman"/>
          <w:sz w:val="20"/>
          <w:szCs w:val="20"/>
        </w:rPr>
        <w:t xml:space="preserve">Verso. 2018. </w:t>
      </w:r>
    </w:p>
  </w:endnote>
  <w:endnote w:id="18">
    <w:p w14:paraId="32FAF5E4" w14:textId="46A7FC0E" w:rsidR="006A06DD" w:rsidRPr="00D931F3" w:rsidRDefault="006A06DD" w:rsidP="002E53BB">
      <w:pPr>
        <w:pStyle w:val="NormalWeb"/>
        <w:rPr>
          <w:rFonts w:ascii="Times New Roman" w:hAnsi="Times New Roman"/>
          <w:lang w:val="en-US"/>
        </w:rPr>
      </w:pPr>
      <w:r w:rsidRPr="00723CEB">
        <w:rPr>
          <w:rStyle w:val="EndnoteReference"/>
          <w:rFonts w:ascii="Times New Roman" w:hAnsi="Times New Roman"/>
        </w:rPr>
        <w:endnoteRef/>
      </w:r>
      <w:r w:rsidRPr="00723CEB">
        <w:rPr>
          <w:rFonts w:ascii="Times New Roman" w:hAnsi="Times New Roman"/>
        </w:rPr>
        <w:t xml:space="preserve"> Moore, Jason W. </w:t>
      </w:r>
      <w:r w:rsidRPr="00723CEB">
        <w:rPr>
          <w:rFonts w:ascii="Times New Roman" w:hAnsi="Times New Roman"/>
          <w:i/>
          <w:iCs/>
        </w:rPr>
        <w:t>Capitalism in the Web of Life: Ecology and the Accumulation of Capital</w:t>
      </w:r>
      <w:r w:rsidRPr="00723CEB">
        <w:rPr>
          <w:rFonts w:ascii="Times New Roman" w:hAnsi="Times New Roman"/>
        </w:rPr>
        <w:t>. Verso, 2015, p17-18</w:t>
      </w:r>
    </w:p>
  </w:endnote>
  <w:endnote w:id="19">
    <w:p w14:paraId="03FE57D9" w14:textId="2BEB7DF4" w:rsidR="006A06DD" w:rsidRPr="00726F20" w:rsidRDefault="006A06DD" w:rsidP="002E53BB">
      <w:pPr>
        <w:pStyle w:val="NormalWeb"/>
        <w:rPr>
          <w:rFonts w:ascii="Times New Roman" w:hAnsi="Times New Roman"/>
        </w:rPr>
      </w:pPr>
      <w:r w:rsidRPr="00723CEB">
        <w:rPr>
          <w:rStyle w:val="EndnoteReference"/>
          <w:rFonts w:ascii="Times New Roman" w:hAnsi="Times New Roman"/>
        </w:rPr>
        <w:endnoteRef/>
      </w:r>
      <w:r w:rsidRPr="00723CEB">
        <w:rPr>
          <w:rFonts w:ascii="Times New Roman" w:hAnsi="Times New Roman"/>
        </w:rPr>
        <w:t xml:space="preserve"> Even a cursory glance at non-western, indigenous cultures readily demonstrates this separation is intellectually arbitrary. In Maori ecologies, for example, any attempt to distinguish between the natural and cultural world is untenable (see: </w:t>
      </w:r>
      <w:proofErr w:type="spellStart"/>
      <w:r w:rsidRPr="00723CEB">
        <w:rPr>
          <w:rFonts w:ascii="Times New Roman" w:hAnsi="Times New Roman"/>
        </w:rPr>
        <w:t>Krushil</w:t>
      </w:r>
      <w:proofErr w:type="spellEnd"/>
      <w:r w:rsidRPr="00723CEB">
        <w:rPr>
          <w:rFonts w:ascii="Times New Roman" w:hAnsi="Times New Roman"/>
        </w:rPr>
        <w:t xml:space="preserve"> </w:t>
      </w:r>
      <w:r w:rsidRPr="00723CEB">
        <w:rPr>
          <w:rFonts w:ascii="Times New Roman" w:hAnsi="Times New Roman"/>
        </w:rPr>
        <w:fldChar w:fldCharType="begin" w:fldLock="1"/>
      </w:r>
      <w:r w:rsidR="008E50D4">
        <w:rPr>
          <w:rFonts w:ascii="Times New Roman" w:hAnsi="Times New Roman"/>
        </w:rPr>
        <w:instrText>ADDIN CSL_CITATION {"citationItems":[{"id":"ITEM-1","itemData":{"DOI":"10.1080/13600818.2015.1124077","ISSN":"14699966","author":[{"dropping-particle":"","family":"Watene","given":"Krushil","non-dropping-particle":"","parse-names":false,"suffix":""}],"container-title":"Oxford Development Studies","id":"ITEM-1","issue":"3","issued":{"date-parts":[["2016"]]},"page":"287-296","publisher":"Routledge","title":"Valuing nature: Māori philosophy and the capability approach","type":"article-journal","volume":"44"},"uris":["http://www.mendeley.com/documents/?uuid=e6367ccc-2a68-49ca-ad9e-fa1994231aa4","http://www.mendeley.com/documents/?uuid=eb678a05-9307-4bd8-a4cf-0eb2ad6f189e"]}],"mendeley":{"formattedCitation":"Krushil Watene, “Valuing Nature: Māori Philosophy and the Capability Approach,” &lt;i&gt;Oxford Development Studies&lt;/i&gt; 44, no. 3 (2016): 287–96, https://doi.org/10.1080/13600818.2015.1124077.","manualFormatting":"Watene,","plainTextFormattedCitation":"Krushil Watene, “Valuing Nature: Māori Philosophy and the Capability Approach,” Oxford Development Studies 44, no. 3 (2016): 287–96, https://doi.org/10.1080/13600818.2015.1124077.","previouslyFormattedCitation":"Krushil Watene, “Valuing Nature: Māori Philosophy and the Capability Approach,” &lt;i&gt;Oxford Development Studies&lt;/i&gt; 44, no. 3 (2016): 287–96, https://doi.org/10.1080/13600818.2015.1124077."},"properties":{"noteIndex":0},"schema":"https://github.com/citation-style-language/schema/raw/master/csl-citation.json"}</w:instrText>
      </w:r>
      <w:r w:rsidRPr="00723CEB">
        <w:rPr>
          <w:rFonts w:ascii="Times New Roman" w:hAnsi="Times New Roman"/>
        </w:rPr>
        <w:fldChar w:fldCharType="separate"/>
      </w:r>
      <w:r w:rsidRPr="00723CEB">
        <w:rPr>
          <w:rFonts w:ascii="Times New Roman" w:hAnsi="Times New Roman"/>
          <w:noProof/>
        </w:rPr>
        <w:t>Watene,</w:t>
      </w:r>
      <w:r w:rsidRPr="00723CEB">
        <w:rPr>
          <w:rFonts w:ascii="Times New Roman" w:hAnsi="Times New Roman"/>
        </w:rPr>
        <w:fldChar w:fldCharType="end"/>
      </w:r>
      <w:r w:rsidRPr="00723CEB">
        <w:rPr>
          <w:rFonts w:ascii="Times New Roman" w:hAnsi="Times New Roman"/>
        </w:rPr>
        <w:t xml:space="preserve"> “Valuing Nature: Māori Philosophy and the Capability Approach,” </w:t>
      </w:r>
      <w:r w:rsidRPr="00723CEB">
        <w:rPr>
          <w:rFonts w:ascii="Times New Roman" w:hAnsi="Times New Roman"/>
          <w:i/>
          <w:iCs/>
        </w:rPr>
        <w:t>Oxford Development Studies</w:t>
      </w:r>
      <w:r w:rsidRPr="00D931F3">
        <w:rPr>
          <w:rFonts w:ascii="Times New Roman" w:hAnsi="Times New Roman"/>
        </w:rPr>
        <w:t xml:space="preserve">, 44, 3, (2016), 287–96 </w:t>
      </w:r>
    </w:p>
  </w:endnote>
  <w:endnote w:id="20">
    <w:p w14:paraId="0FC125D4" w14:textId="5C009D69"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{"citationItems":[{"id":"ITEM-1","itemData":{"DOI":"10.3898/NEWF.69.06.2010","ISBN":"0950-2378","ISSN":"09502378","abstract":"This essay is structured around the juxtaposition of two very different expressions of culture/nature relationships. The first is a current 'imperial ecology' constituted by the ideational transformation of 'the environment' into new commodity fictions called 'ecosystem services'. I suggest that this transformation intensifies a classical and modern desire for the release of culture from nature, even as its market rhetoric speaks of a greater valuing of 'nature'. The second is the possibility and implications of an animist 'immanent ecology' in which the human/non-human nexus is more explicitly experienced as one of intersubjective intensities and shared sentience. Here I work primarily with ethnographic material from a KhoeSān people indigenous to north-west Namibia. I draw extensively on the writings of philosophers Gilles Deleuze and Félix Guattari, whose profound suggestions add much to an understanding of the constitutive conditions in which these different ecologies arise, and the social and environmental trajectories they may bring forth and sustain.","author":[{"dropping-particle":"","family":"Sullivan","given":"Sian","non-dropping-particle":"","parse-names":false,"suffix":""}],"container-title":"New Formations","id":"ITEM-1","issue":"69","issued":{"date-parts":[["2010"]]},"page":"111-128","title":"'Ecosystem Service Commodities' - A New Imperial Ecology? Implications for Animist Immanent Ecologies, with Deleuze and Guattari","type":"article-journal","volume":"69"},"locator":"121-122","uris":["http://www.mendeley.com/documents/?uuid=70b8455e-87a5-4189-87ce-d7e46bbd7b1b","http://www.mendeley.com/documents/?uuid=de407c21-c03c-44ae-9d0b-5c181ebb85ca"]}],"mendeley":{"formattedCitation":"Sian Sullivan, “‘Ecosystem Service Commodities’ - A New Imperial Ecology? Implications for Animist Immanent Ecologies, with Deleuze and Guattari,” &lt;i&gt;New Formations&lt;/i&gt; 69, no. 69 (2010): 121–22, https://doi.org/10.3898/NEWF.69.06.2010.","manualFormatting":"Sian Sullivan, “‘Ecosystem Service Commodities’ - A New Imperial Ecology? Implications for Animist Immanent Ecologies, with Deleuze and Guattari,” New Formations, 69 (2010), 111–28.","plainTextFormattedCitation":"Sian Sullivan, “‘Ecosystem Service Commodities’ - A New Imperial Ecology? Implications for Animist Immanent Ecologies, with Deleuze and Guattari,” New Formations 69, no. 69 (2010): 121–22, https://doi.org/10.3898/NEWF.69.06.2010.","previouslyFormattedCitation":"Sian Sullivan, “‘Ecosystem Service Commodities’ - A New Imperial Ecology? Implications for Animist Immanent Ecologies, with Deleuze and Guattari,” &lt;i&gt;New Formations&lt;/i&gt; 69, no. 69 (2010): 121–22, https://doi.org/10.3898/NEWF.69.06.2010."},"properties":{"noteIndex":0},"schema":"https://github.com/citation-style-language/schema/raw/master/csl-citation.json"}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Sian Sullivan, “‘Ecosystem Service Commodities’ - A New Imperial Ecology? Implications for Animist Immanent Ecologies, with Deleuze and Guattari,” </w:t>
      </w:r>
      <w:r w:rsidRPr="00723CEB">
        <w:rPr>
          <w:rFonts w:ascii="Times New Roman" w:hAnsi="Times New Roman" w:cs="Times New Roman"/>
          <w:i/>
          <w:noProof/>
        </w:rPr>
        <w:t>New Formations</w:t>
      </w:r>
      <w:r w:rsidRPr="00723CEB">
        <w:rPr>
          <w:rFonts w:ascii="Times New Roman" w:hAnsi="Times New Roman" w:cs="Times New Roman"/>
          <w:noProof/>
        </w:rPr>
        <w:t>, 69 (2010), 111–28.</w:t>
      </w:r>
      <w:r w:rsidRPr="00723CEB">
        <w:rPr>
          <w:rFonts w:ascii="Times New Roman" w:hAnsi="Times New Roman" w:cs="Times New Roman"/>
        </w:rPr>
        <w:fldChar w:fldCharType="end"/>
      </w:r>
    </w:p>
    <w:p w14:paraId="7F9E52A4" w14:textId="77777777" w:rsidR="006A06DD" w:rsidRPr="00AF7ADF" w:rsidRDefault="006A06DD">
      <w:pPr>
        <w:pStyle w:val="EndnoteText"/>
        <w:rPr>
          <w:rFonts w:ascii="Times New Roman" w:hAnsi="Times New Roman" w:cs="Times New Roman"/>
          <w:lang w:val="en-US"/>
        </w:rPr>
      </w:pPr>
    </w:p>
  </w:endnote>
  <w:endnote w:id="21">
    <w:p w14:paraId="321D7A3A" w14:textId="1D62E812" w:rsidR="006A06DD" w:rsidRPr="00723CEB" w:rsidRDefault="006A06DD">
      <w:pPr>
        <w:pStyle w:val="EndnoteText"/>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Ibid., p121</w:t>
      </w:r>
    </w:p>
  </w:endnote>
  <w:endnote w:id="22">
    <w:p w14:paraId="6CCF2C19" w14:textId="0CE4D0F5" w:rsidR="006A06DD" w:rsidRPr="00AF7ADF" w:rsidRDefault="006A06DD" w:rsidP="001D7E45">
      <w:pPr>
        <w:pStyle w:val="NormalWeb"/>
        <w:rPr>
          <w:rFonts w:ascii="Times New Roman" w:hAnsi="Times New Roman"/>
        </w:rPr>
      </w:pPr>
      <w:r w:rsidRPr="00723CEB">
        <w:rPr>
          <w:rStyle w:val="EndnoteReference"/>
          <w:rFonts w:ascii="Times New Roman" w:hAnsi="Times New Roman"/>
        </w:rPr>
        <w:endnoteRef/>
      </w:r>
      <w:r w:rsidRPr="00723CEB">
        <w:rPr>
          <w:rFonts w:ascii="Times New Roman" w:hAnsi="Times New Roman"/>
        </w:rPr>
        <w:t xml:space="preserve"> </w:t>
      </w:r>
      <w:r>
        <w:rPr>
          <w:rFonts w:ascii="Times New Roman" w:hAnsi="Times New Roman"/>
        </w:rPr>
        <w:t xml:space="preserve">As Morgan Robertson demonstrates, </w:t>
      </w:r>
      <w:r w:rsidR="00966B22">
        <w:rPr>
          <w:rFonts w:ascii="Times New Roman" w:hAnsi="Times New Roman"/>
        </w:rPr>
        <w:t>producing</w:t>
      </w:r>
      <w:r>
        <w:rPr>
          <w:rFonts w:ascii="Times New Roman" w:hAnsi="Times New Roman"/>
        </w:rPr>
        <w:t xml:space="preserve"> a </w:t>
      </w:r>
      <w:r w:rsidR="00966B22">
        <w:rPr>
          <w:rFonts w:ascii="Times New Roman" w:hAnsi="Times New Roman"/>
        </w:rPr>
        <w:t>‘</w:t>
      </w:r>
      <w:r>
        <w:rPr>
          <w:rFonts w:ascii="Times New Roman" w:hAnsi="Times New Roman"/>
        </w:rPr>
        <w:t>nature that capital can see</w:t>
      </w:r>
      <w:r w:rsidR="00966B22">
        <w:rPr>
          <w:rFonts w:ascii="Times New Roman" w:hAnsi="Times New Roman"/>
        </w:rPr>
        <w:t xml:space="preserve">’ </w:t>
      </w:r>
      <w:r>
        <w:rPr>
          <w:rFonts w:ascii="Times New Roman" w:hAnsi="Times New Roman"/>
        </w:rPr>
        <w:t>requires its ‘articulation’ through various process</w:t>
      </w:r>
      <w:r w:rsidR="004556E6">
        <w:rPr>
          <w:rFonts w:ascii="Times New Roman" w:hAnsi="Times New Roman"/>
        </w:rPr>
        <w:t>es</w:t>
      </w:r>
      <w:r>
        <w:rPr>
          <w:rFonts w:ascii="Times New Roman" w:hAnsi="Times New Roman"/>
        </w:rPr>
        <w:t xml:space="preserve"> of translation that pass through</w:t>
      </w:r>
      <w:r w:rsidR="00966B22">
        <w:rPr>
          <w:rFonts w:ascii="Times New Roman" w:hAnsi="Times New Roman"/>
        </w:rPr>
        <w:t xml:space="preserve"> and bind together</w:t>
      </w:r>
      <w:r>
        <w:rPr>
          <w:rFonts w:ascii="Times New Roman" w:hAnsi="Times New Roman"/>
        </w:rPr>
        <w:t xml:space="preserve"> ‘science’, ‘capitalism’ and the ‘state’. </w:t>
      </w:r>
      <w:r w:rsidR="004556E6">
        <w:rPr>
          <w:rFonts w:ascii="Times New Roman" w:hAnsi="Times New Roman"/>
        </w:rPr>
        <w:t>One obvious implication of this point is that making a</w:t>
      </w:r>
      <w:r w:rsidR="00966B22">
        <w:rPr>
          <w:rFonts w:ascii="Times New Roman" w:hAnsi="Times New Roman"/>
        </w:rPr>
        <w:t xml:space="preserve"> market function</w:t>
      </w:r>
      <w:r>
        <w:rPr>
          <w:rFonts w:ascii="Times New Roman" w:hAnsi="Times New Roman"/>
        </w:rPr>
        <w:t xml:space="preserve"> is not simply a</w:t>
      </w:r>
      <w:r w:rsidR="004556E6">
        <w:rPr>
          <w:rFonts w:ascii="Times New Roman" w:hAnsi="Times New Roman"/>
        </w:rPr>
        <w:t xml:space="preserve"> matter of creating a</w:t>
      </w:r>
      <w:r>
        <w:rPr>
          <w:rFonts w:ascii="Times New Roman" w:hAnsi="Times New Roman"/>
        </w:rPr>
        <w:t xml:space="preserve"> product – </w:t>
      </w:r>
      <w:r w:rsidR="004556E6">
        <w:rPr>
          <w:rFonts w:ascii="Times New Roman" w:hAnsi="Times New Roman"/>
        </w:rPr>
        <w:t xml:space="preserve">in this case </w:t>
      </w:r>
      <w:r>
        <w:rPr>
          <w:rFonts w:ascii="Times New Roman" w:hAnsi="Times New Roman"/>
        </w:rPr>
        <w:t xml:space="preserve">the biodiversity credit – but also a </w:t>
      </w:r>
      <w:r w:rsidR="004556E6">
        <w:rPr>
          <w:rFonts w:ascii="Times New Roman" w:hAnsi="Times New Roman"/>
        </w:rPr>
        <w:t xml:space="preserve">state-backed </w:t>
      </w:r>
      <w:r>
        <w:rPr>
          <w:rFonts w:ascii="Times New Roman" w:hAnsi="Times New Roman"/>
        </w:rPr>
        <w:t>regulatory framework which can maintain property relations and so</w:t>
      </w:r>
      <w:r w:rsidR="002922D5">
        <w:rPr>
          <w:rFonts w:ascii="Times New Roman" w:hAnsi="Times New Roman"/>
        </w:rPr>
        <w:t xml:space="preserve"> on</w:t>
      </w:r>
      <w:r>
        <w:rPr>
          <w:rFonts w:ascii="Times New Roman" w:hAnsi="Times New Roman"/>
        </w:rPr>
        <w:t xml:space="preserve">. </w:t>
      </w:r>
      <w:r w:rsidR="004556E6">
        <w:rPr>
          <w:rFonts w:ascii="Times New Roman" w:hAnsi="Times New Roman"/>
        </w:rPr>
        <w:t>Later, o</w:t>
      </w:r>
      <w:r>
        <w:rPr>
          <w:rFonts w:ascii="Times New Roman" w:hAnsi="Times New Roman"/>
        </w:rPr>
        <w:t>ur brief outline of the UK biodiversity market draws out some of this work</w:t>
      </w:r>
      <w:r w:rsidR="002922D5">
        <w:rPr>
          <w:rFonts w:ascii="Times New Roman" w:hAnsi="Times New Roman"/>
        </w:rPr>
        <w:t xml:space="preserve"> of ‘articulation’ by signalling</w:t>
      </w:r>
      <w:r>
        <w:rPr>
          <w:rFonts w:ascii="Times New Roman" w:hAnsi="Times New Roman"/>
        </w:rPr>
        <w:t xml:space="preserve"> how different state and non-state</w:t>
      </w:r>
      <w:r w:rsidR="002922D5">
        <w:rPr>
          <w:rFonts w:ascii="Times New Roman" w:hAnsi="Times New Roman"/>
        </w:rPr>
        <w:t xml:space="preserve"> </w:t>
      </w:r>
      <w:r>
        <w:rPr>
          <w:rFonts w:ascii="Times New Roman" w:hAnsi="Times New Roman"/>
        </w:rPr>
        <w:t xml:space="preserve">actors have been involved in creating a functional offsetting system. See: </w:t>
      </w:r>
      <w:r w:rsidRPr="00723CEB">
        <w:rPr>
          <w:rFonts w:ascii="Times New Roman" w:hAnsi="Times New Roman"/>
        </w:rPr>
        <w:t xml:space="preserve">Morgan M Robertson, “The Nature That Capital Can See: Science, State, and Market in the Commodification of Ecosystem Services,” </w:t>
      </w:r>
      <w:r w:rsidRPr="00AF7ADF">
        <w:rPr>
          <w:rFonts w:ascii="Times New Roman" w:hAnsi="Times New Roman"/>
          <w:i/>
          <w:iCs/>
        </w:rPr>
        <w:t>Environment and Planning D: Society and Space</w:t>
      </w:r>
      <w:r w:rsidRPr="00AF7ADF">
        <w:rPr>
          <w:rFonts w:ascii="Times New Roman" w:hAnsi="Times New Roman"/>
        </w:rPr>
        <w:t xml:space="preserve">, 24, 3 (2006), 367–87. </w:t>
      </w:r>
    </w:p>
  </w:endnote>
  <w:endnote w:id="23">
    <w:p w14:paraId="2671A934" w14:textId="6C37D913" w:rsidR="006A06DD" w:rsidRPr="00723CEB" w:rsidRDefault="006A06DD">
      <w:pPr>
        <w:pStyle w:val="EndnoteText"/>
        <w:rPr>
          <w:rFonts w:ascii="Times New Roman" w:hAnsi="Times New Roman" w:cs="Times New Roman"/>
          <w:lang w:val="nl-NL"/>
        </w:rPr>
      </w:pPr>
      <w:r w:rsidRPr="00723CEB">
        <w:rPr>
          <w:rStyle w:val="EndnoteReference"/>
          <w:rFonts w:ascii="Times New Roman" w:hAnsi="Times New Roman" w:cs="Times New Roman"/>
        </w:rPr>
        <w:endnoteRef/>
      </w:r>
      <w:r w:rsidRPr="00723CEB">
        <w:rPr>
          <w:rFonts w:ascii="Times New Roman" w:hAnsi="Times New Roman" w:cs="Times New Roman"/>
          <w:lang w:val="nl-NL"/>
        </w:rPr>
        <w:t xml:space="preserve"> Sullivan, 2010, op </w:t>
      </w:r>
      <w:proofErr w:type="spellStart"/>
      <w:r w:rsidRPr="00723CEB">
        <w:rPr>
          <w:rFonts w:ascii="Times New Roman" w:hAnsi="Times New Roman" w:cs="Times New Roman"/>
          <w:lang w:val="nl-NL"/>
        </w:rPr>
        <w:t>cit</w:t>
      </w:r>
      <w:proofErr w:type="spellEnd"/>
      <w:r w:rsidRPr="00723CEB">
        <w:rPr>
          <w:rFonts w:ascii="Times New Roman" w:hAnsi="Times New Roman" w:cs="Times New Roman"/>
          <w:lang w:val="nl-NL"/>
        </w:rPr>
        <w:t xml:space="preserve">., p116. </w:t>
      </w:r>
    </w:p>
  </w:endnote>
  <w:endnote w:id="24">
    <w:p w14:paraId="7710B09A" w14:textId="3D58A010" w:rsidR="006A06DD" w:rsidRPr="00723CEB" w:rsidRDefault="006A06DD" w:rsidP="001D7E45">
      <w:pPr>
        <w:pStyle w:val="NormalWeb"/>
        <w:rPr>
          <w:rFonts w:ascii="Times New Roman" w:hAnsi="Times New Roman"/>
          <w:lang w:val="nl-NL"/>
        </w:rPr>
      </w:pPr>
      <w:r w:rsidRPr="00723CEB">
        <w:rPr>
          <w:rStyle w:val="EndnoteReference"/>
          <w:rFonts w:ascii="Times New Roman" w:hAnsi="Times New Roman"/>
        </w:rPr>
        <w:endnoteRef/>
      </w:r>
      <w:r w:rsidRPr="00723CEB">
        <w:rPr>
          <w:rFonts w:ascii="Times New Roman" w:hAnsi="Times New Roman"/>
          <w:lang w:val="nl-NL"/>
        </w:rPr>
        <w:t xml:space="preserve"> Robertson, 2012, op </w:t>
      </w:r>
      <w:proofErr w:type="spellStart"/>
      <w:r w:rsidRPr="00723CEB">
        <w:rPr>
          <w:rFonts w:ascii="Times New Roman" w:hAnsi="Times New Roman"/>
          <w:lang w:val="nl-NL"/>
        </w:rPr>
        <w:t>cit</w:t>
      </w:r>
      <w:proofErr w:type="spellEnd"/>
      <w:r w:rsidRPr="00723CEB">
        <w:rPr>
          <w:rFonts w:ascii="Times New Roman" w:hAnsi="Times New Roman"/>
          <w:lang w:val="nl-NL"/>
        </w:rPr>
        <w:t>.</w:t>
      </w:r>
    </w:p>
  </w:endnote>
  <w:endnote w:id="25">
    <w:p w14:paraId="77CD2DBB" w14:textId="2E481C17" w:rsidR="006A06DD" w:rsidRPr="00726F20" w:rsidRDefault="006A06DD" w:rsidP="0021162E">
      <w:pPr>
        <w:pStyle w:val="EndnoteText"/>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In </w:t>
      </w:r>
      <w:r w:rsidRPr="00723CEB">
        <w:rPr>
          <w:rFonts w:ascii="Times New Roman" w:hAnsi="Times New Roman" w:cs="Times New Roman"/>
          <w:i/>
        </w:rPr>
        <w:t>The Great Transformation</w:t>
      </w:r>
      <w:r w:rsidRPr="00723CEB">
        <w:rPr>
          <w:rFonts w:ascii="Times New Roman" w:hAnsi="Times New Roman" w:cs="Times New Roman"/>
        </w:rPr>
        <w:t>, Polanyi makes a historical argument that the emergence of a market economy in the late nineteenth and early twentieth centuries was predicated on its ability to produce fictional commodities. These are understood as entities and processes – primarily lab</w:t>
      </w:r>
      <w:r w:rsidRPr="00AF7ADF">
        <w:rPr>
          <w:rFonts w:ascii="Times New Roman" w:hAnsi="Times New Roman" w:cs="Times New Roman"/>
        </w:rPr>
        <w:t xml:space="preserve">our, land and money – that are not commodities in themselves, but are treated ‘as if’ they are commodities. Under the </w:t>
      </w:r>
      <w:proofErr w:type="spellStart"/>
      <w:r w:rsidRPr="00AF7ADF">
        <w:rPr>
          <w:rFonts w:ascii="Times New Roman" w:hAnsi="Times New Roman" w:cs="Times New Roman"/>
        </w:rPr>
        <w:t>financialisation</w:t>
      </w:r>
      <w:proofErr w:type="spellEnd"/>
      <w:r w:rsidRPr="00AF7ADF">
        <w:rPr>
          <w:rFonts w:ascii="Times New Roman" w:hAnsi="Times New Roman" w:cs="Times New Roman"/>
        </w:rPr>
        <w:t xml:space="preserve"> of nature we could expand Polanyi’s list to incorporate not just land, but ecosystems in general. </w:t>
      </w:r>
      <w:r w:rsidRPr="00AF7ADF">
        <w:rPr>
          <w:rFonts w:ascii="Times New Roman" w:hAnsi="Times New Roman" w:cs="Times New Roman"/>
          <w:lang w:val="en-US"/>
        </w:rPr>
        <w:t xml:space="preserve">Karl Polanyi, </w:t>
      </w:r>
      <w:r w:rsidRPr="00AF7ADF">
        <w:rPr>
          <w:rFonts w:ascii="Times New Roman" w:hAnsi="Times New Roman" w:cs="Times New Roman"/>
          <w:i/>
          <w:lang w:val="en-US"/>
        </w:rPr>
        <w:t>The Great Transformation</w:t>
      </w:r>
      <w:r w:rsidRPr="00D931F3">
        <w:rPr>
          <w:rFonts w:ascii="Times New Roman" w:hAnsi="Times New Roman" w:cs="Times New Roman"/>
          <w:lang w:val="en-US"/>
        </w:rPr>
        <w:t xml:space="preserve">, Boston, Beacon, 2001. </w:t>
      </w:r>
    </w:p>
    <w:p w14:paraId="1F6A634B" w14:textId="77777777" w:rsidR="006A06DD" w:rsidRPr="008542DF" w:rsidRDefault="006A06DD" w:rsidP="0021162E">
      <w:pPr>
        <w:pStyle w:val="EndnoteText"/>
        <w:rPr>
          <w:rFonts w:ascii="Times New Roman" w:hAnsi="Times New Roman" w:cs="Times New Roman"/>
          <w:lang w:val="en-US"/>
        </w:rPr>
      </w:pPr>
    </w:p>
  </w:endnote>
  <w:endnote w:id="26">
    <w:p w14:paraId="3DED01F8" w14:textId="5F8E8EF6" w:rsidR="006A06DD" w:rsidRPr="006A06DD" w:rsidRDefault="006A06DD" w:rsidP="00DC330B">
      <w:pPr>
        <w:pStyle w:val="EndnoteText"/>
        <w:spacing w:after="240"/>
        <w:rPr>
          <w:rFonts w:ascii="Times New Roman" w:hAnsi="Times New Roman" w:cs="Times New Roman"/>
        </w:rPr>
      </w:pPr>
      <w:r w:rsidRPr="00DC330B">
        <w:rPr>
          <w:rStyle w:val="EndnoteReference"/>
          <w:rFonts w:ascii="Times New Roman" w:hAnsi="Times New Roman" w:cs="Times New Roman"/>
        </w:rPr>
        <w:endnoteRef/>
      </w:r>
      <w:r w:rsidRPr="006A06DD">
        <w:rPr>
          <w:rFonts w:ascii="Times New Roman" w:hAnsi="Times New Roman" w:cs="Times New Roman"/>
        </w:rPr>
        <w:t xml:space="preserve"> Robertson, op cit., p. 374</w:t>
      </w:r>
    </w:p>
  </w:endnote>
  <w:endnote w:id="27">
    <w:p w14:paraId="27958ED9" w14:textId="3A876734" w:rsidR="006A06DD" w:rsidRPr="006A06DD"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6A06DD">
        <w:rPr>
          <w:rFonts w:ascii="Times New Roman" w:hAnsi="Times New Roman" w:cs="Times New Roman"/>
        </w:rPr>
        <w:t xml:space="preserve"> Sullivan, 2010, op cit., p119</w:t>
      </w:r>
    </w:p>
    <w:p w14:paraId="13BA6EA4" w14:textId="77777777" w:rsidR="006A06DD" w:rsidRPr="006A06DD" w:rsidRDefault="006A06DD">
      <w:pPr>
        <w:pStyle w:val="EndnoteText"/>
        <w:rPr>
          <w:rFonts w:ascii="Times New Roman" w:hAnsi="Times New Roman" w:cs="Times New Roman"/>
        </w:rPr>
      </w:pPr>
    </w:p>
  </w:endnote>
  <w:endnote w:id="28">
    <w:p w14:paraId="4F7CC213" w14:textId="77777777" w:rsidR="006A06DD" w:rsidRPr="00AF7ADF" w:rsidRDefault="006A06DD" w:rsidP="008257AA">
      <w:pPr>
        <w:rPr>
          <w:sz w:val="20"/>
          <w:szCs w:val="20"/>
        </w:rPr>
      </w:pPr>
      <w:r w:rsidRPr="00723CEB">
        <w:rPr>
          <w:rStyle w:val="EndnoteReference"/>
          <w:sz w:val="20"/>
          <w:szCs w:val="20"/>
        </w:rPr>
        <w:endnoteRef/>
      </w:r>
      <w:r w:rsidRPr="00723CEB">
        <w:rPr>
          <w:sz w:val="20"/>
          <w:szCs w:val="20"/>
        </w:rPr>
        <w:t xml:space="preserve"> </w:t>
      </w:r>
      <w:r w:rsidRPr="00723CEB">
        <w:rPr>
          <w:sz w:val="20"/>
          <w:szCs w:val="20"/>
          <w:lang w:val="en-US"/>
        </w:rPr>
        <w:t xml:space="preserve">The supposed success of biodiversity offsetting in Australia was one argument used by Owen Patterson, while </w:t>
      </w:r>
      <w:r w:rsidRPr="00AF7ADF">
        <w:rPr>
          <w:rStyle w:val="mw-headline"/>
          <w:sz w:val="20"/>
          <w:szCs w:val="20"/>
        </w:rPr>
        <w:t xml:space="preserve">Secretary of State for Environment, Food and Rural Affairs in the UK, for their adoption in the UK. </w:t>
      </w:r>
    </w:p>
  </w:endnote>
  <w:endnote w:id="29">
    <w:p w14:paraId="379F36F6" w14:textId="08CAFA64" w:rsidR="006A06DD" w:rsidRDefault="006A06DD" w:rsidP="007A4FA0">
      <w:pPr>
        <w:pStyle w:val="EndnoteText"/>
        <w:rPr>
          <w:rFonts w:ascii="Times New Roman" w:hAnsi="Times New Roman"/>
          <w:lang w:eastAsia="ko-KR"/>
        </w:rPr>
      </w:pPr>
      <w:r w:rsidRPr="00723CEB">
        <w:rPr>
          <w:rStyle w:val="EndnoteReference"/>
          <w:rFonts w:ascii="Times New Roman" w:hAnsi="Times New Roman"/>
        </w:rPr>
        <w:endnoteRef/>
      </w:r>
      <w:r w:rsidRPr="00723CEB">
        <w:rPr>
          <w:rFonts w:ascii="Times New Roman" w:hAnsi="Times New Roman"/>
        </w:rPr>
        <w:t xml:space="preserve"> </w:t>
      </w:r>
      <w:r w:rsidRPr="00723CEB">
        <w:rPr>
          <w:rFonts w:ascii="Times New Roman" w:hAnsi="Times New Roman"/>
        </w:rPr>
        <w:fldChar w:fldCharType="begin" w:fldLock="1"/>
      </w:r>
      <w:r w:rsidR="008E50D4">
        <w:rPr>
          <w:rFonts w:ascii="Times New Roman" w:hAnsi="Times New Roman"/>
        </w:rPr>
        <w:instrText>ADDIN CSL_CITATION {"citationItems":[{"id":"ITEM-1","itemData":{"author":[{"dropping-particle":"","family":"The Environment Bank","given":"","non-dropping-particle":"","parse-names":false,"suffix":""}],"id":"ITEM-1","issue":"March","issued":{"date-parts":[["2017"]]},"title":"Accounting for Biodiversity in planning: A toolkit for Local Planning Authorities in England Accounting for biodiversity in planning A toolkit for Local Planning Authorities in England","type":"article-journal"},"uris":["http://www.mendeley.com/documents/?uuid=5a1e6c8b-7176-4953-8443-7f776f1dbc0a"]}],"mendeley":{"formattedCitation":"The Environment Bank, “Accounting for Biodiversity in Planning: A Toolkit for Local Planning Authorities in England Accounting for Biodiversity in Planning A Toolkit for Local Planning Authorities in England,” no. March (2017).","manualFormatting":"The Environment Bank, “Accounting for Biodiversity in Planning: A Toolkit for Local Planning Authorities in England Accounting for Biodiversity in Planning: A Toolkit for Local Planning Authorities in England,” March (2017).","plainTextFormattedCitation":"The Environment Bank, “Accounting for Biodiversity in Planning: A Toolkit for Local Planning Authorities in England Accounting for Biodiversity in Planning A Toolkit for Local Planning Authorities in England,” no. March (2017).","previouslyFormattedCitation":"The Environment Bank, “Accounting for Biodiversity in Planning: A Toolkit for Local Planning Authorities in England Accounting for Biodiversity in Planning A Toolkit for Local Planning Authorities in England,” no. March (2017)."},"properties":{"noteIndex":0},"schema":"https://github.com/citation-style-language/schema/raw/master/csl-citation.json"}</w:instrText>
      </w:r>
      <w:r w:rsidRPr="00723CEB">
        <w:rPr>
          <w:rFonts w:ascii="Times New Roman" w:hAnsi="Times New Roman"/>
        </w:rPr>
        <w:fldChar w:fldCharType="separate"/>
      </w:r>
      <w:r w:rsidR="007A4FA0" w:rsidRPr="00723CEB">
        <w:rPr>
          <w:rFonts w:ascii="Times New Roman" w:hAnsi="Times New Roman" w:cs="Times New Roman"/>
        </w:rPr>
        <w:fldChar w:fldCharType="begin" w:fldLock="1"/>
      </w:r>
      <w:r w:rsidR="007A4FA0">
        <w:rPr>
          <w:rFonts w:ascii="Times New Roman" w:hAnsi="Times New Roman" w:cs="Times New Roman"/>
        </w:rPr>
        <w:instrText>ADDIN CSL_CITATION {"citationItems":[{"id":"ITEM-1","itemData":{"author":[{"dropping-particle":"","family":"The Environment Bank","given":"","non-dropping-particle":"","parse-names":false,"suffix":""}],"id":"ITEM-1","issue":"March","issued":{"date-parts":[["2017"]]},"title":"Accounting for Biodiversity in planning: A toolkit for Local Planning Authorities in England Accounting for biodiversity in planning A toolkit for Local Planning Authorities in England","type":"article-journal"},"uris":["http://www.mendeley.com/documents/?uuid=5a1e6c8b-7176-4953-8443-7f776f1dbc0a"]}],"mendeley":{"formattedCitation":"The Environment Bank, “Accounting for Biodiversity in Planning: A Toolkit for Local Planning Authorities in England Accounting for Biodiversity in Planning A Toolkit for Local Planning Authorities in England.”","manualFormatting":"The Environment Bank, Accounting for Biodiversity in Planning: A Toolkit for Local Planning Authorities in England,","plainTextFormattedCitation":"The Environment Bank, “Accounting for Biodiversity in Planning: A Toolkit for Local Planning Authorities in England Accounting for Biodiversity in Planning A Toolkit for Local Planning Authorities in England.”","previouslyFormattedCitation":"The Environment Bank, “Accounting for Biodiversity in Planning: A Toolkit for Local Planning Authorities in England Accounting for Biodiversity in Planning A Toolkit for Local Planning Authorities in England.”"},"properties":{"noteIndex":0},"schema":"https://github.com/citation-style-language/schema/raw/master/csl-citation.json"}</w:instrText>
      </w:r>
      <w:r w:rsidR="007A4FA0" w:rsidRPr="00723CEB">
        <w:rPr>
          <w:rFonts w:ascii="Times New Roman" w:hAnsi="Times New Roman" w:cs="Times New Roman"/>
        </w:rPr>
        <w:fldChar w:fldCharType="separate"/>
      </w:r>
      <w:r w:rsidR="007A4FA0" w:rsidRPr="00723CEB">
        <w:rPr>
          <w:rFonts w:ascii="Times New Roman" w:hAnsi="Times New Roman" w:cs="Times New Roman"/>
          <w:noProof/>
        </w:rPr>
        <w:t xml:space="preserve">The Environment Bank, </w:t>
      </w:r>
      <w:r w:rsidR="007A4FA0" w:rsidRPr="00723CEB">
        <w:rPr>
          <w:rFonts w:ascii="Times New Roman" w:hAnsi="Times New Roman" w:cs="Times New Roman"/>
          <w:i/>
          <w:noProof/>
        </w:rPr>
        <w:t>Accounting for Biodiversity in Planning: A Toolkit for Local Planning Authorities in England</w:t>
      </w:r>
      <w:r w:rsidR="007A4FA0" w:rsidRPr="00AF7ADF">
        <w:rPr>
          <w:rFonts w:ascii="Times New Roman" w:hAnsi="Times New Roman" w:cs="Times New Roman"/>
          <w:noProof/>
        </w:rPr>
        <w:t>,</w:t>
      </w:r>
      <w:r w:rsidR="007A4FA0" w:rsidRPr="00723CEB">
        <w:rPr>
          <w:rFonts w:ascii="Times New Roman" w:hAnsi="Times New Roman" w:cs="Times New Roman"/>
        </w:rPr>
        <w:fldChar w:fldCharType="end"/>
      </w:r>
      <w:r w:rsidR="007A4FA0" w:rsidRPr="00723CEB">
        <w:rPr>
          <w:rFonts w:ascii="Times New Roman" w:hAnsi="Times New Roman" w:cs="Times New Roman"/>
        </w:rPr>
        <w:t xml:space="preserve"> 2017, </w:t>
      </w:r>
      <w:hyperlink r:id="rId1" w:history="1">
        <w:r w:rsidR="007A4FA0" w:rsidRPr="00723CEB">
          <w:rPr>
            <w:rStyle w:val="Hyperlink"/>
            <w:rFonts w:ascii="Times New Roman" w:hAnsi="Times New Roman" w:cs="Times New Roman"/>
          </w:rPr>
          <w:t>http://www.environmentbank.com/files/eb-planning-toolkit-england-march2017.pdf</w:t>
        </w:r>
      </w:hyperlink>
      <w:r w:rsidR="007A4FA0" w:rsidRPr="00723CEB">
        <w:rPr>
          <w:rFonts w:ascii="Times New Roman" w:hAnsi="Times New Roman" w:cs="Times New Roman"/>
        </w:rPr>
        <w:t xml:space="preserve"> [accessed 21 March 2019].</w:t>
      </w:r>
      <w:r w:rsidRPr="00723CEB">
        <w:rPr>
          <w:rFonts w:ascii="Times New Roman" w:hAnsi="Times New Roman"/>
        </w:rPr>
        <w:fldChar w:fldCharType="end"/>
      </w:r>
      <w:r w:rsidRPr="00723CEB">
        <w:rPr>
          <w:rFonts w:ascii="Times New Roman" w:hAnsi="Times New Roman"/>
        </w:rPr>
        <w:t xml:space="preserve"> At present, the UK Government is consulting on whether to move toward a ‘net gain’ principle in regard to all development planning. This would likely ensure that any offsets purchased by a development project would have to see gains in the size and/or quality of a bio-diverse habitat in comparison with that which would be lost to development. </w:t>
      </w:r>
      <w:r w:rsidRPr="00723CEB">
        <w:rPr>
          <w:rFonts w:ascii="Times New Roman" w:hAnsi="Times New Roman"/>
          <w:lang w:eastAsia="ko-KR"/>
        </w:rPr>
        <w:t xml:space="preserve">See: </w:t>
      </w:r>
      <w:r w:rsidRPr="00723CEB">
        <w:rPr>
          <w:rFonts w:ascii="Times New Roman" w:hAnsi="Times New Roman"/>
        </w:rPr>
        <w:fldChar w:fldCharType="begin" w:fldLock="1"/>
      </w:r>
      <w:r w:rsidR="008E50D4">
        <w:rPr>
          <w:rFonts w:ascii="Times New Roman" w:hAnsi="Times New Roman"/>
          <w:lang w:eastAsia="ko-KR"/>
        </w:rPr>
        <w:instrText>ADDIN CSL_CITATION {"citationItems":[{"id":"ITEM-1","itemData":{"author":[{"dropping-particle":"","family":"DEFRA","given":"","non-dropping-particle":"","parse-names":false,"suffix":""}],"id":"ITEM-1","issue":"December","issued":{"date-parts":[["2018"]]},"title":"Net gain Consultation proposals","type":"article-journal"},"uris":["http://www.mendeley.com/documents/?uuid=06b45b31-5b47-4e21-b123-726b94e50fa6"]}],"mendeley":{"formattedCitation":"DEFRA, “Net Gain Consultation Proposals,” no. December (2018).","manualFormatting":"Departmen for theEnvironment, Farming, and Rural Affairs (DEFRA), \"Net gain Consultation proposals,\" December 2018","plainTextFormattedCitation":"DEFRA, “Net Gain Consultation Proposals,” no. December (2018).","previouslyFormattedCitation":"DEFRA, “Net Gain Consultation Proposals,” no. December (2018)."},"properties":{"noteIndex":0},"schema":"https://github.com/citation-style-language/schema/raw/master/csl-citation.json"}</w:instrText>
      </w:r>
      <w:r w:rsidRPr="00723CEB">
        <w:rPr>
          <w:rFonts w:ascii="Times New Roman" w:hAnsi="Times New Roman"/>
        </w:rPr>
        <w:fldChar w:fldCharType="separate"/>
      </w:r>
      <w:r w:rsidRPr="00723CEB">
        <w:rPr>
          <w:rFonts w:ascii="Times New Roman" w:hAnsi="Times New Roman"/>
          <w:noProof/>
          <w:lang w:eastAsia="ko-KR"/>
        </w:rPr>
        <w:t>Departmen for theEnvironment, Farming, and Rural Affairs (DEFRA), "Net gain Consultation proposals," December 2018</w:t>
      </w:r>
      <w:r w:rsidRPr="00723CEB">
        <w:rPr>
          <w:rFonts w:ascii="Times New Roman" w:hAnsi="Times New Roman"/>
        </w:rPr>
        <w:fldChar w:fldCharType="end"/>
      </w:r>
      <w:r w:rsidRPr="00723CEB">
        <w:rPr>
          <w:rFonts w:ascii="Times New Roman" w:hAnsi="Times New Roman"/>
          <w:lang w:eastAsia="ko-KR"/>
        </w:rPr>
        <w:t xml:space="preserve">: </w:t>
      </w:r>
      <w:hyperlink r:id="rId2" w:history="1">
        <w:r w:rsidR="007A4FA0" w:rsidRPr="007969F4">
          <w:rPr>
            <w:rStyle w:val="Hyperlink"/>
            <w:rFonts w:ascii="Times New Roman" w:hAnsi="Times New Roman"/>
            <w:lang w:eastAsia="ko-KR"/>
          </w:rPr>
          <w:t>https://consult.defra.gov.uk/land-use/net-gain/supporting_documents/netgainconsultationdocument.pdf</w:t>
        </w:r>
      </w:hyperlink>
    </w:p>
    <w:p w14:paraId="0E4EFD93" w14:textId="77777777" w:rsidR="007A4FA0" w:rsidRPr="00723CEB" w:rsidRDefault="007A4FA0" w:rsidP="007A4FA0">
      <w:pPr>
        <w:pStyle w:val="EndnoteText"/>
        <w:rPr>
          <w:rFonts w:ascii="Times New Roman" w:hAnsi="Times New Roman"/>
          <w:lang w:eastAsia="ko-KR"/>
        </w:rPr>
      </w:pPr>
    </w:p>
  </w:endnote>
  <w:endnote w:id="30">
    <w:p w14:paraId="0BBC65E2" w14:textId="49E3CBB4" w:rsidR="006A06DD" w:rsidRPr="00AF7ADF" w:rsidRDefault="006A06DD" w:rsidP="00C53C4F">
      <w:pPr>
        <w:rPr>
          <w:sz w:val="20"/>
          <w:szCs w:val="20"/>
          <w:lang w:eastAsia="ko-KR"/>
        </w:rPr>
      </w:pPr>
      <w:r w:rsidRPr="00723CEB">
        <w:rPr>
          <w:rStyle w:val="EndnoteReference"/>
          <w:sz w:val="20"/>
          <w:szCs w:val="20"/>
        </w:rPr>
        <w:endnoteRef/>
      </w:r>
      <w:r w:rsidRPr="00723CEB">
        <w:rPr>
          <w:sz w:val="20"/>
          <w:szCs w:val="20"/>
          <w:lang w:eastAsia="ko-KR"/>
        </w:rPr>
        <w:t xml:space="preserve"> For a discussion of the links between biodiversity and ecosystem services see Science for Environment Policy (2015) Ecosystem Services and the Environment. In-depth Report 11 produced for the European </w:t>
      </w:r>
      <w:r w:rsidRPr="00AF7ADF">
        <w:rPr>
          <w:sz w:val="20"/>
          <w:szCs w:val="20"/>
          <w:lang w:eastAsia="ko-KR"/>
        </w:rPr>
        <w:t>Commission, DG Environment by the Science Communication Unit, UWE, Bristol. Available at: http://ec.europa.eu/science-environment-policy</w:t>
      </w:r>
    </w:p>
  </w:endnote>
  <w:endnote w:id="31">
    <w:p w14:paraId="720C5D25" w14:textId="34F43E6C" w:rsidR="006A06DD" w:rsidRPr="00723CEB" w:rsidRDefault="006A06DD" w:rsidP="00D03FA0">
      <w:pPr>
        <w:pStyle w:val="EndnoteText"/>
        <w:spacing w:after="240"/>
        <w:rPr>
          <w:rFonts w:ascii="Times New Roman" w:hAnsi="Times New Roman" w:cs="Times New Roman"/>
          <w:i/>
        </w:rPr>
      </w:pPr>
      <w:r w:rsidRPr="00723CEB">
        <w:rPr>
          <w:rStyle w:val="EndnoteReference"/>
          <w:rFonts w:ascii="Times New Roman" w:hAnsi="Times New Roman" w:cs="Times New Roman"/>
        </w:rPr>
        <w:endnoteRef/>
      </w:r>
      <w:r w:rsidRPr="00723CEB">
        <w:rPr>
          <w:rFonts w:ascii="Times New Roman" w:hAnsi="Times New Roman" w:cs="Times New Roman"/>
          <w:lang w:eastAsia="ko-KR"/>
        </w:rPr>
        <w:t xml:space="preserve"> As David </w:t>
      </w:r>
      <w:proofErr w:type="spellStart"/>
      <w:r w:rsidRPr="00723CEB">
        <w:rPr>
          <w:rFonts w:ascii="Times New Roman" w:hAnsi="Times New Roman" w:cs="Times New Roman"/>
          <w:lang w:eastAsia="ko-KR"/>
        </w:rPr>
        <w:t>Takacs</w:t>
      </w:r>
      <w:proofErr w:type="spellEnd"/>
      <w:r w:rsidRPr="00723CEB">
        <w:rPr>
          <w:rFonts w:ascii="Times New Roman" w:hAnsi="Times New Roman" w:cs="Times New Roman"/>
          <w:lang w:eastAsia="ko-KR"/>
        </w:rPr>
        <w:t xml:space="preserve"> has noted, the history of the </w:t>
      </w:r>
      <w:r w:rsidRPr="00723CEB">
        <w:rPr>
          <w:rFonts w:ascii="Times New Roman" w:hAnsi="Times New Roman" w:cs="Times New Roman"/>
        </w:rPr>
        <w:t>term biodiversity is rooted in the founding of the discipline of conser</w:t>
      </w:r>
      <w:r w:rsidRPr="00AF7ADF">
        <w:rPr>
          <w:rFonts w:ascii="Times New Roman" w:hAnsi="Times New Roman" w:cs="Times New Roman"/>
        </w:rPr>
        <w:t xml:space="preserve">vation biology in the late 1970s and 1980s, where it emerged as a way of bringing together scientific discourses regarding species extinction with older conservation ideologies including the protection of the ‘wilderness’. By the early-1990s, ‘biodiversity’ enabled these concerns to be articulated in economic terms, insofar as diversity was figured as the background which supported and enriched economically valuable natures in the form of food, chemicals, ecosystem services, and so on. See: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{"citationItems":[{"id":"ITEM-1","itemData":{"author":[{"dropping-particle":"","family":"Takacs","given":"David","non-dropping-particle":"","parse-names":false,"suffix":""}],"id":"ITEM-1","issued":{"date-parts":[["1996"]]},"publisher":"The John Hopkins University Press","publisher-place":"Baltimore and London","title":"The Idea of Biodiversity: Philosophies of Paradise","type":"book"},"uris":["http://www.mendeley.com/documents/?uuid=a547f25c-c8eb-444a-89e0-883920b8358d"]}],"mendeley":{"formattedCitation":"David Takacs, &lt;i&gt;The Idea of Biodiversity: Philosophies of Paradise&lt;/i&gt; (Baltimore and London: The John Hopkins University Press, 1996).","manualFormatting":"David Takacs, The Idea of Biodiversity: Philosophies of Paradise, Baltimore and London, The John Hopkins University Press, 1996.","plainTextFormattedCitation":"David Takacs, The Idea of Biodiversity: Philosophies of Paradise (Baltimore and London: The John Hopkins University Press, 1996).","previouslyFormattedCitation":"David Takacs, &lt;i&gt;The Idea of Biodiversity: Philosophies of Paradise&lt;/i&gt; (Baltimore and London: The John Hopkins University Press, 1996)."},"properties":{"noteIndex":0},"schema":"https://github.com/citation-style-language/schema/raw/master/csl-citation.json"}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David Takacs, </w:t>
      </w:r>
      <w:r w:rsidRPr="00723CEB">
        <w:rPr>
          <w:rFonts w:ascii="Times New Roman" w:hAnsi="Times New Roman" w:cs="Times New Roman"/>
          <w:i/>
          <w:noProof/>
        </w:rPr>
        <w:t>The Idea of Biodiversity: Philosophies of Paradise</w:t>
      </w:r>
      <w:r w:rsidRPr="00AF7ADF">
        <w:rPr>
          <w:rFonts w:ascii="Times New Roman" w:hAnsi="Times New Roman" w:cs="Times New Roman"/>
          <w:noProof/>
        </w:rPr>
        <w:t>, Baltimore and London, The John Hopkins University Press, 1996.</w:t>
      </w:r>
      <w:r w:rsidRPr="00723CEB">
        <w:rPr>
          <w:rFonts w:ascii="Times New Roman" w:hAnsi="Times New Roman" w:cs="Times New Roman"/>
        </w:rPr>
        <w:fldChar w:fldCharType="end"/>
      </w:r>
    </w:p>
  </w:endnote>
  <w:endnote w:id="32">
    <w:p w14:paraId="48970504" w14:textId="5203D773" w:rsidR="006A06DD" w:rsidRPr="00723CEB" w:rsidRDefault="006A06DD" w:rsidP="004715B6">
      <w:pPr>
        <w:pStyle w:val="EndnoteText"/>
        <w:spacing w:after="240"/>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{"citationItems":[{"id":"ITEM-1","itemData":{"author":[{"dropping-particle":"","family":"CESINE","given":"","non-dropping-particle":"","parse-names":false,"suffix":""}],"container-title":"CESINE Policy Briefing","id":"ITEM-1","issued":{"date-parts":[["2016"]]},"title":"Biodiversity Offsetting in the UK: A Beginner's Guide","type":"article-journal","volume":"1"},"uris":["http://www.mendeley.com/documents/?uuid=510de9f9-c2ca-48e3-8e4c-52ab7d5a7f41"]}],"mendeley":{"formattedCitation":"CESINE, “Biodiversity Offsetting in the UK: A Beginner’s Guide,” &lt;i&gt;CESINE Policy Briefing&lt;/i&gt; 1 (2016).","manualFormatting":"William Adams and Evangelina Apostopoulou, “Biodiversity Offsetting in the UK: A Beginner’s Guide,” CESINE Policy Briefing, 1 (2016)","plainTextFormattedCitation":"CESINE, “Biodiversity Offsetting in the UK: A Beginner’s Guide,” CESINE Policy Briefing 1 (2016).","previouslyFormattedCitation":"CESINE, “Biodiversity Offsetting in the UK: A Beginner’s Guide,” &lt;i&gt;CESINE Policy Briefing&lt;/i&gt; 1 (2016)."},"properties":{"noteIndex":0},"schema":"https://github.com/citation-style-language/schema/raw/master/csl-citation.json"}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William Adams and Evangelina Apostopoulou, “Biodiversity Offsetting in the UK: A Beginner’s Guide,” </w:t>
      </w:r>
      <w:r w:rsidRPr="00723CEB">
        <w:rPr>
          <w:rFonts w:ascii="Times New Roman" w:hAnsi="Times New Roman" w:cs="Times New Roman"/>
          <w:i/>
          <w:noProof/>
        </w:rPr>
        <w:t>CESINE Policy Briefing,</w:t>
      </w:r>
      <w:r w:rsidRPr="00723CEB">
        <w:rPr>
          <w:rFonts w:ascii="Times New Roman" w:hAnsi="Times New Roman" w:cs="Times New Roman"/>
          <w:noProof/>
        </w:rPr>
        <w:t xml:space="preserve"> 1 (2016)</w:t>
      </w:r>
      <w:r w:rsidRPr="00723CEB">
        <w:rPr>
          <w:rFonts w:ascii="Times New Roman" w:hAnsi="Times New Roman" w:cs="Times New Roman"/>
        </w:rPr>
        <w:fldChar w:fldCharType="end"/>
      </w:r>
      <w:r w:rsidRPr="00723CEB">
        <w:rPr>
          <w:rFonts w:ascii="Times New Roman" w:hAnsi="Times New Roman" w:cs="Times New Roman"/>
        </w:rPr>
        <w:t>: https://www.geog.cam.ac.uk/research/projects/biodiversityeconomy/</w:t>
      </w:r>
    </w:p>
  </w:endnote>
  <w:endnote w:id="33">
    <w:p w14:paraId="5F5E5637" w14:textId="633692FA" w:rsidR="006A06DD" w:rsidRPr="00723CEB" w:rsidRDefault="006A06DD" w:rsidP="004715B6">
      <w:pPr>
        <w:pStyle w:val="EndnoteText"/>
        <w:spacing w:after="240"/>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As </w:t>
      </w:r>
      <w:proofErr w:type="spellStart"/>
      <w:r w:rsidRPr="00723CEB">
        <w:rPr>
          <w:rFonts w:ascii="Times New Roman" w:hAnsi="Times New Roman" w:cs="Times New Roman"/>
        </w:rPr>
        <w:t>Dardot</w:t>
      </w:r>
      <w:proofErr w:type="spellEnd"/>
      <w:r w:rsidRPr="00723CEB">
        <w:rPr>
          <w:rFonts w:ascii="Times New Roman" w:hAnsi="Times New Roman" w:cs="Times New Roman"/>
        </w:rPr>
        <w:t xml:space="preserve"> and Laval point out, the ‘Third Way’ pursued by the New Labour government between 1997 and 2010 was very much an attempt to squeeze traditional issues associated with the political left into an approach that did not disrupt the machinations of market forces. See: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{"citationItems":[{"id":"ITEM-1","itemData":{"ISBN":"9781781681763 (hardback)","author":[{"dropping-particle":"","family":"Dardot","given":"Pierre","non-dropping-particle":"","parse-names":false,"suffix":""},{"dropping-particle":"","family":"Laval","given":"Christian","non-dropping-particle":"","parse-names":false,"suffix":""}],"id":"ITEM-1","issued":{"date-parts":[["2013"]]},"number-of-pages":"337 pages","publisher":"Verso","publisher-place":"London ; New York","title":"The new way of the world : on neoliberal society","type":"book"},"uris":["http://www.mendeley.com/documents/?uuid=406d673a-dbdd-491d-a13b-7109261f3324","http://www.mendeley.com/documents/?uuid=aa98efe0-93c1-4a46-8b42-2b42dea17738"]}],"mendeley":{"formattedCitation":"Pierre Dardot and Christian Laval, &lt;i&gt;The New Way of the World : On Neoliberal Society&lt;/i&gt; (London ; New York: Verso, 2013), http://cover.","manualFormatting":"Pierre Dardot and Christian Laval, The New Way of the World : On Neoliberal Society, London, Verso, 2013.","plainTextFormattedCitation":"Pierre Dardot and Christian Laval, The New Way of the World : On Neoliberal Society (London ; New York: Verso, 2013), http://cover.","previouslyFormattedCitation":"Pierre Dardot and Christian Laval, &lt;i&gt;The New Way of the World : On Neoliberal Society&lt;/i&gt; (London ; New York: Verso, 2013), http://cover."},"properties":{"noteIndex":0},"schema":"https://github.com/citation-style-language/schema/raw/master/csl-citation.json"}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Pierre Dardot and Christian Laval, </w:t>
      </w:r>
      <w:r w:rsidRPr="00723CEB">
        <w:rPr>
          <w:rFonts w:ascii="Times New Roman" w:hAnsi="Times New Roman" w:cs="Times New Roman"/>
          <w:i/>
          <w:noProof/>
        </w:rPr>
        <w:t>The New Way of the World : On Neoliberal Society</w:t>
      </w:r>
      <w:r w:rsidRPr="00723CEB">
        <w:rPr>
          <w:rFonts w:ascii="Times New Roman" w:hAnsi="Times New Roman" w:cs="Times New Roman"/>
          <w:noProof/>
        </w:rPr>
        <w:t>, London, Verso, 2013.</w:t>
      </w:r>
      <w:r w:rsidRPr="00723CEB">
        <w:rPr>
          <w:rFonts w:ascii="Times New Roman" w:hAnsi="Times New Roman" w:cs="Times New Roman"/>
        </w:rPr>
        <w:fldChar w:fldCharType="end"/>
      </w:r>
    </w:p>
  </w:endnote>
  <w:endnote w:id="34">
    <w:p w14:paraId="41B99792" w14:textId="7D880F1A" w:rsidR="006A06DD" w:rsidRPr="00723CEB" w:rsidRDefault="006A06DD" w:rsidP="004715B6">
      <w:pPr>
        <w:pStyle w:val="EndnoteText"/>
        <w:spacing w:after="240"/>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{"citationItems":[{"id":"ITEM-1","itemData":{"DOI":"10.1016/j.geoforum.2017.05.013","ISBN":"00167185 (ISSN)","ISSN":"00167185","abstract":"In this paper, by drawing on primary empirical data obtained through 62 interviews in seven case studies we seek to offer a Marxist historical-geographical analysis of biodiversity offsetting policy in England, and its emergence in the context of the global economic crisis, and government aspirations for large-scale urban development projects. By paying attention to the interplay between offsetting, urbanization and the neoliberal reconstruction of conservation, we aim to extend the focus of the neoliberal conservation literature from the role of offsets as ecological 'commodities' to the way offsetting is used to support the production of space(s), place(s) and nature(s) in line with contemporary patterns of capitalist urban growth. In particular, we show how offsetting operationalized new ideas about nature as a stock of biodiversity, how it streamlined planning to support extended urbanization, how it foreclosed public debate about controversial urban development projects, and how it reterritorialized nature-society relationships. We also give a central role to social contestation against the implementation of offsetting in England, drawing attention to its class character and highlighting the potential for a new emancipatory politics that would encompass a 'right to nature' as a key element of struggles for the 'right to the city'.","author":[{"dropping-particle":"","family":"Apostolopoulou","given":"Evangelia","non-dropping-particle":"","parse-names":false,"suffix":""},{"dropping-particle":"","family":"Adams","given":"William M.","non-dropping-particle":"","parse-names":false,"suffix":""}],"container-title":"Geoforum","id":"ITEM-1","issue":"December 2016","issued":{"date-parts":[["2016"]]},"title":"Cutting nature to fit: Urbanization, neoliberalism and biodiversity offsetting in England","type":"article-journal"},"uris":["http://www.mendeley.com/documents/?uuid=ab8e698c-28e2-4c70-b259-059423207f51"]}],"mendeley":{"formattedCitation":"Apostolopoulou and Adams, “Cutting Nature to Fit: Urbanization, Neoliberalism and Biodiversity Offsetting in England.”","manualFormatting":"Apostolopoulou and Adams, 2019, op cit.","plainTextFormattedCitation":"Apostolopoulou and Adams, “Cutting Nature to Fit: Urbanization, Neoliberalism and Biodiversity Offsetting in England.”","previouslyFormattedCitation":"Apostolopoulou and Adams, “Cutting Nature to Fit: Urbanization, Neoliberalism and Biodiversity Offsetting in England.”"},"properties":{"noteIndex":0},"schema":"https://github.com/citation-style-language/schema/raw/master/csl-citation.json"}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Apostolopoulou and Adams, 2019, op cit.</w:t>
      </w:r>
      <w:r w:rsidRPr="00723CEB">
        <w:rPr>
          <w:rFonts w:ascii="Times New Roman" w:hAnsi="Times New Roman" w:cs="Times New Roman"/>
        </w:rPr>
        <w:fldChar w:fldCharType="end"/>
      </w:r>
    </w:p>
  </w:endnote>
  <w:endnote w:id="35">
    <w:p w14:paraId="188DA2D5" w14:textId="2B3D10F3" w:rsidR="006A06DD" w:rsidRPr="00723CEB" w:rsidRDefault="006A06DD" w:rsidP="004715B6">
      <w:pPr>
        <w:pStyle w:val="EndnoteText"/>
        <w:spacing w:after="240"/>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Ibid.</w:t>
      </w:r>
    </w:p>
  </w:endnote>
  <w:endnote w:id="36">
    <w:p w14:paraId="11731951" w14:textId="0C0157B6" w:rsidR="006A06DD" w:rsidRPr="00DC330B" w:rsidRDefault="006A06DD" w:rsidP="00DC330B">
      <w:pPr>
        <w:pStyle w:val="EndnoteText"/>
        <w:spacing w:after="240"/>
        <w:rPr>
          <w:rFonts w:ascii="Times New Roman" w:hAnsi="Times New Roman" w:cs="Times New Roman"/>
        </w:rPr>
      </w:pPr>
      <w:r w:rsidRPr="00DC330B">
        <w:rPr>
          <w:rStyle w:val="EndnoteReference"/>
          <w:rFonts w:ascii="Times New Roman" w:hAnsi="Times New Roman" w:cs="Times New Roman"/>
        </w:rPr>
        <w:endnoteRef/>
      </w:r>
      <w:r w:rsidRPr="00DC330B">
        <w:rPr>
          <w:rFonts w:ascii="Times New Roman" w:hAnsi="Times New Roman" w:cs="Times New Roman"/>
        </w:rPr>
        <w:t xml:space="preserve"> </w:t>
      </w:r>
      <w:r>
        <w:rPr>
          <w:rFonts w:ascii="Times New Roman" w:hAnsi="Times New Roman" w:cs="Times New Roman"/>
        </w:rPr>
        <w:t xml:space="preserve">DEFRA and Natural England, </w:t>
      </w:r>
      <w:r>
        <w:rPr>
          <w:rFonts w:ascii="Times New Roman" w:hAnsi="Times New Roman" w:cs="Times New Roman"/>
          <w:i/>
          <w:iCs/>
        </w:rPr>
        <w:t xml:space="preserve">Collections: Biodiversity Offsetting, </w:t>
      </w:r>
      <w:r>
        <w:rPr>
          <w:rFonts w:ascii="Times New Roman" w:hAnsi="Times New Roman" w:cs="Times New Roman"/>
        </w:rPr>
        <w:t xml:space="preserve">UK Government 2013, </w:t>
      </w:r>
      <w:r w:rsidR="00666A96" w:rsidRPr="008E50D4">
        <w:rPr>
          <w:rStyle w:val="Hyperlink"/>
          <w:rFonts w:ascii="Times New Roman" w:hAnsi="Times New Roman" w:cs="Times New Roman"/>
        </w:rPr>
        <w:t>https://www.gov.uk/government/collections/biodiversity-offsetting</w:t>
      </w:r>
      <w:r w:rsidR="00666A96">
        <w:rPr>
          <w:rFonts w:ascii="Times New Roman" w:hAnsi="Times New Roman" w:cs="Times New Roman"/>
        </w:rPr>
        <w:t xml:space="preserve"> </w:t>
      </w:r>
      <w:r w:rsidR="008E50D4">
        <w:rPr>
          <w:rFonts w:ascii="Times New Roman" w:hAnsi="Times New Roman" w:cs="Times New Roman"/>
        </w:rPr>
        <w:t>[accessed 20</w:t>
      </w:r>
      <w:r w:rsidR="00966B22">
        <w:rPr>
          <w:rFonts w:ascii="Times New Roman" w:hAnsi="Times New Roman" w:cs="Times New Roman"/>
        </w:rPr>
        <w:t xml:space="preserve"> </w:t>
      </w:r>
      <w:r w:rsidR="008E50D4">
        <w:rPr>
          <w:rFonts w:ascii="Times New Roman" w:hAnsi="Times New Roman" w:cs="Times New Roman"/>
        </w:rPr>
        <w:t>March 2019]</w:t>
      </w:r>
    </w:p>
  </w:endnote>
  <w:endnote w:id="37">
    <w:p w14:paraId="7F211921" w14:textId="2A8EA90D"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008E50D4">
        <w:rPr>
          <w:rFonts w:ascii="Times New Roman" w:hAnsi="Times New Roman" w:cs="Times New Roman"/>
        </w:rPr>
        <w:fldChar w:fldCharType="begin" w:fldLock="1"/>
      </w:r>
      <w:r w:rsidR="008E50D4">
        <w:rPr>
          <w:rFonts w:ascii="Times New Roman" w:hAnsi="Times New Roman" w:cs="Times New Roman"/>
        </w:rPr>
        <w:instrText>ADDIN CSL_CITATION {"citationItems":[{"id":"ITEM-1","itemData":{"abstract":"Technical Paper: the metric for the biodiversity offsetting pilot in England","author":[{"dropping-particle":"","family":"DEFRA","given":"","non-dropping-particle":"","parse-names":false,"suffix":""}],"id":"ITEM-1","issue":"March","issued":{"date-parts":[["2012"]]},"title":"Technical Paper: the metric for the biodiversity offsetting pilot in England","type":"report"},"uris":["http://www.mendeley.com/documents/?uuid=1b348d6f-c299-463c-b823-20443760b16a"]}],"mendeley":{"formattedCitation":"DEFRA, “Technical Paper: The Metric for the Biodiversity Offsetting Pilot in England,” 2012, www.defra.gov.uk.","plainTextFormattedCitation":"DEFRA, “Technical Paper: The Metric for the Biodiversity Offsetting Pilot in England,” 2012, www.defra.gov.uk."},"properties":{"noteIndex":0},"schema":"https://github.com/citation-style-language/schema/raw/master/csl-citation.json"}</w:instrText>
      </w:r>
      <w:r w:rsidR="008E50D4">
        <w:rPr>
          <w:rFonts w:ascii="Times New Roman" w:hAnsi="Times New Roman" w:cs="Times New Roman"/>
        </w:rPr>
        <w:fldChar w:fldCharType="separate"/>
      </w:r>
      <w:r w:rsidR="008E50D4" w:rsidRPr="008E50D4">
        <w:rPr>
          <w:rFonts w:ascii="Times New Roman" w:hAnsi="Times New Roman" w:cs="Times New Roman"/>
          <w:noProof/>
        </w:rPr>
        <w:t xml:space="preserve">DEFRA, “Technical Paper: The Metric for the Biodiversity Offsetting Pilot in England,” 2012, </w:t>
      </w:r>
      <w:r w:rsidR="008E50D4">
        <w:rPr>
          <w:rFonts w:ascii="Times New Roman" w:hAnsi="Times New Roman" w:cs="Times New Roman"/>
        </w:rPr>
        <w:fldChar w:fldCharType="end"/>
      </w:r>
      <w:r w:rsidR="008E50D4" w:rsidRPr="008E50D4">
        <w:t xml:space="preserve"> </w:t>
      </w:r>
      <w:hyperlink r:id="rId3" w:history="1">
        <w:r w:rsidR="008E50D4" w:rsidRPr="007969F4">
          <w:rPr>
            <w:rStyle w:val="Hyperlink"/>
            <w:rFonts w:ascii="Times New Roman" w:hAnsi="Times New Roman" w:cs="Times New Roman"/>
          </w:rPr>
          <w:t>https://www.gov.uk/government/publications/technical-paper-the-metric-for-the-biodiversity-offsetting-pilot-in-england</w:t>
        </w:r>
      </w:hyperlink>
      <w:r w:rsidR="008E50D4">
        <w:rPr>
          <w:rFonts w:ascii="Times New Roman" w:hAnsi="Times New Roman" w:cs="Times New Roman"/>
        </w:rPr>
        <w:t xml:space="preserve"> [accessed 1 July 2018]</w:t>
      </w:r>
    </w:p>
    <w:p w14:paraId="3291D592" w14:textId="77777777" w:rsidR="006A06DD" w:rsidRPr="00D931F3" w:rsidRDefault="006A06DD">
      <w:pPr>
        <w:pStyle w:val="EndnoteText"/>
        <w:rPr>
          <w:rFonts w:ascii="Times New Roman" w:hAnsi="Times New Roman" w:cs="Times New Roman"/>
          <w:lang w:val="en-US"/>
        </w:rPr>
      </w:pPr>
    </w:p>
  </w:endnote>
  <w:endnote w:id="38">
    <w:p w14:paraId="73FCFD57" w14:textId="5BCD5BA2"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Natural England, </w:t>
      </w:r>
      <w:r w:rsidRPr="00723CEB">
        <w:rPr>
          <w:rFonts w:ascii="Times New Roman" w:hAnsi="Times New Roman" w:cs="Times New Roman"/>
          <w:i/>
        </w:rPr>
        <w:t>Updating the Defra Biodiversity Metric</w:t>
      </w:r>
      <w:r w:rsidRPr="00723CEB">
        <w:rPr>
          <w:rFonts w:ascii="Times New Roman" w:hAnsi="Times New Roman" w:cs="Times New Roman"/>
        </w:rPr>
        <w:t xml:space="preserve">, Natural England 2018, </w:t>
      </w:r>
      <w:hyperlink r:id="rId4" w:history="1">
        <w:r w:rsidR="002922D5" w:rsidRPr="007969F4">
          <w:rPr>
            <w:rStyle w:val="Hyperlink"/>
            <w:rFonts w:ascii="Times New Roman" w:hAnsi="Times New Roman" w:cs="Times New Roman"/>
          </w:rPr>
          <w:t>http://publications.naturalengland.org.uk/publication/6020204538888192</w:t>
        </w:r>
      </w:hyperlink>
      <w:r w:rsidRPr="00723CEB">
        <w:rPr>
          <w:rFonts w:ascii="Times New Roman" w:hAnsi="Times New Roman" w:cs="Times New Roman"/>
        </w:rPr>
        <w:t xml:space="preserve"> [accessed 20 March 2019)</w:t>
      </w:r>
    </w:p>
    <w:p w14:paraId="2EBC34B8" w14:textId="77777777" w:rsidR="006A06DD" w:rsidRPr="00D931F3" w:rsidRDefault="006A06DD">
      <w:pPr>
        <w:pStyle w:val="EndnoteText"/>
        <w:rPr>
          <w:rFonts w:ascii="Times New Roman" w:hAnsi="Times New Roman" w:cs="Times New Roman"/>
          <w:lang w:val="en-US"/>
        </w:rPr>
      </w:pPr>
    </w:p>
  </w:endnote>
  <w:endnote w:id="39">
    <w:p w14:paraId="4CE204A3" w14:textId="71FA5C5E" w:rsidR="006A06DD" w:rsidRPr="00723CEB" w:rsidRDefault="006A06DD" w:rsidP="001066AF">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A recent UK Government consultation on Biodiversity Offsetting revealed that 42% of all Local Planning Agencies had now carried out some form of off-site compensation to mitigate environmental destruction. This includes ad-hoc species re-locations as well as the more standardised use of biodiversity offsetting</w:t>
      </w:r>
      <w:r w:rsidRPr="00D931F3">
        <w:rPr>
          <w:rFonts w:ascii="Times New Roman" w:hAnsi="Times New Roman" w:cs="Times New Roman"/>
        </w:rPr>
        <w:t xml:space="preserve">. See: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{"citationItems":[{"id":"ITEM-1","itemData":{"author":[{"dropping-particle":"","family":"DEFRA","given":"","non-dropping-particle":"","parse-names":false,"suffix":""}],"id":"ITEM-1","issue":"February","issued":{"date-parts":[["2016"]]},"title":"Consultation on biodiversity offsetting in England","type":"report"},"uris":["http://www.mendeley.com/documents/?uuid=d94b3e76-69ec-40cd-b2b5-5f01d11fa656"]}],"mendeley":{"formattedCitation":"DEFRA, “Consultation on Biodiversity Offsetting in England,” 2016.","manualFormatting":"DEFRA, Consultation on Biodiversity Offsetting in England: Summary of Responses, DEFRA, 2016","plainTextFormattedCitation":"DEFRA, “Consultation on Biodiversity Offsetting in England,” 2016.","previouslyFormattedCitation":"DEFRA, “Consultation on Biodiversity Offsetting in England,” 2016."},"properties":{"noteIndex":0},"schema":"https://github.com/citation-style-language/schema/raw/master/csl-citation.json"}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DEFRA,</w:t>
      </w:r>
      <w:r w:rsidRPr="00723CEB">
        <w:rPr>
          <w:rFonts w:ascii="Times New Roman" w:hAnsi="Times New Roman" w:cs="Times New Roman"/>
          <w:i/>
          <w:noProof/>
        </w:rPr>
        <w:t xml:space="preserve"> Consultation on Biodiversity Offsetting in England: Summary of Responses</w:t>
      </w:r>
      <w:r w:rsidRPr="00723CEB">
        <w:rPr>
          <w:rFonts w:ascii="Times New Roman" w:hAnsi="Times New Roman" w:cs="Times New Roman"/>
          <w:noProof/>
        </w:rPr>
        <w:t xml:space="preserve">, </w:t>
      </w:r>
      <w:r w:rsidRPr="00AF7ADF">
        <w:rPr>
          <w:rFonts w:ascii="Times New Roman" w:hAnsi="Times New Roman" w:cs="Times New Roman"/>
          <w:noProof/>
        </w:rPr>
        <w:t>DEFRA, 2016</w:t>
      </w:r>
      <w:r w:rsidRPr="00723CEB">
        <w:rPr>
          <w:rFonts w:ascii="Times New Roman" w:hAnsi="Times New Roman" w:cs="Times New Roman"/>
        </w:rPr>
        <w:fldChar w:fldCharType="end"/>
      </w:r>
      <w:r w:rsidRPr="00723CEB">
        <w:rPr>
          <w:rFonts w:ascii="Times New Roman" w:hAnsi="Times New Roman" w:cs="Times New Roman"/>
        </w:rPr>
        <w:t xml:space="preserve">, p13, </w:t>
      </w:r>
      <w:r w:rsidR="002922D5" w:rsidRPr="002922D5">
        <w:rPr>
          <w:rFonts w:ascii="Times New Roman" w:hAnsi="Times New Roman" w:cs="Times New Roman"/>
        </w:rPr>
        <w:t>https://assets.publishing.service.gov.uk/government/uploads/system/uploads/attachment_data/file/501240/biodiversity-offsetting-consult-sum-resp.pdf</w:t>
      </w:r>
      <w:r w:rsidRPr="00723CEB">
        <w:rPr>
          <w:rFonts w:ascii="Times New Roman" w:hAnsi="Times New Roman" w:cs="Times New Roman"/>
        </w:rPr>
        <w:t xml:space="preserve"> [accessed 13 March 2019]</w:t>
      </w:r>
    </w:p>
    <w:p w14:paraId="7EA0ED19" w14:textId="77777777" w:rsidR="006A06DD" w:rsidRPr="00D931F3" w:rsidRDefault="006A06DD" w:rsidP="001066AF">
      <w:pPr>
        <w:pStyle w:val="EndnoteText"/>
        <w:rPr>
          <w:rFonts w:ascii="Times New Roman" w:hAnsi="Times New Roman" w:cs="Times New Roman"/>
        </w:rPr>
      </w:pPr>
    </w:p>
  </w:endnote>
  <w:endnote w:id="40">
    <w:p w14:paraId="0D93B4C9" w14:textId="2CB669ED" w:rsidR="006A06DD" w:rsidRPr="00723CEB" w:rsidRDefault="006A06DD" w:rsidP="001066AF">
      <w:pPr>
        <w:rPr>
          <w:sz w:val="20"/>
          <w:szCs w:val="20"/>
        </w:rPr>
      </w:pPr>
      <w:r w:rsidRPr="00723CEB">
        <w:rPr>
          <w:rStyle w:val="EndnoteReference"/>
          <w:sz w:val="20"/>
          <w:szCs w:val="20"/>
        </w:rPr>
        <w:endnoteRef/>
      </w:r>
      <w:r w:rsidRPr="00723CEB">
        <w:rPr>
          <w:sz w:val="20"/>
          <w:szCs w:val="20"/>
        </w:rPr>
        <w:t xml:space="preserve"> See presentation by David Hill, Chair of the Environmental Bank, “Environmental Markets for Ecosystem Services in the UK: Scope, Opportunity and Challenge</w:t>
      </w:r>
      <w:r w:rsidRPr="00D931F3">
        <w:rPr>
          <w:sz w:val="20"/>
          <w:szCs w:val="20"/>
        </w:rPr>
        <w:t>”</w:t>
      </w:r>
      <w:r w:rsidRPr="00726F20">
        <w:rPr>
          <w:sz w:val="20"/>
          <w:szCs w:val="20"/>
        </w:rPr>
        <w:t xml:space="preserve">, </w:t>
      </w:r>
      <w:hyperlink r:id="rId5" w:history="1">
        <w:r w:rsidRPr="00723CEB">
          <w:rPr>
            <w:rStyle w:val="Hyperlink"/>
            <w:sz w:val="20"/>
            <w:szCs w:val="20"/>
          </w:rPr>
          <w:t>http://www.environmentbank.com/files/pesenvironmentalmarketsforbes.pdf</w:t>
        </w:r>
      </w:hyperlink>
      <w:r w:rsidRPr="00723CEB">
        <w:rPr>
          <w:sz w:val="20"/>
          <w:szCs w:val="20"/>
        </w:rPr>
        <w:t xml:space="preserve"> [accessed 19 March 2019]</w:t>
      </w:r>
    </w:p>
  </w:endnote>
  <w:endnote w:id="41">
    <w:p w14:paraId="11DE10D0" w14:textId="6D0A729A" w:rsidR="006A06DD" w:rsidRPr="00723CEB" w:rsidRDefault="006A06DD" w:rsidP="001066AF">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The Environment Bank,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{"citationItems":[{"id":"ITEM-1","itemData":{"author":[{"dropping-particle":"","family":"The Environment Bank","given":"","non-dropping-particle":"","parse-names":false,"suffix":""}],"id":"ITEM-1","issued":{"date-parts":[["2016"]]},"page":"6-9","title":"Newsletter – Spring 2016","type":"article-journal"},"suppress-author":1,"uris":["http://www.mendeley.com/documents/?uuid=2e581f74-ed25-475c-a245-654c5faee7af"]}],"mendeley":{"formattedCitation":"“Newsletter – Spring 2016,” 2016, 6–9.","manualFormatting":"Newsletter – Spring 2016, The Environment Bank, 2016, pp6–9","plainTextFormattedCitation":"“Newsletter – Spring 2016,” 2016, 6–9.","previouslyFormattedCitation":"“Newsletter – Spring 2016,” 2016, 6–9."},"properties":{"noteIndex":0},"schema":"https://github.com/citation-style-language/schema/raw/master/csl-citation.json"}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i/>
          <w:noProof/>
        </w:rPr>
        <w:t>Newsletter – Spring 2016</w:t>
      </w:r>
      <w:r w:rsidRPr="00723CEB">
        <w:rPr>
          <w:rFonts w:ascii="Times New Roman" w:hAnsi="Times New Roman" w:cs="Times New Roman"/>
          <w:noProof/>
        </w:rPr>
        <w:t xml:space="preserve">, The Environment Bank, </w:t>
      </w:r>
      <w:r w:rsidRPr="00AF7ADF">
        <w:rPr>
          <w:rFonts w:ascii="Times New Roman" w:hAnsi="Times New Roman" w:cs="Times New Roman"/>
          <w:noProof/>
        </w:rPr>
        <w:t>2016, pp6–9</w:t>
      </w:r>
      <w:r w:rsidRPr="00723CEB">
        <w:rPr>
          <w:rFonts w:ascii="Times New Roman" w:hAnsi="Times New Roman" w:cs="Times New Roman"/>
        </w:rPr>
        <w:fldChar w:fldCharType="end"/>
      </w:r>
      <w:r w:rsidRPr="00723CEB">
        <w:rPr>
          <w:rFonts w:ascii="Times New Roman" w:hAnsi="Times New Roman" w:cs="Times New Roman"/>
        </w:rPr>
        <w:t xml:space="preserve">, </w:t>
      </w:r>
      <w:hyperlink r:id="rId6" w:history="1">
        <w:r w:rsidR="002922D5" w:rsidRPr="002922D5">
          <w:rPr>
            <w:rStyle w:val="Hyperlink"/>
            <w:rFonts w:ascii="Times New Roman" w:hAnsi="Times New Roman" w:cs="Times New Roman"/>
          </w:rPr>
          <w:t>http://www.environmentbank.com/news/post.php?s=2016-05-24-spring-newsletter</w:t>
        </w:r>
      </w:hyperlink>
      <w:r w:rsidR="002922D5">
        <w:t xml:space="preserve"> </w:t>
      </w:r>
      <w:r w:rsidRPr="00723CEB">
        <w:rPr>
          <w:rFonts w:ascii="Times New Roman" w:hAnsi="Times New Roman" w:cs="Times New Roman"/>
        </w:rPr>
        <w:t>[accessed 21 March 2019]</w:t>
      </w:r>
    </w:p>
    <w:p w14:paraId="7A280248" w14:textId="77777777" w:rsidR="006A06DD" w:rsidRPr="00D931F3" w:rsidRDefault="006A06DD" w:rsidP="001066AF">
      <w:pPr>
        <w:pStyle w:val="EndnoteText"/>
        <w:rPr>
          <w:rFonts w:ascii="Times New Roman" w:hAnsi="Times New Roman" w:cs="Times New Roman"/>
          <w:lang w:val="en-US"/>
        </w:rPr>
      </w:pPr>
    </w:p>
  </w:endnote>
  <w:endnote w:id="42">
    <w:p w14:paraId="14778457" w14:textId="44DB5F0D"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{"citationItems":[{"id":"ITEM-1","itemData":{"URL":"http://www.environmentbank.com/files/the-value-of-habitat-banking-jan19.pptx.pdf","accessed":{"date-parts":[["2019","3","12"]]},"author":[{"dropping-particle":"","family":"The Environment Bank","given":"","non-dropping-particle":"","parse-names":false,"suffix":""}],"container-title":"The Environment Bank","id":"ITEM-1","issued":{"date-parts":[["2019"]]},"title":"Building the foundations of a Restoration Economy – raising investment for habitat banks. Webinar presentation slides","type":"webpage"},"uris":["http://www.mendeley.com/documents/?uuid=2feab107-f2c7-4866-88e0-f9cbfe3c94c8"]}],"mendeley":{"formattedCitation":"The Environment Bank, “Building the Foundations of a Restoration Economy – Raising Investment for Habitat Banks. Webinar Presentation Slides,” The Environment Bank, 2019, http://www.environmentbank.com/files/the-value-of-habitat-banking-jan19.pptx.pdf.","manualFormatting":"The Environment Bank, “Building the Foundations of a Restoration Economy – Raising Investment for Habitat Banks. Webinar Presentation Slides,” The Environment Bank, 2019, available from http://www.environmentbank.com/files/the-value-of-habitat-banking-jan19.pptx.pdf.","plainTextFormattedCitation":"The Environment Bank, “Building the Foundations of a Restoration Economy – Raising Investment for Habitat Banks. Webinar Presentation Slides,” The Environment Bank, 2019, http://www.environmentbank.com/files/the-value-of-habitat-banking-jan19.pptx.pdf.","previouslyFormattedCitation":"The Environment Bank, “Building the Foundations of a Restoration Economy – Raising Investment for Habitat Banks. Webinar Presentation Slides,” The Environment Bank, 2019, http://www.environmentbank.com/files/the-value-of-habitat-banking-jan19.pptx.pdf."},"properties":{"noteIndex":0},"schema":"https://github.com/citation-style-language/schema/raw/master/csl-citation.json"}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The Environment Bank, “Building the Foundations of a Restoration Economy – Raising Investment for Habitat Banks. Webi</w:t>
      </w:r>
      <w:r w:rsidRPr="00D931F3">
        <w:rPr>
          <w:rFonts w:ascii="Times New Roman" w:hAnsi="Times New Roman" w:cs="Times New Roman"/>
          <w:noProof/>
        </w:rPr>
        <w:t xml:space="preserve">nar Presentation Slides,” </w:t>
      </w:r>
      <w:r w:rsidRPr="00726F20">
        <w:rPr>
          <w:rFonts w:ascii="Times New Roman" w:hAnsi="Times New Roman" w:cs="Times New Roman"/>
          <w:noProof/>
        </w:rPr>
        <w:t xml:space="preserve">The Environment Bank, 2019, </w:t>
      </w:r>
      <w:hyperlink r:id="rId7" w:history="1">
        <w:r w:rsidRPr="00966B22">
          <w:rPr>
            <w:rStyle w:val="Hyperlink"/>
            <w:rFonts w:ascii="Times New Roman" w:hAnsi="Times New Roman" w:cs="Times New Roman"/>
            <w:noProof/>
          </w:rPr>
          <w:t>http://www.environmentbank.com/files/the-value-of-habitat-banking-jan19.pptx.pdf.</w:t>
        </w:r>
      </w:hyperlink>
      <w:r w:rsidRPr="00723CEB">
        <w:rPr>
          <w:rFonts w:ascii="Times New Roman" w:hAnsi="Times New Roman" w:cs="Times New Roman"/>
        </w:rPr>
        <w:fldChar w:fldCharType="end"/>
      </w:r>
      <w:r w:rsidRPr="00723CEB">
        <w:rPr>
          <w:rFonts w:ascii="Times New Roman" w:hAnsi="Times New Roman" w:cs="Times New Roman"/>
        </w:rPr>
        <w:t xml:space="preserve"> [accessed 19 March 2019]</w:t>
      </w:r>
    </w:p>
    <w:p w14:paraId="15F2E5E2" w14:textId="77777777" w:rsidR="006A06DD" w:rsidRPr="00D931F3" w:rsidRDefault="006A06DD">
      <w:pPr>
        <w:pStyle w:val="EndnoteText"/>
        <w:rPr>
          <w:rFonts w:ascii="Times New Roman" w:hAnsi="Times New Roman" w:cs="Times New Roman"/>
        </w:rPr>
      </w:pPr>
    </w:p>
  </w:endnote>
  <w:endnote w:id="43">
    <w:p w14:paraId="629507F8" w14:textId="602A9160"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{"citationItems":[{"id":"ITEM-1","itemData":{"DOI":"10.1038/s41893-018-0176-z","ISSN":"2398-9629","abstract":"‘No net loss’ (NNL) biodiversity policies, which seek to neutralize ongoing biodiversity losses caused by economic development activities, are applicable worldwide. Yet, there has been no global assessment concerning practical measures actually implemented under NNL policies. Here, we systematically map the global implementation of biodiversity offsets (‘offsets’)—a crucial yet controversial NNL practice. We find, first, that offsets occupy an area up to two orders of magnitude larger than previously suggested: 12,983 offset projects extending over $$153,679_{ - 64,223}^{ + 25,013}$$153,679-64,223+25,013 km2 across 37 countries. Second, offsets are far from homogeneous in implementation, and emerging economies (particularly in South America) are more dominant in terms of global offsetting area than expected. Third, most offset projects are very small, and the overwhelming majority (99.7%) arise through regulatory requirements rather than prominent project finance safeguards. Our database provides a sampling frame via which future studies could evaluate the efficacy of NNL policies.","author":[{"dropping-particle":"","family":"Bull","given":"Joseph William","non-dropping-particle":"","parse-names":false,"suffix":""},{"dropping-particle":"","family":"Strange","given":"Niels","non-dropping-particle":"","parse-names":false,"suffix":""}],"container-title":"Nature Sustainability","id":"ITEM-1","issue":"12","issued":{"date-parts":[["2018"]]},"page":"790-798","title":"The global extent of biodiversity offset implementation under no net loss policies","type":"article-journal","volume":"1"},"uris":["http://www.mendeley.com/documents/?uuid=68e6b150-ea00-4f33-b919-ee6cee3d031f"]}],"mendeley":{"formattedCitation":"Bull and Strange, “The Global Extent of Biodiversity Offset Implementation under No Net Loss Policies.”","manualFormatting":"Joseph William Bull and Niels Strange, op cit.","plainTextFormattedCitation":"Bull and Strange, “The Global Extent of Biodiversity Offset Implementation under No Net Loss Policies.”","previouslyFormattedCitation":"Joseph William Bull and Niels Strange, “The Global Extent of Biodiversity Offset Implementation under No Net Loss Policies,” &lt;i&gt;Nature Sustainability&lt;/i&gt; 1, no. 12 (2018): 790–98, https://doi.org/10.1038/s41893-018-0176-z."},"properties":{"noteIndex":0},"schema":"https://github.com/citation-style-language/schema/raw/master/csl-citation.json"}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Joseph William Bull and Niels Strange, </w:t>
      </w:r>
      <w:r w:rsidRPr="00AF7ADF">
        <w:rPr>
          <w:rFonts w:ascii="Times New Roman" w:hAnsi="Times New Roman" w:cs="Times New Roman"/>
          <w:noProof/>
        </w:rPr>
        <w:t>op cit.</w:t>
      </w:r>
      <w:r w:rsidRPr="00723CEB">
        <w:rPr>
          <w:rFonts w:ascii="Times New Roman" w:hAnsi="Times New Roman" w:cs="Times New Roman"/>
        </w:rPr>
        <w:fldChar w:fldCharType="end"/>
      </w:r>
    </w:p>
    <w:p w14:paraId="6AA75A4A" w14:textId="77777777" w:rsidR="006A06DD" w:rsidRPr="00D931F3" w:rsidRDefault="006A06DD">
      <w:pPr>
        <w:pStyle w:val="EndnoteText"/>
        <w:rPr>
          <w:rFonts w:ascii="Times New Roman" w:hAnsi="Times New Roman" w:cs="Times New Roman"/>
          <w:lang w:val="en-US"/>
        </w:rPr>
      </w:pPr>
    </w:p>
  </w:endnote>
  <w:endnote w:id="44">
    <w:p w14:paraId="3516FA67" w14:textId="504A7396"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Tucker","given":"GM","non-dropping-particle":"","parse-names":false,"suffix":""},{"dropping-particle":"","family":"Dickie","given":"I","non-dropping-particle":"","parse-names":false,"suffix":""},{"dropping-particle":"","family":"McNeil","given":"D","non-dropping-particle":"","parse-names":false,"suffix":""},{"dropping-particle":"","family":"Rayment","given":"M","non-dropping-particle":"","parse-names":false,"suffix":""},{"dropping-particle":"","family":"Brink","given":"P","non-dropping-particle":"ten","parse-names":false,"suffix":""},{"dropping-particle":"","family":"Underwood","given":"E","non-dropping-particle":"","parse-names":false,"suffix":""}],"id":"ITEM-1","issued":{"date-parts":[["2016"]]},"publisher-place":"London","title":"upporting the Elaboration of the Impact Assessment for a Future EU Initiative on No Net Loss of Biodiversity and Ecosystem Services: Report to the European Commission","type":"report"},"uris":["http://www.mendeley.com/documents/?uuid=84547fa0-7d5d-4d7c-be23-41645c23a38b"]}],"mendeley":{"formattedCitation":"GM Tucker et al., “Upporting the Elaboration of the Impact Assessment for a Future EU Initiative on No Net Loss of Biodiversity and Ecosystem Services: Report to the European Commission” (London, 2016).","manualFormatting":"GM Tucker et al., Supporting the Elaboration of the Impact Assessment for a Future EU Initiative on No Net Loss of Biodiversity and Ecosystem Services: Report to the European Commission, London, Institute for European Environmental Policy, 2016","plainTextFormattedCitation":"GM Tucker et al., “Upporting the Elaboration of the Impact Assessment for a Future EU Initiative on No Net Loss of Biodiversity and Ecosystem Services: Report to the European Commission” (London, 2016).","previouslyFormattedCitation":"GM Tucker et al., “Upporting the Elaboration of the Impact Assessment for a Future EU Initiative on No Net Loss of Biodiversity and Ecosystem Services: Report to the European Commission” (London, 2016)."},"properties":{"noteIndex":0},"schema":"https://github.com/citation-style-language/schema/raw/master/csl-citation.json"}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GM Tucker et al., </w:t>
      </w:r>
      <w:r w:rsidRPr="00723CEB">
        <w:rPr>
          <w:rFonts w:ascii="Times New Roman" w:hAnsi="Times New Roman" w:cs="Times New Roman"/>
          <w:i/>
          <w:noProof/>
        </w:rPr>
        <w:t>Supporting the Elaboration of the Impact Assessment for a Future EU Initiative on No Net Loss of Biodiversity and Ecosystem Ser</w:t>
      </w:r>
      <w:r w:rsidRPr="00D931F3">
        <w:rPr>
          <w:rFonts w:ascii="Times New Roman" w:hAnsi="Times New Roman" w:cs="Times New Roman"/>
          <w:i/>
          <w:noProof/>
        </w:rPr>
        <w:t>vic</w:t>
      </w:r>
      <w:r w:rsidRPr="00726F20">
        <w:rPr>
          <w:rFonts w:ascii="Times New Roman" w:hAnsi="Times New Roman" w:cs="Times New Roman"/>
          <w:i/>
          <w:noProof/>
        </w:rPr>
        <w:t>es: Report to the European Commission</w:t>
      </w:r>
      <w:r w:rsidRPr="00726F20">
        <w:rPr>
          <w:rFonts w:ascii="Times New Roman" w:hAnsi="Times New Roman" w:cs="Times New Roman"/>
          <w:noProof/>
        </w:rPr>
        <w:t>, London, Institute for European Environmental Policy, 2016</w:t>
      </w:r>
      <w:r w:rsidRPr="00723CEB">
        <w:rPr>
          <w:rFonts w:ascii="Times New Roman" w:hAnsi="Times New Roman" w:cs="Times New Roman"/>
        </w:rPr>
        <w:fldChar w:fldCharType="end"/>
      </w:r>
      <w:r w:rsidRPr="00723CEB">
        <w:rPr>
          <w:rFonts w:ascii="Times New Roman" w:hAnsi="Times New Roman" w:cs="Times New Roman"/>
        </w:rPr>
        <w:t xml:space="preserve">, </w:t>
      </w:r>
      <w:hyperlink r:id="rId8" w:history="1">
        <w:r w:rsidRPr="00723CEB">
          <w:rPr>
            <w:rStyle w:val="Hyperlink"/>
            <w:rFonts w:ascii="Times New Roman" w:hAnsi="Times New Roman" w:cs="Times New Roman"/>
          </w:rPr>
          <w:t>http://ec.europa.eu/environment/nature/biodiversity/nnl/pdf/NNL_impact_assessment_support_study.pdf</w:t>
        </w:r>
      </w:hyperlink>
      <w:r w:rsidRPr="00723CEB">
        <w:rPr>
          <w:rFonts w:ascii="Times New Roman" w:hAnsi="Times New Roman" w:cs="Times New Roman"/>
        </w:rPr>
        <w:t xml:space="preserve"> [accessed March 21 2019].</w:t>
      </w:r>
    </w:p>
    <w:p w14:paraId="73AE09B8" w14:textId="77777777" w:rsidR="006A06DD" w:rsidRPr="00D931F3" w:rsidRDefault="006A06DD">
      <w:pPr>
        <w:pStyle w:val="EndnoteText"/>
        <w:rPr>
          <w:rFonts w:ascii="Times New Roman" w:hAnsi="Times New Roman" w:cs="Times New Roman"/>
          <w:lang w:val="en-US"/>
        </w:rPr>
      </w:pPr>
    </w:p>
  </w:endnote>
  <w:endnote w:id="45">
    <w:p w14:paraId="024FDEF0" w14:textId="7B39BABD"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{"citationItems":[{"id":"ITEM-1","itemData":{"DOI":"10.1177/0263276404047414","ISBN":"0263-2764","ISSN":"02632764","abstract":"This article examines the financial technology of derivatives. Derivatives are financial products whose values are based on possible fluctuations in the values of underlying assets. Hence derivatives markets are markets that trade in the risks of other markets. In order for derivatives markets to function, forms of prognostication that can assess the possible future fluctuations of the underlying markets are necessary. What such prognostications do, the article argues, is to create information out of future possibilities. Building upon a notion of virtuality derived from Gilles Deleuze, Ulrich Beck and Niklas Luhmann, the article shows how market risks and uncertainties, by means of prognostications, cease to be mere possibilities and instead come to have virtual existence. Through the technology of derivatives, uncertainty and risk can be rendered virtual and be traded. The article suggests that this technology is an example of a new way in which capitalism is now expanding self-referentially as it creates markets out of markets; and of how it is colonizing the future by developing new technologies for ‘hyper-speculation’, that is, speculation not in the possible developments of a given asset but simply in the risk of such speculation.","author":[{"dropping-particle":"","family":"Arnoldi","given":"Jakob","non-dropping-particle":"","parse-names":false,"suffix":""}],"container-title":"Theory, Culture &amp; Society","id":"ITEM-1","issue":"6","issued":{"date-parts":[["2004"]]},"page":"23-42","title":"Derivatives: Virtual Values and Real Risks","type":"article-journal","volume":"21"},"uris":["http://www.mendeley.com/documents/?uuid=cf278325-57f7-4c93-a173-f37a2b893d24","http://www.mendeley.com/documents/?uuid=c769e2da-4436-49b7-897f-902e1aafc97c"]}],"mendeley":{"formattedCitation":"Jakob Arnoldi, “Derivatives: Virtual Values and Real Risks,” &lt;i&gt;Theory, Culture &amp; Society&lt;/i&gt; 21, no. 6 (2004): 23–42, https://doi.org/10.1177/0263276404047414.","manualFormatting":"Jakob Arnoldi, “Derivatives: Virtual Values and Real Risks,” Theory, Culture &amp; Society, 21, 6 (2004), 23–42.","plainTextFormattedCitation":"Jakob Arnoldi, “Derivatives: Virtual Values and Real Risks,” Theory, Culture &amp; Society 21, no. 6 (2004): 23–42, https://doi.org/10.1177/0263276404047414.","previouslyFormattedCitation":"Jakob Arnoldi, “Derivatives: Virtual Values and Real Risks,” &lt;i&gt;Theory, Culture &amp; Society&lt;/i&gt; 21, no. 6 (2004): 23–42, https://doi.org/10.1177/0263276404047414."},"properties":{"noteIndex":0},"schema":"https://github.com/citation-style-language/schema/raw/master/csl-citation.json"}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Jakob Arnoldi, “Derivatives: Virtual Values and Real Risks,” </w:t>
      </w:r>
      <w:r w:rsidRPr="00723CEB">
        <w:rPr>
          <w:rFonts w:ascii="Times New Roman" w:hAnsi="Times New Roman" w:cs="Times New Roman"/>
          <w:i/>
          <w:noProof/>
        </w:rPr>
        <w:t>Theory, Culture &amp; Society</w:t>
      </w:r>
      <w:r w:rsidRPr="00723CEB">
        <w:rPr>
          <w:rFonts w:ascii="Times New Roman" w:hAnsi="Times New Roman" w:cs="Times New Roman"/>
          <w:noProof/>
        </w:rPr>
        <w:t>, 21, 6 (2004), 23–42.</w:t>
      </w:r>
      <w:r w:rsidRPr="00723CEB">
        <w:rPr>
          <w:rFonts w:ascii="Times New Roman" w:hAnsi="Times New Roman" w:cs="Times New Roman"/>
        </w:rPr>
        <w:fldChar w:fldCharType="end"/>
      </w:r>
    </w:p>
    <w:p w14:paraId="02A0BBE0" w14:textId="77777777" w:rsidR="006A06DD" w:rsidRPr="00D931F3" w:rsidRDefault="006A06DD">
      <w:pPr>
        <w:pStyle w:val="EndnoteText"/>
        <w:rPr>
          <w:rFonts w:ascii="Times New Roman" w:hAnsi="Times New Roman" w:cs="Times New Roman"/>
          <w:lang w:val="en-US"/>
        </w:rPr>
      </w:pPr>
    </w:p>
  </w:endnote>
  <w:endnote w:id="46">
    <w:p w14:paraId="5ACB0712" w14:textId="1AB4B9B5"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{"citationItems":[{"id":"ITEM-1","itemData":{"DOI":"10.1177/0263276409358727","ISBN":"0263-2764","ISSN":"02632764","abstract":"Focusing on the speculative methodologies used to generate models of the financial and meteorological future, this article develops a series of theses on the ‘evental’ and ‘atmospheric’ quality of contemporary power. What is at stake in the circulation of capital today, I argue, is not so much the exchange of equivalents as the universal transmutability of fluctutation. Whether we are dealing with the turbulence of world financial markets or that of complex earth systems, the non-dialectical relation can itself be extracted, recombined and liquefied, as it were, in a dimension of its own. In the same way that financial derivatives price the variable relation between and across national currencies, weather derivatives now make it possible to issue contracts on the unknowable contingencies embedded in complex atmospheric relations. This reconfiguration of value requires a thorough rethinking of classical sociological conceptions of debt, promise and political violence.","author":[{"dropping-particle":"","family":"Cooper","given":"Melinda","non-dropping-particle":"","parse-names":false,"suffix":""}],"container-title":"Theory, Culture and Society","id":"ITEM-1","issue":"2","issued":{"date-parts":[["2010"]]},"page":"167-190","title":"Turbulent worlds: Financial markets and environmental crisis","type":"article-journal","volume":"27"},"uris":["http://www.mendeley.com/documents/?uuid=0f6537aa-b046-4858-a56b-4e28d4a0904a"]},{"id":"ITEM-2","itemData":{"DOI":"10.1016/j.geoforum.2006.10.011","ISBN":"0016-7185","ISSN":"00167185","abstract":"The paper adopts a cultural economy approach to explore the emergence of a market in so-called weather derivatives, referred to in the paper as a form of 'geomoney'. These are specially designed financial products that allow firms to protect their profits against the impact of changing weather conditions. The paper approaches the emergence of this market, and the issues its growth raises, in three interlinked stages. Weather derivatives are located amongst the hybrid collective that is contemporary finance and are analysed through the conceptual apparatus afforded by a cultural economy approach to finance. The paper employs this analytical line to examine the assumptions and models that enable the weather to be turned into a risk and then be transported and traded within capital markets. Through specific examples of weather products together with a discussion of the International Finance Corporation's recent involvement in this market, the paper suggests something of the 'world making' capabilities of finance theory and the politics of finance often hidden beneath the mathematical models. The paper concludes by highlighting not only the usefulness of a cultural economy of finance to geographers but, in light of the examples discussed, the need for cultural economy to recognise and to engage critically in its analysis the politics that such a conceptual approach to the making of financial markets exposes. © 2006 Elsevier Ltd. All rights reserved.","author":[{"dropping-particle":"","family":"Pryke","given":"Michael","non-dropping-particle":"","parse-names":false,"suffix":""}],"container-title":"Geoforum","id":"ITEM-2","issue":"3","issued":{"date-parts":[["2007"]]},"page":"576-588","title":"Geomoney: An option on frost, going long on clouds","type":"article-journal","volume":"38"},"uris":["http://www.mendeley.com/documents/?uuid=5514103f-7c5d-4535-ac28-14163f7cc557","http://www.mendeley.com/documents/?uuid=2d454dde-4678-4d30-b500-c03830214f7e"]},{"id":"ITEM-3","itemData":{"ISSN":"2052-000X","author":[{"dropping-particle":"","family":"Bates","given":"Jo","non-dropping-particle":"","parse-names":false,"suffix":""}],"container-title":"SPERI paper","id":"ITEM-3","issued":{"date-parts":[["2014"]]},"title":"Climate Risk, Big Data and the Weather Market","type":"article-journal","volume":"13"},"uris":["http://www.mendeley.com/documents/?uuid=897c7282-e408-4e69-acf7-5f78bf09fa8c","http://www.mendeley.com/documents/?uuid=e132ed32-30f4-4618-b962-8bc0bdcc2567"]}],"mendeley":{"formattedCitation":"Melinda Cooper, “Turbulent Worlds: Financial Markets and Environmental Crisis,” &lt;i&gt;Theory, Culture and Society&lt;/i&gt; 27, no. 2 (2010): 167–90, https://doi.org/10.1177/0263276409358727; Michael Pryke, “Geomoney: An Option on Frost, Going Long on Clouds,” &lt;i&gt;Geoforum&lt;/i&gt; 38, no. 3 (2007): 576–88, https://doi.org/10.1016/j.geoforum.2006.10.011; Jo Bates, “Climate Risk, Big Data and the Weather Market,” &lt;i&gt;SPERI Paper&lt;/i&gt; 13 (2014).","manualFormatting":"Melinda Cooper, “Turbulent Worlds: Financial Markets and Environmental Crisis,” Theory, Culture and Society 27, 2 (2010), 167–90; Michael Pryke, “Geomoney: An Option on Frost, Going Long on Clouds,” Geoforum 38, 3 (2007), 576–88; Jo Bates, “Climate Risk, Big Data and the Weather Market,” SPERI Paper 13 (2014), 1-16.","plainTextFormattedCitation":"Melinda Cooper, “Turbulent Worlds: Financial Markets and Environmental Crisis,” Theory, Culture and Society 27, no. 2 (2010): 167–90, https://doi.org/10.1177/0263276409358727; Michael Pryke, “Geomoney: An Option on Frost, Going Long on Clouds,” Geoforum 38, no. 3 (2007): 576–88, https://doi.org/10.1016/j.geoforum.2006.10.011; Jo Bates, “Climate Risk, Big Data and the Weather Market,” SPERI Paper 13 (2014).","previouslyFormattedCitation":"Melinda Cooper, “Turbulent Worlds: Financial Markets and Environmental Crisis,” &lt;i&gt;Theory, Culture and Society&lt;/i&gt; 27, no. 2 (2010): 167–90, https://doi.org/10.1177/0263276409358727; Michael Pryke, “Geomoney: An Option on Frost, Going Long on Clouds,” &lt;i&gt;Geoforum&lt;/i&gt; 38, no. 3 (2007): 576–88, https://doi.org/10.1016/j.geoforum.2006.10.011; Jo Bates, “Climate Risk, Big Data and the Weather Market,” &lt;i&gt;SPERI Paper&lt;/i&gt; 13 (2014)."},"properties":{"noteIndex":0},"schema":"https://github.com/citation-style-language/schema/raw/master/csl-citation.json"}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Melinda Cooper, “Turbulent Worlds: Financial Markets and Environmental Crisis,” </w:t>
      </w:r>
      <w:r w:rsidRPr="00723CEB">
        <w:rPr>
          <w:rFonts w:ascii="Times New Roman" w:hAnsi="Times New Roman" w:cs="Times New Roman"/>
          <w:i/>
          <w:noProof/>
        </w:rPr>
        <w:t>Theory, Culture and Society</w:t>
      </w:r>
      <w:r w:rsidRPr="00D931F3">
        <w:rPr>
          <w:rFonts w:ascii="Times New Roman" w:hAnsi="Times New Roman" w:cs="Times New Roman"/>
          <w:noProof/>
        </w:rPr>
        <w:t xml:space="preserve"> 27, 2 (2010), 167–90; Michael Pryke, “Geomoney: An Option on Frost, Going Long on Clouds,” </w:t>
      </w:r>
      <w:r w:rsidRPr="008542DF">
        <w:rPr>
          <w:rFonts w:ascii="Times New Roman" w:hAnsi="Times New Roman" w:cs="Times New Roman"/>
          <w:i/>
          <w:noProof/>
        </w:rPr>
        <w:t>Geoforum</w:t>
      </w:r>
      <w:r w:rsidRPr="008542DF">
        <w:rPr>
          <w:rFonts w:ascii="Times New Roman" w:hAnsi="Times New Roman" w:cs="Times New Roman"/>
          <w:noProof/>
        </w:rPr>
        <w:t xml:space="preserve"> 38, 3 (2007), 576–88; Jo Bates, “Climate Risk, Big Data and the Weather Market,” </w:t>
      </w:r>
      <w:r w:rsidRPr="008542DF">
        <w:rPr>
          <w:rFonts w:ascii="Times New Roman" w:hAnsi="Times New Roman" w:cs="Times New Roman"/>
          <w:i/>
          <w:noProof/>
        </w:rPr>
        <w:t>SPERI Paper</w:t>
      </w:r>
      <w:r w:rsidRPr="008542DF">
        <w:rPr>
          <w:rFonts w:ascii="Times New Roman" w:hAnsi="Times New Roman" w:cs="Times New Roman"/>
          <w:noProof/>
        </w:rPr>
        <w:t xml:space="preserve"> 13 (2014), 1-16.</w:t>
      </w:r>
      <w:r w:rsidRPr="00723CEB">
        <w:rPr>
          <w:rFonts w:ascii="Times New Roman" w:hAnsi="Times New Roman" w:cs="Times New Roman"/>
        </w:rPr>
        <w:fldChar w:fldCharType="end"/>
      </w:r>
    </w:p>
    <w:p w14:paraId="15AFA265" w14:textId="77777777" w:rsidR="006A06DD" w:rsidRPr="00D931F3" w:rsidRDefault="006A06DD">
      <w:pPr>
        <w:pStyle w:val="EndnoteText"/>
        <w:rPr>
          <w:rFonts w:ascii="Times New Roman" w:hAnsi="Times New Roman" w:cs="Times New Roman"/>
          <w:lang w:val="en-US"/>
        </w:rPr>
      </w:pPr>
    </w:p>
  </w:endnote>
  <w:endnote w:id="47">
    <w:p w14:paraId="47C3437D" w14:textId="0DF5ADEC" w:rsidR="006A06DD" w:rsidRPr="00726F20" w:rsidRDefault="006A06DD" w:rsidP="001066AF">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James Mandel et al, “A Derivative Approach to Endangered Species Conservation,” </w:t>
      </w:r>
      <w:r w:rsidRPr="00723CEB">
        <w:rPr>
          <w:rFonts w:ascii="Times New Roman" w:hAnsi="Times New Roman" w:cs="Times New Roman"/>
          <w:i/>
          <w:iCs/>
        </w:rPr>
        <w:t>Frontiers in Ecology and the Environment</w:t>
      </w:r>
      <w:r w:rsidRPr="00D931F3">
        <w:rPr>
          <w:rFonts w:ascii="Times New Roman" w:hAnsi="Times New Roman" w:cs="Times New Roman"/>
        </w:rPr>
        <w:t xml:space="preserve">, 8, 1 (2010), 44–49. </w:t>
      </w:r>
    </w:p>
    <w:p w14:paraId="251DF72D" w14:textId="77777777" w:rsidR="006A06DD" w:rsidRPr="008542DF" w:rsidRDefault="006A06DD" w:rsidP="001066AF">
      <w:pPr>
        <w:pStyle w:val="EndnoteText"/>
        <w:rPr>
          <w:rFonts w:ascii="Times New Roman" w:hAnsi="Times New Roman" w:cs="Times New Roman"/>
        </w:rPr>
      </w:pPr>
    </w:p>
  </w:endnote>
  <w:endnote w:id="48">
    <w:p w14:paraId="052E7802" w14:textId="64E79666" w:rsidR="006A06DD" w:rsidRPr="00DF5C18" w:rsidRDefault="006A06DD" w:rsidP="0026291B">
      <w:pPr>
        <w:rPr>
          <w:sz w:val="20"/>
          <w:szCs w:val="20"/>
          <w:lang w:val="en-US"/>
        </w:rPr>
      </w:pPr>
      <w:r w:rsidRPr="00723CEB">
        <w:rPr>
          <w:rStyle w:val="EndnoteReference"/>
          <w:sz w:val="20"/>
          <w:szCs w:val="20"/>
        </w:rPr>
        <w:endnoteRef/>
      </w:r>
      <w:r w:rsidRPr="00723CEB">
        <w:rPr>
          <w:sz w:val="20"/>
          <w:szCs w:val="20"/>
        </w:rPr>
        <w:t xml:space="preserve"> Richard Little et al, “Environmental Derivatives, Risk Analysis, and Conservation Management,” </w:t>
      </w:r>
      <w:r w:rsidRPr="00D931F3">
        <w:rPr>
          <w:i/>
          <w:iCs/>
          <w:sz w:val="20"/>
          <w:szCs w:val="20"/>
        </w:rPr>
        <w:t xml:space="preserve">Conservation </w:t>
      </w:r>
      <w:r w:rsidRPr="00726F20">
        <w:rPr>
          <w:i/>
          <w:iCs/>
          <w:sz w:val="20"/>
          <w:szCs w:val="20"/>
        </w:rPr>
        <w:t>Letters</w:t>
      </w:r>
      <w:r w:rsidRPr="00726F20">
        <w:rPr>
          <w:sz w:val="20"/>
          <w:szCs w:val="20"/>
        </w:rPr>
        <w:t xml:space="preserve">, 7, 3 (2014), 196–207. </w:t>
      </w:r>
      <w:r w:rsidRPr="008542DF">
        <w:rPr>
          <w:sz w:val="20"/>
          <w:szCs w:val="20"/>
          <w:lang w:val="en-US"/>
        </w:rPr>
        <w:t xml:space="preserve">Other discussions of the use of derivatives in conservation efforts include Dalton, R. “Fishy futures,” </w:t>
      </w:r>
      <w:r w:rsidRPr="008542DF">
        <w:rPr>
          <w:i/>
          <w:sz w:val="20"/>
          <w:szCs w:val="20"/>
          <w:lang w:val="en-US"/>
        </w:rPr>
        <w:t>Nature</w:t>
      </w:r>
      <w:r w:rsidRPr="008542DF">
        <w:rPr>
          <w:sz w:val="20"/>
          <w:szCs w:val="20"/>
          <w:lang w:val="en-US"/>
        </w:rPr>
        <w:t xml:space="preserve">, 437 (2005), 473-474; </w:t>
      </w:r>
      <w:r w:rsidRPr="008542DF">
        <w:rPr>
          <w:sz w:val="20"/>
          <w:szCs w:val="20"/>
        </w:rPr>
        <w:t xml:space="preserve">Eli P </w:t>
      </w:r>
      <w:proofErr w:type="spellStart"/>
      <w:r w:rsidRPr="008542DF">
        <w:rPr>
          <w:sz w:val="20"/>
          <w:szCs w:val="20"/>
        </w:rPr>
        <w:t>Fenichel</w:t>
      </w:r>
      <w:proofErr w:type="spellEnd"/>
      <w:r w:rsidRPr="008542DF">
        <w:rPr>
          <w:sz w:val="20"/>
          <w:szCs w:val="20"/>
          <w:lang w:val="en-US"/>
        </w:rPr>
        <w:t xml:space="preserve"> et al, “Real options for precautionary fisheries management,” </w:t>
      </w:r>
      <w:r w:rsidRPr="008542DF">
        <w:rPr>
          <w:i/>
          <w:sz w:val="20"/>
          <w:szCs w:val="20"/>
          <w:lang w:val="en-US"/>
        </w:rPr>
        <w:t xml:space="preserve">Fish and </w:t>
      </w:r>
      <w:r w:rsidRPr="008542DF">
        <w:rPr>
          <w:sz w:val="20"/>
          <w:szCs w:val="20"/>
          <w:lang w:val="en-US"/>
        </w:rPr>
        <w:t>Fisher</w:t>
      </w:r>
      <w:r w:rsidRPr="004E5E4D">
        <w:rPr>
          <w:sz w:val="20"/>
          <w:szCs w:val="20"/>
          <w:lang w:val="en-US"/>
        </w:rPr>
        <w:t xml:space="preserve">ies, 9, (2008), 121-137; Sian Sullivan, “Banking Nature? The spectacular </w:t>
      </w:r>
      <w:proofErr w:type="spellStart"/>
      <w:r w:rsidRPr="004E5E4D">
        <w:rPr>
          <w:sz w:val="20"/>
          <w:szCs w:val="20"/>
          <w:lang w:val="en-US"/>
        </w:rPr>
        <w:t>financialisation</w:t>
      </w:r>
      <w:proofErr w:type="spellEnd"/>
      <w:r w:rsidRPr="004E5E4D">
        <w:rPr>
          <w:sz w:val="20"/>
          <w:szCs w:val="20"/>
          <w:lang w:val="en-US"/>
        </w:rPr>
        <w:t xml:space="preserve"> of environmental conservation,” </w:t>
      </w:r>
      <w:r w:rsidRPr="00DF5C18">
        <w:rPr>
          <w:i/>
          <w:sz w:val="20"/>
          <w:szCs w:val="20"/>
          <w:lang w:val="en-US"/>
        </w:rPr>
        <w:t>Antipode</w:t>
      </w:r>
      <w:r w:rsidRPr="00DF5C18">
        <w:rPr>
          <w:sz w:val="20"/>
          <w:szCs w:val="20"/>
          <w:lang w:val="en-US"/>
        </w:rPr>
        <w:t>, 45, (2013), 198-217.</w:t>
      </w:r>
    </w:p>
  </w:endnote>
  <w:endnote w:id="49">
    <w:p w14:paraId="4B5DDB98" w14:textId="5C90141D" w:rsidR="006A06DD" w:rsidRPr="00AF7ADF" w:rsidRDefault="006A06DD" w:rsidP="00806F5B">
      <w:pPr>
        <w:pStyle w:val="NormalWeb"/>
        <w:rPr>
          <w:rFonts w:ascii="Times New Roman" w:hAnsi="Times New Roman"/>
        </w:rPr>
      </w:pPr>
      <w:r w:rsidRPr="00723CEB">
        <w:rPr>
          <w:rStyle w:val="EndnoteReference"/>
          <w:rFonts w:ascii="Times New Roman" w:hAnsi="Times New Roman"/>
        </w:rPr>
        <w:endnoteRef/>
      </w:r>
      <w:r w:rsidRPr="00723CEB">
        <w:rPr>
          <w:rFonts w:ascii="Times New Roman" w:hAnsi="Times New Roman"/>
        </w:rPr>
        <w:t xml:space="preserve"> Bram </w:t>
      </w:r>
      <w:proofErr w:type="spellStart"/>
      <w:r w:rsidRPr="00723CEB">
        <w:rPr>
          <w:rFonts w:ascii="Times New Roman" w:hAnsi="Times New Roman"/>
        </w:rPr>
        <w:t>Büscher</w:t>
      </w:r>
      <w:proofErr w:type="spellEnd"/>
      <w:r w:rsidRPr="00723CEB">
        <w:rPr>
          <w:rFonts w:ascii="Times New Roman" w:hAnsi="Times New Roman"/>
        </w:rPr>
        <w:t xml:space="preserve">, “Derivative Nature: Interrogating the Value of Conservation in ‘Boundless Southern Africa.’” </w:t>
      </w:r>
      <w:r w:rsidRPr="00AF7ADF">
        <w:rPr>
          <w:rFonts w:ascii="Times New Roman" w:hAnsi="Times New Roman"/>
          <w:i/>
          <w:iCs/>
        </w:rPr>
        <w:t>Third World Quarterly</w:t>
      </w:r>
      <w:r w:rsidRPr="00AF7ADF">
        <w:rPr>
          <w:rFonts w:ascii="Times New Roman" w:hAnsi="Times New Roman"/>
        </w:rPr>
        <w:t>, 31, 2 (2010), 259–76.</w:t>
      </w:r>
    </w:p>
  </w:endnote>
  <w:endnote w:id="50">
    <w:p w14:paraId="1FA4CDA6" w14:textId="18F21767"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{"citationItems":[{"id":"ITEM-1","itemData":{"ISBN":"1439912246","abstract":"Randy Martin℗ (1957-2015) was Professor of Art and Public Policy at New York University and founder of the graduate program in arts politics. He published many books, as author or editor, including℗ Financialization of Daily Life℗ and℗ Under New Management: Universities, Administrative Labor, and the Professional Turn℗ (both Temple);℗ An Empire of Indifference: American War and the Financial Logic of Risk Management; On Your Marx: Relinking Socialism and the Left; Critical Moves: Dance Studies in Theory and Politics; Socialist Ensembles: Theater and State in Cuba and Nicaragua; and℗ Performance as Po. Acknowledgments; Introduction: Who Knew?; 1. After Economy?; 2. Public Quandary; 3. De-centered Social Kinesthetics; Conclusion: Derivative Knowledge; Notes; Index.","author":[{"dropping-particle":"","family":"Martin","given":"Randy","non-dropping-particle":"","parse-names":false,"suffix":""}],"id":"ITEM-1","issued":{"date-parts":[["2015"]]},"publisher":"Temple University Press","publisher-place":"Philadelphia","title":"Knowledge LTD : toward a social logic of the derivative","type":"book"},"uris":["http://www.mendeley.com/documents/?uuid=b7f5ab8f-40aa-3aa0-ac3a-263f969c8073"]},{"id":"ITEM-2","itemData":{"DOI":"10.1177/0038038514539061","ISBN":"0038-0385","ISSN":"00380385","abstract":"The period since the global financial crisis has seen financial derivatives not only grow quantitatively in financial markets but also expand socially as a calculative logic, giving increasing precision to the concept of capital and hence class relations. The logic of derivatives involves deconstructing ‘things’ into a spectrum of tradable risks. The article identifies the ways in which this logic is spreading into an increasing range of social, economic and political policy domains. It posits how, through the logic of derivatives, a range of sociological issues can be seen and re-thought through the eyes of financial calculus.","author":[{"dropping-particle":"","family":"Bryan","given":"Dick","non-dropping-particle":"","parse-names":false,"suffix":""},{"dropping-particle":"","family":"Rafferty","given":"Michael","non-dropping-particle":"","parse-names":false,"suffix":""}],"container-title":"Sociology","id":"ITEM-2","issue":"5","issued":{"date-parts":[["2014","10","14"]]},"page":"887-903","publisher":"SAGE PublicationsSage UK: London, England","title":"Financial Derivatives as Social Policy beyond Crisis","type":"article-journal","volume":"48"},"uris":["http://www.mendeley.com/documents/?uuid=9b773a0d-6823-320e-847f-182b67c04dad"]},{"id":"ITEM-3","itemData":{"author":[{"dropping-particle":"","family":"Ty","given":"Michelle","non-dropping-particle":"","parse-names":false,"suffix":""}],"container-title":"Symploke","id":"ITEM-3","issue":"1-2","issued":{"date-parts":[["2017"]]},"page":"133-148","title":"Austerity and the Speculative Logic of Derivatives","type":"article-journal","volume":"22"},"uris":["http://www.mendeley.com/documents/?uuid=300f1d6e-149a-444c-b0b9-abd95116daff","http://www.mendeley.com/documents/?uuid=73fa6426-8e33-47db-be3e-98f0aabaf85a"]}],"mendeley":{"formattedCitation":"Randy Martin, &lt;i&gt;Knowledge LTD : Toward a Social Logic of the Derivative&lt;/i&gt; (Philadelphia: Temple University Press, 2015); Dick Bryan and Michael Rafferty, “Financial Derivatives as Social Policy beyond Crisis,” &lt;i&gt;Sociology&lt;/i&gt; 48, no. 5 (October 14, 2014): 887–903, https://doi.org/10.1177/0038038514539061; Michelle Ty, “Austerity and the Speculative Logic of Derivatives,” &lt;i&gt;Symploke&lt;/i&gt; 22, no. 1–2 (2017): 133–48.","manualFormatting":"Bryan and Rafferty, 2014, op cit.; Martin, 2012; 2015; op cit.; Ty, 2017, op cit. ","plainTextFormattedCitation":"Randy Martin, Knowledge LTD : Toward a Social Logic of the Derivative (Philadelphia: Temple University Press, 2015); Dick Bryan and Michael Rafferty, “Financial Derivatives as Social Policy beyond Crisis,” Sociology 48, no. 5 (October 14, 2014): 887–903, https://doi.org/10.1177/0038038514539061; Michelle Ty, “Austerity and the Speculative Logic of Derivatives,” Symploke 22, no. 1–2 (2017): 133–48.","previouslyFormattedCitation":"Randy Martin, &lt;i&gt;Knowledge LTD : Toward a Social Logic of the Derivative&lt;/i&gt; (Philadelphia: Temple University Press, 2015); Dick Bryan and Michael Rafferty, “Financial Derivatives as Social Policy beyond Crisis,” &lt;i&gt;Sociology&lt;/i&gt; 48, no. 5 (October 14, 2014): 887–903, https://doi.org/10.1177/0038038514539061; Michelle Ty, “Austerity and the Speculative Logic of Derivatives,” &lt;i&gt;Symploke&lt;/i&gt; 22, no. 1–2 (2017): 133–48."},"properties":{"noteIndex":0},"schema":"https://github.com/citation-style-language/schema/raw/master/csl-citation.json"}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Bryan and Rafferty, 2014, op cit.; Martin, 2012; 2015; op cit.; Ty, 2017, op cit. </w:t>
      </w:r>
      <w:r w:rsidRPr="00723CEB">
        <w:rPr>
          <w:rFonts w:ascii="Times New Roman" w:hAnsi="Times New Roman" w:cs="Times New Roman"/>
        </w:rPr>
        <w:fldChar w:fldCharType="end"/>
      </w:r>
    </w:p>
    <w:p w14:paraId="621ADE5B" w14:textId="77777777" w:rsidR="006A06DD" w:rsidRPr="00723CEB" w:rsidRDefault="006A06DD">
      <w:pPr>
        <w:pStyle w:val="EndnoteText"/>
        <w:rPr>
          <w:rFonts w:ascii="Times New Roman" w:hAnsi="Times New Roman" w:cs="Times New Roman"/>
          <w:lang w:val="en-US"/>
        </w:rPr>
      </w:pPr>
    </w:p>
  </w:endnote>
  <w:endnote w:id="51">
    <w:p w14:paraId="6693ED7D" w14:textId="05821354" w:rsidR="006A06DD" w:rsidRPr="00723CEB" w:rsidRDefault="006A06DD">
      <w:pPr>
        <w:pStyle w:val="EndnoteText"/>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{"citationItems":[{"id":"ITEM-1","itemData":{"author":[{"dropping-particle":"","family":"Martin","given":"Randy","non-dropping-particle":"","parse-names":false,"suffix":""}],"container-title":"TDR: The Drama Review","id":"ITEM-1","issue":"56","issued":{"date-parts":[["2012"]]},"page":"62-77","title":"A Precarious Dance , a Derivative Sociality","type":"article-journal","volume":"4"},"uris":["http://www.mendeley.com/documents/?uuid=5fe1cfa0-7b7c-420d-9423-59fd96061643","http://www.mendeley.com/documents/?uuid=9894330f-92c0-47b1-9164-bf57e47d03eb"]}],"mendeley":{"formattedCitation":"Randy Martin, “A Precarious Dance , a Derivative Sociality,” &lt;i&gt;TDR: The Drama Review&lt;/i&gt; 4, no. 56 (2012): 62–77.","manualFormatting":"Martin, 2012, op cit. ","plainTextFormattedCitation":"Randy Martin, “A Precarious Dance , a Derivative Sociality,” TDR: The Drama Review 4, no. 56 (2012): 62–77.","previouslyFormattedCitation":"Randy Martin, “A Precarious Dance , a Derivative Sociality,” &lt;i&gt;TDR: The Drama Review&lt;/i&gt; 4, no. 56 (2012): 62–77."},"properties":{"noteIndex":0},"schema":"https://github.com/citation-style-language/schema/raw/master/csl-citation.json"}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Martin, 2012, op cit. </w:t>
      </w:r>
      <w:r w:rsidRPr="00723CEB">
        <w:rPr>
          <w:rFonts w:ascii="Times New Roman" w:hAnsi="Times New Roman" w:cs="Times New Roman"/>
        </w:rPr>
        <w:fldChar w:fldCharType="end"/>
      </w:r>
      <w:r w:rsidRPr="00723CEB">
        <w:rPr>
          <w:rFonts w:ascii="Times New Roman" w:hAnsi="Times New Roman" w:cs="Times New Roman"/>
          <w:lang w:val="en-US"/>
        </w:rPr>
        <w:t xml:space="preserve"> </w:t>
      </w:r>
    </w:p>
    <w:p w14:paraId="636DC99E" w14:textId="77777777" w:rsidR="006A06DD" w:rsidRPr="00D931F3" w:rsidRDefault="006A06DD">
      <w:pPr>
        <w:pStyle w:val="EndnoteText"/>
        <w:rPr>
          <w:rFonts w:ascii="Times New Roman" w:hAnsi="Times New Roman" w:cs="Times New Roman"/>
          <w:lang w:val="en-US"/>
        </w:rPr>
      </w:pPr>
    </w:p>
  </w:endnote>
  <w:endnote w:id="52">
    <w:p w14:paraId="7D1EA23D" w14:textId="7BD842AF" w:rsidR="006A06DD" w:rsidRPr="00726F20"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{"citationItems":[{"id":"ITEM-1","itemData":{"DOI":"10.1177/0263276409358727","ISBN":"0263-2764","ISSN":"02632764","abstract":"Focusing on the speculative methodologies used to generate models of the financial and meteorological future, this article develops a series of theses on the ‘evental’ and ‘atmospheric’ quality of contemporary power. What is at stake in the circulation of capital today, I argue, is not so much the exchange of equivalents as the universal transmutability of fluctutation. Whether we are dealing with the turbulence of world financial markets or that of complex earth systems, the non-dialectical relation can itself be extracted, recombined and liquefied, as it were, in a dimension of its own. In the same way that financial derivatives price the variable relation between and across national currencies, weather derivatives now make it possible to issue contracts on the unknowable contingencies embedded in complex atmospheric relations. This reconfiguration of value requires a thorough rethinking of classical sociological conceptions of debt, promise and political violence.","author":[{"dropping-particle":"","family":"Cooper","given":"Melinda","non-dropping-particle":"","parse-names":false,"suffix":""}],"container-title":"Theory, Culture and Society","id":"ITEM-1","issue":"2","issued":{"date-parts":[["2010"]]},"page":"167-190","title":"Turbulent worlds: Financial markets and environmental crisis","type":"article-journal","volume":"27"},"uris":["http://www.mendeley.com/documents/?uuid=7f2961d1-a42d-4e7c-aafa-068c1b83d795","http://www.mendeley.com/documents/?uuid=7e15d7ba-512a-460a-9b17-0127a9d6f3f0"]},{"id":"ITEM-2","itemData":{"DOI":"10.1177/0038038514539061","ISBN":"0038-0385","ISSN":"00380385","abstract":"The period since the global financial crisis has seen financial derivatives not only grow quantitatively in financial markets but also expand socially as a calculative logic, giving increasing precision to the concept of capital and hence class relations. The logic of derivatives involves deconstructing ‘things’ into a spectrum of tradable risks. The article identifies the ways in which this logic is spreading into an increasing range of social, economic and political policy domains. It posits how, through the logic of derivatives, a range of sociological issues can be seen and re-thought through the eyes of financial calculus.","author":[{"dropping-particle":"","family":"Bryan","given":"Dick","non-dropping-particle":"","parse-names":false,"suffix":""},{"dropping-particle":"","family":"Rafferty","given":"Michael","non-dropping-particle":"","parse-names":false,"suffix":""}],"container-title":"Sociology","id":"ITEM-2","issue":"5","issued":{"date-parts":[["2014","10"]]},"page":"887-903","publisher":"SAGE PublicationsSage UK: London, England","title":"Financial Derivatives as Social Policy beyond Crisis","type":"article-journal","volume":"48"},"uris":["http://www.mendeley.com/documents/?uuid=9f708602-21ac-4818-a402-c5d4503aecc7","http://www.mendeley.com/documents/?uuid=629b5466-656e-4171-8001-d5c5148ae481"]}],"mendeley":{"formattedCitation":"Cooper, “Turbulent Worlds: Financial Markets and Environmental Crisis”; Dick Bryan and Michael Rafferty, “Financial Derivatives as Social Policy beyond Crisis,” &lt;i&gt;Sociology&lt;/i&gt; 48, no. 5 (October 2014): 887–903, https://doi.org/10.1177/0038038514539061.","manualFormatting":"Cooper, 2010, op cit.; Bryan and Rafferty, 2014, op cit. ","plainTextFormattedCitation":"Cooper, “Turbulent Worlds: Financial Markets and Environmental Crisis”; Dick Bryan and Michael Rafferty, “Financial Derivatives as Social Policy beyond Crisis,” Sociology 48, no. 5 (October 2014): 887–903, https://doi.org/10.1177/0038038514539061.","previouslyFormattedCitation":"Cooper, “Turbulent Worlds: Financial Markets and Environmental Crisis”; Dick Bryan and Michael Rafferty, “Financial Derivatives as Social Policy beyond Crisis,” &lt;i&gt;Sociology&lt;/i&gt; 48, no. 5 (October 2014): 887–903, https://doi.org/10.1177/0038038514539061."},"properties":{"noteIndex":0},"schema":"https://github.com/citation-style-language/schema/raw/master/csl-citation.json"}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Cooper, 2010, op cit.; Bryan and Rafferty, 2014, op cit. </w:t>
      </w:r>
      <w:r w:rsidRPr="00723CEB">
        <w:rPr>
          <w:rFonts w:ascii="Times New Roman" w:hAnsi="Times New Roman" w:cs="Times New Roman"/>
        </w:rPr>
        <w:fldChar w:fldCharType="end"/>
      </w:r>
      <w:r w:rsidRPr="00723CEB">
        <w:rPr>
          <w:rFonts w:ascii="Times New Roman" w:hAnsi="Times New Roman" w:cs="Times New Roman"/>
        </w:rPr>
        <w:t xml:space="preserve"> See also Erik Banks, </w:t>
      </w:r>
      <w:r w:rsidRPr="00723CEB">
        <w:rPr>
          <w:rFonts w:ascii="Times New Roman" w:hAnsi="Times New Roman" w:cs="Times New Roman"/>
          <w:i/>
        </w:rPr>
        <w:t>Weather Risk Management: Markets, Products and Applications</w:t>
      </w:r>
      <w:r w:rsidRPr="00D931F3">
        <w:rPr>
          <w:rFonts w:ascii="Times New Roman" w:hAnsi="Times New Roman" w:cs="Times New Roman"/>
        </w:rPr>
        <w:t>, New York, Palgrave Macmillan, 2001.</w:t>
      </w:r>
    </w:p>
    <w:p w14:paraId="517E9084" w14:textId="7105EB7B" w:rsidR="006A06DD" w:rsidRPr="008542DF" w:rsidRDefault="006A06DD">
      <w:pPr>
        <w:pStyle w:val="EndnoteText"/>
        <w:rPr>
          <w:rFonts w:ascii="Times New Roman" w:hAnsi="Times New Roman" w:cs="Times New Roman"/>
          <w:lang w:val="en-US"/>
        </w:rPr>
      </w:pPr>
      <w:r w:rsidRPr="008542DF">
        <w:rPr>
          <w:rFonts w:ascii="Times New Roman" w:hAnsi="Times New Roman" w:cs="Times New Roman"/>
        </w:rPr>
        <w:t xml:space="preserve"> </w:t>
      </w:r>
    </w:p>
  </w:endnote>
  <w:endnote w:id="53">
    <w:p w14:paraId="0C91314D" w14:textId="7AE83548" w:rsidR="006A06DD" w:rsidRPr="00723CEB" w:rsidRDefault="006A06DD">
      <w:pPr>
        <w:pStyle w:val="EndnoteText"/>
        <w:rPr>
          <w:rFonts w:ascii="Times New Roman" w:hAnsi="Times New Roman" w:cs="Times New Roman"/>
          <w:b/>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{"citationItems":[{"id":"ITEM-1","itemData":{"ISBN":"1439912246","abstract":"Randy Martin℗ (1957-2015) was Professor of Art and Public Policy at New York University and founder of the graduate program in arts politics. He published many books, as author or editor, including℗ Financialization of Daily Life℗ and℗ Under New Management: Universities, Administrative Labor, and the Professional Turn℗ (both Temple);℗ An Empire of Indifference: American War and the Financial Logic of Risk Management; On Your Marx: Relinking Socialism and the Left; Critical Moves: Dance Studies in Theory and Politics; Socialist Ensembles: Theater and State in Cuba and Nicaragua; and℗ Performance as Po. Acknowledgments; Introduction: Who Knew?; 1. After Economy?; 2. Public Quandary; 3. De-centered Social Kinesthetics; Conclusion: Derivative Knowledge; Notes; Index.","author":[{"dropping-particle":"","family":"Martin","given":"Randy","non-dropping-particle":"","parse-names":false,"suffix":""}],"id":"ITEM-1","issued":{"date-parts":[["2015"]]},"publisher":"Temple University Press","publisher-place":"Philadelphia","title":"Knowledge LTD : toward a social logic of the derivative","type":"book"},"locator":"76","uris":["http://www.mendeley.com/documents/?uuid=b7f5ab8f-40aa-3aa0-ac3a-263f969c8073"]}],"mendeley":{"formattedCitation":"Martin, &lt;i&gt;Knowledge LTD : Toward a Social Logic of the Derivative&lt;/i&gt;, 76.","manualFormatting":"Martin, 2015, op cit., p76","plainTextFormattedCitation":"Martin, Knowledge LTD : Toward a Social Logic of the Derivative, 76.","previouslyFormattedCitation":"Martin, &lt;i&gt;Knowledge LTD : Toward a Social Logic of the Derivative&lt;/i&gt;, 76."},"properties":{"noteIndex":0},"schema":"https://github.com/citation-style-language/schema/raw/master/csl-citation.json"}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Martin, 2015, op cit., p76</w:t>
      </w:r>
      <w:r w:rsidRPr="00723CEB">
        <w:rPr>
          <w:rFonts w:ascii="Times New Roman" w:hAnsi="Times New Roman" w:cs="Times New Roman"/>
        </w:rPr>
        <w:fldChar w:fldCharType="end"/>
      </w:r>
    </w:p>
  </w:endnote>
  <w:endnote w:id="54">
    <w:p w14:paraId="1CF958FB" w14:textId="2EB4FD66" w:rsidR="006A06DD" w:rsidRPr="00D931F3" w:rsidRDefault="006A06DD" w:rsidP="001A4CA9">
      <w:pPr>
        <w:pStyle w:val="NormalWeb"/>
        <w:rPr>
          <w:rFonts w:ascii="Times New Roman" w:hAnsi="Times New Roman"/>
        </w:rPr>
      </w:pPr>
      <w:r w:rsidRPr="00723CEB">
        <w:rPr>
          <w:rStyle w:val="EndnoteReference"/>
          <w:rFonts w:ascii="Times New Roman" w:hAnsi="Times New Roman"/>
        </w:rPr>
        <w:endnoteRef/>
      </w:r>
      <w:r w:rsidRPr="00723CEB">
        <w:rPr>
          <w:rFonts w:ascii="Times New Roman" w:hAnsi="Times New Roman"/>
        </w:rPr>
        <w:t xml:space="preserve"> </w:t>
      </w:r>
      <w:proofErr w:type="spellStart"/>
      <w:r w:rsidRPr="00723CEB">
        <w:rPr>
          <w:rFonts w:ascii="Times New Roman" w:hAnsi="Times New Roman"/>
        </w:rPr>
        <w:t>Apostolopoulou</w:t>
      </w:r>
      <w:proofErr w:type="spellEnd"/>
      <w:r w:rsidRPr="00723CEB">
        <w:rPr>
          <w:rFonts w:ascii="Times New Roman" w:hAnsi="Times New Roman"/>
        </w:rPr>
        <w:t xml:space="preserve">, Greco, and Adams, 2018, op </w:t>
      </w:r>
      <w:r w:rsidRPr="00AF7ADF">
        <w:rPr>
          <w:rFonts w:ascii="Times New Roman" w:hAnsi="Times New Roman"/>
        </w:rPr>
        <w:t>cit.</w:t>
      </w:r>
    </w:p>
  </w:endnote>
  <w:endnote w:id="55">
    <w:p w14:paraId="233EFED9" w14:textId="0DB1E365" w:rsidR="006A06DD" w:rsidRPr="00723CEB" w:rsidRDefault="006A06DD" w:rsidP="00020CA9">
      <w:pPr>
        <w:pStyle w:val="EndnoteText"/>
        <w:spacing w:after="240"/>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DEFRA, 2012, op cit.</w:t>
      </w:r>
    </w:p>
  </w:endnote>
  <w:endnote w:id="56">
    <w:p w14:paraId="46B65F7B" w14:textId="16F9360E" w:rsidR="006A06DD" w:rsidRPr="008542DF" w:rsidRDefault="006A06DD" w:rsidP="00EB0862">
      <w:pPr>
        <w:rPr>
          <w:sz w:val="20"/>
          <w:szCs w:val="20"/>
        </w:rPr>
      </w:pPr>
      <w:r w:rsidRPr="00723CEB">
        <w:rPr>
          <w:rStyle w:val="EndnoteReference"/>
          <w:sz w:val="20"/>
          <w:szCs w:val="20"/>
        </w:rPr>
        <w:endnoteRef/>
      </w:r>
      <w:r w:rsidRPr="00723CEB">
        <w:rPr>
          <w:sz w:val="20"/>
          <w:szCs w:val="20"/>
        </w:rPr>
        <w:t xml:space="preserve"> The way in which this score is calculated throws up a number of questions, such as the precise meaning of ‘richness’, why it is considered by DEFRA as a sub-attribute of distinctiveness, and how richness differs from other attribute</w:t>
      </w:r>
      <w:r w:rsidRPr="00D931F3">
        <w:rPr>
          <w:sz w:val="20"/>
          <w:szCs w:val="20"/>
        </w:rPr>
        <w:t xml:space="preserve">s such as condition. See </w:t>
      </w:r>
      <w:r w:rsidRPr="00726F20">
        <w:rPr>
          <w:sz w:val="20"/>
          <w:szCs w:val="20"/>
        </w:rPr>
        <w:t xml:space="preserve">Jo </w:t>
      </w:r>
      <w:proofErr w:type="spellStart"/>
      <w:r w:rsidRPr="00726F20">
        <w:rPr>
          <w:sz w:val="20"/>
          <w:szCs w:val="20"/>
        </w:rPr>
        <w:t>Treweek</w:t>
      </w:r>
      <w:proofErr w:type="spellEnd"/>
      <w:r w:rsidRPr="00726F20">
        <w:rPr>
          <w:sz w:val="20"/>
          <w:szCs w:val="20"/>
        </w:rPr>
        <w:t xml:space="preserve"> et al, “Biodiversity offsets: Possible Methods for Measuring Biodiversity Losses and Gains</w:t>
      </w:r>
      <w:r w:rsidRPr="008542DF">
        <w:rPr>
          <w:sz w:val="20"/>
          <w:szCs w:val="20"/>
        </w:rPr>
        <w:t xml:space="preserve"> for Use in the UK,” </w:t>
      </w:r>
      <w:r w:rsidRPr="008542DF">
        <w:rPr>
          <w:i/>
          <w:sz w:val="20"/>
          <w:szCs w:val="20"/>
        </w:rPr>
        <w:t>In practice</w:t>
      </w:r>
      <w:r w:rsidRPr="008542DF">
        <w:rPr>
          <w:sz w:val="20"/>
          <w:szCs w:val="20"/>
        </w:rPr>
        <w:t>, 69 (2010) 29-32.</w:t>
      </w:r>
      <w:r w:rsidRPr="008542DF">
        <w:rPr>
          <w:sz w:val="20"/>
          <w:szCs w:val="20"/>
          <w:lang w:eastAsia="en-GB"/>
        </w:rPr>
        <w:t xml:space="preserve"> </w:t>
      </w:r>
    </w:p>
  </w:endnote>
  <w:endnote w:id="57">
    <w:p w14:paraId="1EA6565A" w14:textId="53413003" w:rsidR="006A06DD" w:rsidRPr="00723CEB" w:rsidRDefault="006A06DD">
      <w:pPr>
        <w:pStyle w:val="EndnoteText"/>
        <w:rPr>
          <w:rFonts w:ascii="Times New Roman" w:hAnsi="Times New Roman" w:cs="Times New Roman"/>
          <w:lang w:val="da-DK"/>
        </w:rPr>
      </w:pPr>
      <w:r w:rsidRPr="00723CEB">
        <w:rPr>
          <w:rStyle w:val="EndnoteReference"/>
          <w:rFonts w:ascii="Times New Roman" w:hAnsi="Times New Roman" w:cs="Times New Roman"/>
        </w:rPr>
        <w:endnoteRef/>
      </w:r>
      <w:r w:rsidRPr="00723CEB">
        <w:rPr>
          <w:rFonts w:ascii="Times New Roman" w:hAnsi="Times New Roman" w:cs="Times New Roman"/>
          <w:lang w:val="da-DK"/>
        </w:rPr>
        <w:t xml:space="preserve"> </w:t>
      </w:r>
      <w:r w:rsidR="000B3542" w:rsidRPr="00723CEB">
        <w:rPr>
          <w:rFonts w:ascii="Times New Roman" w:hAnsi="Times New Roman" w:cs="Times New Roman"/>
          <w:lang w:val="da-DK"/>
        </w:rPr>
        <w:t xml:space="preserve">DEFRA, 2012, op </w:t>
      </w:r>
      <w:proofErr w:type="spellStart"/>
      <w:r w:rsidR="000B3542" w:rsidRPr="00723CEB">
        <w:rPr>
          <w:rFonts w:ascii="Times New Roman" w:hAnsi="Times New Roman" w:cs="Times New Roman"/>
          <w:lang w:val="da-DK"/>
        </w:rPr>
        <w:t>cit</w:t>
      </w:r>
      <w:proofErr w:type="spellEnd"/>
      <w:r w:rsidR="000B3542">
        <w:rPr>
          <w:rFonts w:ascii="Times New Roman" w:hAnsi="Times New Roman" w:cs="Times New Roman"/>
          <w:lang w:val="da-DK"/>
        </w:rPr>
        <w:t xml:space="preserve">., </w:t>
      </w:r>
      <w:r w:rsidRPr="00723CEB">
        <w:rPr>
          <w:rFonts w:ascii="Times New Roman" w:hAnsi="Times New Roman" w:cs="Times New Roman"/>
          <w:lang w:val="da-DK"/>
        </w:rPr>
        <w:t>pp6-7.</w:t>
      </w:r>
    </w:p>
    <w:p w14:paraId="3A076E4D" w14:textId="77777777" w:rsidR="006A06DD" w:rsidRPr="00D931F3" w:rsidRDefault="006A06DD">
      <w:pPr>
        <w:pStyle w:val="EndnoteText"/>
        <w:rPr>
          <w:rFonts w:ascii="Times New Roman" w:hAnsi="Times New Roman" w:cs="Times New Roman"/>
          <w:lang w:val="da-DK"/>
        </w:rPr>
      </w:pPr>
    </w:p>
  </w:endnote>
  <w:endnote w:id="58">
    <w:p w14:paraId="3D85CD03" w14:textId="09C9EB48" w:rsidR="006A06DD" w:rsidRPr="00723CEB" w:rsidRDefault="006A06DD">
      <w:pPr>
        <w:pStyle w:val="EndnoteText"/>
        <w:rPr>
          <w:rFonts w:ascii="Times New Roman" w:hAnsi="Times New Roman" w:cs="Times New Roman"/>
          <w:lang w:val="da-DK"/>
        </w:rPr>
      </w:pPr>
      <w:r w:rsidRPr="00723CEB">
        <w:rPr>
          <w:rStyle w:val="EndnoteReference"/>
          <w:rFonts w:ascii="Times New Roman" w:hAnsi="Times New Roman" w:cs="Times New Roman"/>
        </w:rPr>
        <w:endnoteRef/>
      </w:r>
      <w:r w:rsidRPr="00723CEB">
        <w:rPr>
          <w:rFonts w:ascii="Times New Roman" w:hAnsi="Times New Roman" w:cs="Times New Roman"/>
          <w:lang w:val="da-DK"/>
        </w:rPr>
        <w:t xml:space="preserve"> </w:t>
      </w:r>
      <w:proofErr w:type="spellStart"/>
      <w:r w:rsidRPr="00723CEB">
        <w:rPr>
          <w:rFonts w:ascii="Times New Roman" w:hAnsi="Times New Roman" w:cs="Times New Roman"/>
          <w:lang w:val="da-DK"/>
        </w:rPr>
        <w:t>Apostolopoulou</w:t>
      </w:r>
      <w:proofErr w:type="spellEnd"/>
      <w:r w:rsidRPr="00723CEB">
        <w:rPr>
          <w:rFonts w:ascii="Times New Roman" w:hAnsi="Times New Roman" w:cs="Times New Roman"/>
          <w:lang w:val="da-DK"/>
        </w:rPr>
        <w:t xml:space="preserve">, </w:t>
      </w:r>
      <w:proofErr w:type="spellStart"/>
      <w:r w:rsidRPr="00723CEB">
        <w:rPr>
          <w:rFonts w:ascii="Times New Roman" w:hAnsi="Times New Roman" w:cs="Times New Roman"/>
          <w:lang w:val="da-DK"/>
        </w:rPr>
        <w:t>Greco</w:t>
      </w:r>
      <w:proofErr w:type="spellEnd"/>
      <w:r w:rsidRPr="00723CEB">
        <w:rPr>
          <w:rFonts w:ascii="Times New Roman" w:hAnsi="Times New Roman" w:cs="Times New Roman"/>
          <w:lang w:val="da-DK"/>
        </w:rPr>
        <w:t xml:space="preserve"> and Adams, 2018, op </w:t>
      </w:r>
      <w:proofErr w:type="spellStart"/>
      <w:r w:rsidRPr="00723CEB">
        <w:rPr>
          <w:rFonts w:ascii="Times New Roman" w:hAnsi="Times New Roman" w:cs="Times New Roman"/>
          <w:lang w:val="da-DK"/>
        </w:rPr>
        <w:t>cit</w:t>
      </w:r>
      <w:proofErr w:type="spellEnd"/>
      <w:r w:rsidRPr="00723CEB">
        <w:rPr>
          <w:rFonts w:ascii="Times New Roman" w:hAnsi="Times New Roman" w:cs="Times New Roman"/>
          <w:lang w:val="da-DK"/>
        </w:rPr>
        <w:t xml:space="preserve">. </w:t>
      </w:r>
    </w:p>
  </w:endnote>
  <w:endnote w:id="59">
    <w:p w14:paraId="7B1E8821" w14:textId="4058D099" w:rsidR="006A06DD" w:rsidRPr="00726F20" w:rsidRDefault="006A06DD" w:rsidP="001A4CA9">
      <w:pPr>
        <w:pStyle w:val="NormalWeb"/>
        <w:rPr>
          <w:rFonts w:ascii="Times New Roman" w:hAnsi="Times New Roman"/>
          <w:lang w:val="da-DK"/>
        </w:rPr>
      </w:pPr>
      <w:r w:rsidRPr="00723CEB">
        <w:rPr>
          <w:rStyle w:val="EndnoteReference"/>
          <w:rFonts w:ascii="Times New Roman" w:hAnsi="Times New Roman"/>
        </w:rPr>
        <w:endnoteRef/>
      </w:r>
      <w:r w:rsidRPr="00723CEB">
        <w:rPr>
          <w:rFonts w:ascii="Times New Roman" w:hAnsi="Times New Roman"/>
          <w:lang w:val="da-DK"/>
        </w:rPr>
        <w:t xml:space="preserve"> Evangelia </w:t>
      </w:r>
      <w:proofErr w:type="spellStart"/>
      <w:r w:rsidRPr="00723CEB">
        <w:rPr>
          <w:rFonts w:ascii="Times New Roman" w:hAnsi="Times New Roman"/>
          <w:lang w:val="da-DK"/>
        </w:rPr>
        <w:t>Apostolopoulou</w:t>
      </w:r>
      <w:proofErr w:type="spellEnd"/>
      <w:r w:rsidRPr="00723CEB">
        <w:rPr>
          <w:rFonts w:ascii="Times New Roman" w:hAnsi="Times New Roman"/>
          <w:lang w:val="da-DK"/>
        </w:rPr>
        <w:t xml:space="preserve"> and William M. Adams, “</w:t>
      </w:r>
      <w:proofErr w:type="spellStart"/>
      <w:r w:rsidRPr="00723CEB">
        <w:rPr>
          <w:rFonts w:ascii="Times New Roman" w:hAnsi="Times New Roman"/>
          <w:lang w:val="da-DK"/>
        </w:rPr>
        <w:t>Biodiversity</w:t>
      </w:r>
      <w:proofErr w:type="spellEnd"/>
      <w:r w:rsidRPr="00723CEB">
        <w:rPr>
          <w:rFonts w:ascii="Times New Roman" w:hAnsi="Times New Roman"/>
          <w:lang w:val="da-DK"/>
        </w:rPr>
        <w:t xml:space="preserve"> Offsetting and </w:t>
      </w:r>
      <w:proofErr w:type="spellStart"/>
      <w:r w:rsidRPr="00723CEB">
        <w:rPr>
          <w:rFonts w:ascii="Times New Roman" w:hAnsi="Times New Roman"/>
          <w:lang w:val="da-DK"/>
        </w:rPr>
        <w:t>Conservation</w:t>
      </w:r>
      <w:proofErr w:type="spellEnd"/>
      <w:r w:rsidRPr="00723CEB">
        <w:rPr>
          <w:rFonts w:ascii="Times New Roman" w:hAnsi="Times New Roman"/>
          <w:lang w:val="da-DK"/>
        </w:rPr>
        <w:t xml:space="preserve">: </w:t>
      </w:r>
      <w:proofErr w:type="spellStart"/>
      <w:r w:rsidRPr="00723CEB">
        <w:rPr>
          <w:rFonts w:ascii="Times New Roman" w:hAnsi="Times New Roman"/>
          <w:lang w:val="da-DK"/>
        </w:rPr>
        <w:t>Reframing</w:t>
      </w:r>
      <w:proofErr w:type="spellEnd"/>
      <w:r w:rsidRPr="00723CEB">
        <w:rPr>
          <w:rFonts w:ascii="Times New Roman" w:hAnsi="Times New Roman"/>
          <w:lang w:val="da-DK"/>
        </w:rPr>
        <w:t xml:space="preserve"> Nature to Save It,” </w:t>
      </w:r>
      <w:proofErr w:type="spellStart"/>
      <w:r w:rsidRPr="00D931F3">
        <w:rPr>
          <w:rFonts w:ascii="Times New Roman" w:hAnsi="Times New Roman"/>
          <w:i/>
          <w:iCs/>
          <w:lang w:val="da-DK"/>
        </w:rPr>
        <w:t>Oryx</w:t>
      </w:r>
      <w:proofErr w:type="spellEnd"/>
      <w:r w:rsidRPr="00726F20">
        <w:rPr>
          <w:rFonts w:ascii="Times New Roman" w:hAnsi="Times New Roman"/>
          <w:lang w:val="da-DK"/>
        </w:rPr>
        <w:t xml:space="preserve">, 51, 1 (2017), 23–31. </w:t>
      </w:r>
    </w:p>
  </w:endnote>
  <w:endnote w:id="60">
    <w:p w14:paraId="1FB83090" w14:textId="466E6260" w:rsidR="006A06DD" w:rsidRPr="00DC330B" w:rsidRDefault="006A06DD" w:rsidP="00DC330B">
      <w:pPr>
        <w:pStyle w:val="EndnoteText"/>
        <w:spacing w:after="240"/>
        <w:rPr>
          <w:rFonts w:ascii="Times New Roman" w:hAnsi="Times New Roman" w:cs="Times New Roman"/>
        </w:rPr>
      </w:pPr>
      <w:r w:rsidRPr="00DC330B">
        <w:rPr>
          <w:rStyle w:val="EndnoteReference"/>
          <w:rFonts w:ascii="Times New Roman" w:hAnsi="Times New Roman" w:cs="Times New Roman"/>
        </w:rPr>
        <w:endnoteRef/>
      </w:r>
      <w:r w:rsidRPr="00DC330B">
        <w:rPr>
          <w:rFonts w:ascii="Times New Roman" w:hAnsi="Times New Roman" w:cs="Times New Roman"/>
        </w:rPr>
        <w:t xml:space="preserve"> Martin</w:t>
      </w:r>
      <w:r>
        <w:rPr>
          <w:rFonts w:ascii="Times New Roman" w:hAnsi="Times New Roman" w:cs="Times New Roman"/>
        </w:rPr>
        <w:t>. 2012, op cit., p116</w:t>
      </w:r>
    </w:p>
  </w:endnote>
  <w:endnote w:id="61">
    <w:p w14:paraId="034CEFF7" w14:textId="6973BBF4" w:rsidR="006A06DD" w:rsidRPr="00723CEB" w:rsidRDefault="006A06DD" w:rsidP="001A4CA9">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{"citationItems":[{"id":"ITEM-1","itemData":{"author":[{"dropping-particle":"","family":"Martin","given":"Randy","non-dropping-particle":"","parse-names":false,"suffix":""}],"container-title":"TDR: The Drama Review","id":"ITEM-1","issue":"56","issued":{"date-parts":[["2012"]]},"page":"62-77","title":"A Precarious Dance , a Derivative Sociality","type":"article-journal","volume":"4"},"uris":["http://www.mendeley.com/documents/?uuid=5fe1cfa0-7b7c-420d-9423-59fd96061643","http://www.mendeley.com/documents/?uuid=9894330f-92c0-47b1-9164-bf57e47d03eb"]}],"mendeley":{"formattedCitation":"Martin, “A Precarious Dance , a Derivative Sociality.”","manualFormatting":"ibid., pp66–67","plainTextFormattedCitation":"Martin, “A Precarious Dance , a Derivative Sociality.”","previouslyFormattedCitation":"Martin, “A Precarious Dance , a Derivative Sociality.”"},"properties":{"noteIndex":0},"schema":"https://github.com/citation-style-language/schema/raw/master/csl-citation.json"}</w:instrText>
      </w:r>
      <w:r w:rsidRPr="00723CEB">
        <w:rPr>
          <w:rFonts w:ascii="Times New Roman" w:hAnsi="Times New Roman" w:cs="Times New Roman"/>
        </w:rPr>
        <w:fldChar w:fldCharType="separate"/>
      </w:r>
      <w:r>
        <w:rPr>
          <w:rFonts w:ascii="Times New Roman" w:hAnsi="Times New Roman" w:cs="Times New Roman"/>
          <w:noProof/>
        </w:rPr>
        <w:t>ibid.</w:t>
      </w:r>
      <w:r w:rsidRPr="00723CEB">
        <w:rPr>
          <w:rFonts w:ascii="Times New Roman" w:hAnsi="Times New Roman" w:cs="Times New Roman"/>
          <w:noProof/>
        </w:rPr>
        <w:t>, pp</w:t>
      </w:r>
      <w:r w:rsidRPr="00AF7ADF">
        <w:rPr>
          <w:rFonts w:ascii="Times New Roman" w:hAnsi="Times New Roman" w:cs="Times New Roman"/>
          <w:noProof/>
        </w:rPr>
        <w:t>66–67</w:t>
      </w:r>
      <w:r w:rsidRPr="00723CEB">
        <w:rPr>
          <w:rFonts w:ascii="Times New Roman" w:hAnsi="Times New Roman" w:cs="Times New Roman"/>
        </w:rPr>
        <w:fldChar w:fldCharType="end"/>
      </w:r>
      <w:r w:rsidRPr="00723CEB">
        <w:rPr>
          <w:rFonts w:ascii="Times New Roman" w:hAnsi="Times New Roman" w:cs="Times New Roman"/>
        </w:rPr>
        <w:t xml:space="preserve"> [italics added]</w:t>
      </w:r>
    </w:p>
    <w:p w14:paraId="11432CF1" w14:textId="77777777" w:rsidR="006A06DD" w:rsidRPr="00D931F3" w:rsidRDefault="006A06DD" w:rsidP="001A4CA9">
      <w:pPr>
        <w:pStyle w:val="EndnoteText"/>
        <w:rPr>
          <w:rFonts w:ascii="Times New Roman" w:hAnsi="Times New Roman" w:cs="Times New Roman"/>
          <w:lang w:val="en-US"/>
        </w:rPr>
      </w:pPr>
    </w:p>
  </w:endnote>
  <w:endnote w:id="62">
    <w:p w14:paraId="6F45518E" w14:textId="27D7023F"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{"citationItems":[{"id":"ITEM-1","itemData":{"author":[{"dropping-particle":"","family":"The Environment Bank","given":"","non-dropping-particle":"","parse-names":false,"suffix":""}],"id":"ITEM-1","issue":"March","issued":{"date-parts":[["2017"]]},"title":"Accounting for Biodiversity in planning: A toolkit for Local Planning Authorities in England Accounting for biodiversity in planning A toolkit for Local Planning Authorities in England","type":"article-journal"},"uris":["http://www.mendeley.com/documents/?uuid=5a1e6c8b-7176-4953-8443-7f776f1dbc0a"]}],"mendeley":{"formattedCitation":"The Environment Bank, “Accounting for Biodiversity in Planning: A Toolkit for Local Planning Authorities in England Accounting for Biodiversity in Planning A Toolkit for Local Planning Authorities in England.”","manualFormatting":"The Environment Bank, Accounting for Biodiversity in Planning: A Toolkit for Local Planning Authorities in England,","plainTextFormattedCitation":"The Environment Bank, “Accounting for Biodiversity in Planning: A Toolkit for Local Planning Authorities in England Accounting for Biodiversity in Planning A Toolkit for Local Planning Authorities in England.”","previouslyFormattedCitation":"The Environment Bank, “Accounting for Biodiversity in Planning: A Toolkit for Local Planning Authorities in England Accounting for Biodiversity in Planning A Toolkit for Local Planning Authorities in England.”"},"properties":{"noteIndex":0},"schema":"https://github.com/citation-style-language/schema/raw/master/csl-citation.json"}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The Environment Bank, </w:t>
      </w:r>
      <w:r w:rsidR="00966B22">
        <w:rPr>
          <w:rFonts w:ascii="Times New Roman" w:hAnsi="Times New Roman" w:cs="Times New Roman"/>
          <w:noProof/>
        </w:rPr>
        <w:t>2017</w:t>
      </w:r>
      <w:r w:rsidRPr="00AF7ADF">
        <w:rPr>
          <w:rFonts w:ascii="Times New Roman" w:hAnsi="Times New Roman" w:cs="Times New Roman"/>
          <w:noProof/>
        </w:rPr>
        <w:t>,</w:t>
      </w:r>
      <w:r w:rsidRPr="00723CEB">
        <w:rPr>
          <w:rFonts w:ascii="Times New Roman" w:hAnsi="Times New Roman" w:cs="Times New Roman"/>
        </w:rPr>
        <w:fldChar w:fldCharType="end"/>
      </w:r>
      <w:r w:rsidR="007A4FA0">
        <w:rPr>
          <w:rFonts w:ascii="Times New Roman" w:hAnsi="Times New Roman" w:cs="Times New Roman"/>
        </w:rPr>
        <w:t xml:space="preserve"> op cit.</w:t>
      </w:r>
    </w:p>
    <w:p w14:paraId="34F7EC7B" w14:textId="77777777" w:rsidR="006A06DD" w:rsidRPr="00D931F3" w:rsidRDefault="006A06DD">
      <w:pPr>
        <w:pStyle w:val="EndnoteText"/>
        <w:rPr>
          <w:rFonts w:ascii="Times New Roman" w:hAnsi="Times New Roman" w:cs="Times New Roman"/>
          <w:lang w:val="en-US"/>
        </w:rPr>
      </w:pPr>
    </w:p>
  </w:endnote>
  <w:endnote w:id="63">
    <w:p w14:paraId="4D2331EA" w14:textId="2638074C"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DEFRA, 2012, op </w:t>
      </w:r>
      <w:proofErr w:type="spellStart"/>
      <w:r w:rsidRPr="00723CEB">
        <w:rPr>
          <w:rFonts w:ascii="Times New Roman" w:hAnsi="Times New Roman" w:cs="Times New Roman"/>
        </w:rPr>
        <w:t>cit</w:t>
      </w:r>
      <w:proofErr w:type="spellEnd"/>
      <w:r w:rsidRPr="00723CEB">
        <w:rPr>
          <w:rFonts w:ascii="Times New Roman" w:hAnsi="Times New Roman" w:cs="Times New Roman"/>
        </w:rPr>
        <w:t>, p15</w:t>
      </w:r>
    </w:p>
    <w:p w14:paraId="4E7CB591" w14:textId="77777777" w:rsidR="006A06DD" w:rsidRPr="00D931F3" w:rsidRDefault="006A06DD">
      <w:pPr>
        <w:pStyle w:val="EndnoteText"/>
        <w:rPr>
          <w:rFonts w:ascii="Times New Roman" w:hAnsi="Times New Roman" w:cs="Times New Roman"/>
          <w:lang w:val="en-US"/>
        </w:rPr>
      </w:pPr>
    </w:p>
  </w:endnote>
  <w:endnote w:id="64">
    <w:p w14:paraId="4945F6D3" w14:textId="214E560B" w:rsidR="006A06DD" w:rsidRPr="00AF7ADF"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noProof/>
        </w:rPr>
        <w:t>The Environment Bank</w:t>
      </w:r>
      <w:r w:rsidRPr="00723CEB">
        <w:rPr>
          <w:rFonts w:ascii="Times New Roman" w:hAnsi="Times New Roman" w:cs="Times New Roman"/>
        </w:rPr>
        <w:t>, 2017, op cit., pp26-27</w:t>
      </w:r>
    </w:p>
    <w:p w14:paraId="554799B8" w14:textId="77777777" w:rsidR="006A06DD" w:rsidRPr="00D931F3" w:rsidRDefault="006A06DD">
      <w:pPr>
        <w:pStyle w:val="EndnoteText"/>
        <w:rPr>
          <w:rFonts w:ascii="Times New Roman" w:hAnsi="Times New Roman" w:cs="Times New Roman"/>
          <w:lang w:val="en-US"/>
        </w:rPr>
      </w:pPr>
    </w:p>
  </w:endnote>
  <w:endnote w:id="65">
    <w:p w14:paraId="79C34CBC" w14:textId="538DBD08"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10.1080/03085140120089054","author":[{"dropping-particle":"","family":"Aglietta","given":"Michel","non-dropping-particle":"","parse-names":false,"suffix":""},{"dropping-particle":"","family":"Breton","given":"Régis","non-dropping-particle":"","parse-names":false,"suffix":""}],"container-title":"Economy and Society","id":"ITEM-1","issue":"4","issued":{"date-parts":[["2001"]]},"page":"433-466","publisher":"Routledge","title":"Financial systems, corporate control and capital accumulation","type":"article-journal","volume":"30"},"uris":["http://www.mendeley.com/documents/?uuid=e648e606-2ccf-46d1-8403-f9e2830a7eb0"]}],"mendeley":{"formattedCitation":"Michel Aglietta and Régis Breton, “Financial Systems, Corporate Control and Capital Accumulation,” &lt;i&gt;Economy and Society&lt;/i&gt; 30, no. 4 (2001): 433–66, https://doi.org/10.1080/03085140120089054.","manualFormatting":"Michel Aglietta and Régis Breton, “Financial Systems, Corporate Control and Capital Accumulation,” Economy and Society 30, 4 (2001): 433–66.","plainTextFormattedCitation":"Michel Aglietta and Régis Breton, “Financial Systems, Corporate Control and Capital Accumulation,” Economy and Society 30, no. 4 (2001): 433–66, https://doi.org/10.1080/03085140120089054.","previouslyFormattedCitation":"Michel Aglietta and Régis Breton, “Financial Systems, Corporate Control and Capital Accumulation,” &lt;i&gt;Economy and Society&lt;/i&gt; 30, no. 4 (2001): 433–66, https://doi.org/10.1080/03085140120089054."},"properties":{"noteIndex":0},"schema":"https://github.com/citation-style-language/schema/raw/master/csl-citation.json"}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Michel Aglietta and Régis Breton, “Financial Systems, Corporate Control and Capital Accumulation,” </w:t>
      </w:r>
      <w:r w:rsidRPr="00723CEB">
        <w:rPr>
          <w:rFonts w:ascii="Times New Roman" w:hAnsi="Times New Roman" w:cs="Times New Roman"/>
          <w:i/>
          <w:noProof/>
        </w:rPr>
        <w:t>Economy and Society</w:t>
      </w:r>
      <w:r w:rsidRPr="00AF7ADF">
        <w:rPr>
          <w:rFonts w:ascii="Times New Roman" w:hAnsi="Times New Roman" w:cs="Times New Roman"/>
          <w:noProof/>
        </w:rPr>
        <w:t xml:space="preserve"> 30, 4 (2001): 433–66.</w:t>
      </w:r>
      <w:r w:rsidRPr="00723CEB">
        <w:rPr>
          <w:rFonts w:ascii="Times New Roman" w:hAnsi="Times New Roman" w:cs="Times New Roman"/>
        </w:rPr>
        <w:fldChar w:fldCharType="end"/>
      </w:r>
    </w:p>
    <w:p w14:paraId="72663898" w14:textId="77777777" w:rsidR="006A06DD" w:rsidRPr="00D931F3" w:rsidRDefault="006A06DD">
      <w:pPr>
        <w:pStyle w:val="EndnoteText"/>
        <w:rPr>
          <w:rFonts w:ascii="Times New Roman" w:hAnsi="Times New Roman" w:cs="Times New Roman"/>
          <w:lang w:val="en-US"/>
        </w:rPr>
      </w:pPr>
    </w:p>
  </w:endnote>
  <w:endnote w:id="66">
    <w:p w14:paraId="5831E4B4" w14:textId="666BF0B2" w:rsidR="006A06DD" w:rsidRPr="00966B22" w:rsidRDefault="006A06DD" w:rsidP="00966B22">
      <w:pPr>
        <w:pStyle w:val="EndnoteText"/>
        <w:spacing w:after="240"/>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{"citationItems":[{"id":"ITEM-1","itemData":{"DOI":"10.1177/0263276409358727","ISBN":"0263-2764","ISSN":"02632764","abstract":"Focusing on the speculative methodologies used to generate models of the financial and meteorological future, this article develops a series of theses on the ‘evental’ and ‘atmospheric’ quality of contemporary power. What is at stake in the circulation of capital today, I argue, is not so much the exchange of equivalents as the universal transmutability of fluctutation. Whether we are dealing with the turbulence of world financial markets or that of complex earth systems, the non-dialectical relation can itself be extracted, recombined and liquefied, as it were, in a dimension of its own. In the same way that financial derivatives price the variable relation between and across national currencies, weather derivatives now make it possible to issue contracts on the unknowable contingencies embedded in complex atmospheric relations. This reconfiguration of value requires a thorough rethinking of classical sociological conceptions of debt, promise and political violence.","author":[{"dropping-particle":"","family":"Cooper","given":"Melinda","non-dropping-particle":"","parse-names":false,"suffix":""}],"container-title":"Theory, Culture and Society","id":"ITEM-1","issue":"2","issued":{"date-parts":[["2010"]]},"page":"167-190","title":"Turbulent worlds: Financial markets and environmental crisis","type":"article-journal","volume":"27"},"uris":["http://www.mendeley.com/documents/?uuid=0f6537aa-b046-4858-a56b-4e28d4a0904a"]}],"mendeley":{"formattedCitation":"Cooper, “Turbulent Worlds: Financial Markets and Environmental Crisis.”","manualFormatting":"Cooper, 2010, op cit.","plainTextFormattedCitation":"Cooper, “Turbulent Worlds: Financial Markets and Environmental Crisis.”","previouslyFormattedCitation":"Cooper, “Turbulent Worlds: Financial Markets and Environmental Crisis.”"},"properties":{"noteIndex":0},"schema":"https://github.com/citation-style-language/schema/raw/master/csl-citation.json"}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Cooper, 2010, op cit.</w:t>
      </w:r>
      <w:r w:rsidRPr="00723CEB">
        <w:rPr>
          <w:rFonts w:ascii="Times New Roman" w:hAnsi="Times New Roman" w:cs="Times New Roman"/>
        </w:rPr>
        <w:fldChar w:fldCharType="end"/>
      </w:r>
    </w:p>
  </w:endnote>
  <w:endnote w:id="67">
    <w:p w14:paraId="06740EB8" w14:textId="65702AC1" w:rsidR="006A06DD" w:rsidRPr="00DC330B" w:rsidRDefault="006A06DD" w:rsidP="00DC330B">
      <w:pPr>
        <w:pStyle w:val="EndnoteText"/>
        <w:spacing w:after="240"/>
        <w:rPr>
          <w:rFonts w:ascii="Times New Roman" w:hAnsi="Times New Roman" w:cs="Times New Roman"/>
        </w:rPr>
      </w:pPr>
      <w:r w:rsidRPr="00DC330B">
        <w:rPr>
          <w:rStyle w:val="EndnoteReference"/>
          <w:rFonts w:ascii="Times New Roman" w:hAnsi="Times New Roman" w:cs="Times New Roman"/>
        </w:rPr>
        <w:endnoteRef/>
      </w:r>
      <w:r w:rsidRPr="00DC330B">
        <w:rPr>
          <w:rFonts w:ascii="Times New Roman" w:hAnsi="Times New Roman" w:cs="Times New Roman"/>
        </w:rPr>
        <w:t xml:space="preserve"> Ibid.</w:t>
      </w:r>
    </w:p>
  </w:endnote>
  <w:endnote w:id="68">
    <w:p w14:paraId="2011448D" w14:textId="75C82A1A"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author":[{"dropping-particle":"","family":"Ty","given":"Michelle","non-dropping-particle":"","parse-names":false,"suffix":""}],"container-title":"Symploke","id":"ITEM-1","issue":"1-2","issued":{"date-parts":[["2017"]]},"page":"133-148","title":"Austerity and the Speculative Logic of Derivatives","type":"article-journal","volume":"22"},"uris":["http://www.mendeley.com/documents/?uuid=73fa6426-8e33-47db-be3e-98f0aabaf85a","http://www.mendeley.com/documents/?uuid=300f1d6e-149a-444c-b0b9-abd95116daff"]}],"mendeley":{"formattedCitation":"Ty, “Austerity and the Speculative Logic of Derivatives.”","manualFormatting":"Ty, 2017, ","plainTextFormattedCitation":"Ty, “Austerity and the Speculative Logic of Derivatives.”","previouslyFormattedCitation":"Ty, “Austerity and the Speculative Logic of Derivatives.”"},"properties":{"noteIndex":0},"schema":"https://github.com/citation-style-language/schema/raw/master/csl-citation.json"}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Ty, 2017,</w:t>
      </w:r>
      <w:r w:rsidRPr="00AF7ADF">
        <w:rPr>
          <w:rFonts w:ascii="Times New Roman" w:hAnsi="Times New Roman" w:cs="Times New Roman"/>
          <w:noProof/>
        </w:rPr>
        <w:t xml:space="preserve"> </w:t>
      </w:r>
      <w:r w:rsidRPr="00723CEB">
        <w:rPr>
          <w:rFonts w:ascii="Times New Roman" w:hAnsi="Times New Roman" w:cs="Times New Roman"/>
        </w:rPr>
        <w:fldChar w:fldCharType="end"/>
      </w:r>
      <w:r w:rsidRPr="00723CEB">
        <w:rPr>
          <w:rFonts w:ascii="Times New Roman" w:hAnsi="Times New Roman" w:cs="Times New Roman"/>
        </w:rPr>
        <w:t>op cit., p140.</w:t>
      </w:r>
    </w:p>
    <w:p w14:paraId="11BB7B7B" w14:textId="77777777" w:rsidR="006A06DD" w:rsidRPr="00D931F3" w:rsidRDefault="006A06DD">
      <w:pPr>
        <w:pStyle w:val="EndnoteText"/>
        <w:rPr>
          <w:rFonts w:ascii="Times New Roman" w:hAnsi="Times New Roman" w:cs="Times New Roman"/>
          <w:lang w:val="en-US"/>
        </w:rPr>
      </w:pPr>
    </w:p>
  </w:endnote>
  <w:endnote w:id="69">
    <w:p w14:paraId="62C003EB" w14:textId="77777777" w:rsidR="006A06DD" w:rsidRPr="008542DF" w:rsidRDefault="006A06DD" w:rsidP="00E75D99">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DEFRA, 2012, op cit., p13. Another way to address this difference in time is through the practice of ‘advanced offsetting’, where the offset site can be prepared </w:t>
      </w:r>
      <w:r w:rsidRPr="00D931F3">
        <w:rPr>
          <w:rFonts w:ascii="Times New Roman" w:hAnsi="Times New Roman" w:cs="Times New Roman"/>
          <w:i/>
        </w:rPr>
        <w:t>before</w:t>
      </w:r>
      <w:r w:rsidRPr="00726F20">
        <w:rPr>
          <w:rFonts w:ascii="Times New Roman" w:hAnsi="Times New Roman" w:cs="Times New Roman"/>
        </w:rPr>
        <w:t xml:space="preserve"> the impact of the development is felt. The aim is to ensure that no net loss oc</w:t>
      </w:r>
      <w:r w:rsidRPr="008542DF">
        <w:rPr>
          <w:rFonts w:ascii="Times New Roman" w:hAnsi="Times New Roman" w:cs="Times New Roman"/>
        </w:rPr>
        <w:t xml:space="preserve">curs to biodiversity as a result of the delay between destroying one habitat and protecting another. </w:t>
      </w:r>
    </w:p>
    <w:p w14:paraId="7B634787" w14:textId="77777777" w:rsidR="006A06DD" w:rsidRPr="00DF5C18" w:rsidRDefault="006A06DD" w:rsidP="00E75D99">
      <w:pPr>
        <w:pStyle w:val="EndnoteText"/>
        <w:rPr>
          <w:rFonts w:ascii="Times New Roman" w:hAnsi="Times New Roman" w:cs="Times New Roman"/>
        </w:rPr>
      </w:pPr>
    </w:p>
  </w:endnote>
  <w:endnote w:id="70">
    <w:p w14:paraId="48CE34F5" w14:textId="1107DE3B" w:rsidR="006A06DD" w:rsidRPr="00D931F3"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lang w:val="en-US"/>
        </w:rPr>
        <w:t>Ibid., pp</w:t>
      </w:r>
      <w:r w:rsidRPr="00AF7ADF">
        <w:rPr>
          <w:rFonts w:ascii="Times New Roman" w:hAnsi="Times New Roman" w:cs="Times New Roman"/>
        </w:rPr>
        <w:t>12-13.</w:t>
      </w:r>
    </w:p>
    <w:p w14:paraId="60253C07" w14:textId="26849ED6" w:rsidR="006A06DD" w:rsidRPr="008542DF" w:rsidRDefault="006A06DD">
      <w:pPr>
        <w:pStyle w:val="EndnoteText"/>
        <w:rPr>
          <w:rFonts w:ascii="Times New Roman" w:hAnsi="Times New Roman" w:cs="Times New Roman"/>
          <w:lang w:val="en-US"/>
        </w:rPr>
      </w:pPr>
      <w:r w:rsidRPr="008542DF">
        <w:rPr>
          <w:rFonts w:ascii="Times New Roman" w:hAnsi="Times New Roman" w:cs="Times New Roman"/>
        </w:rPr>
        <w:t xml:space="preserve"> </w:t>
      </w:r>
    </w:p>
  </w:endnote>
  <w:endnote w:id="71">
    <w:p w14:paraId="5D79DDE1" w14:textId="06DBB9DC" w:rsidR="006A06DD" w:rsidRPr="00726F20" w:rsidRDefault="006A06DD" w:rsidP="00277205">
      <w:pPr>
        <w:pStyle w:val="EndnoteText"/>
        <w:spacing w:after="240"/>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As the DEFRA notes, this kind of hedging can also be supported by another </w:t>
      </w:r>
      <w:r w:rsidR="004556E6">
        <w:rPr>
          <w:rFonts w:ascii="Times New Roman" w:hAnsi="Times New Roman" w:cs="Times New Roman"/>
        </w:rPr>
        <w:t xml:space="preserve">form </w:t>
      </w:r>
      <w:r w:rsidRPr="00723CEB">
        <w:rPr>
          <w:rFonts w:ascii="Times New Roman" w:hAnsi="Times New Roman" w:cs="Times New Roman"/>
        </w:rPr>
        <w:t xml:space="preserve">of ‘hedge betting’ solution whereby multiple </w:t>
      </w:r>
      <w:r w:rsidRPr="00D931F3">
        <w:rPr>
          <w:rFonts w:ascii="Times New Roman" w:hAnsi="Times New Roman" w:cs="Times New Roman"/>
        </w:rPr>
        <w:t>offset sites are used to hedge the risk of failure. This poses the prospect of multiple and parallel temporalities that nevertheless all aim to achieve the same kind of future. DEFRA, 2012, op cit., p12.</w:t>
      </w:r>
    </w:p>
  </w:endnote>
  <w:endnote w:id="72">
    <w:p w14:paraId="039D1AEB" w14:textId="6A94CDEF" w:rsidR="006A06DD" w:rsidRPr="00726F20" w:rsidRDefault="006A06DD">
      <w:pPr>
        <w:pStyle w:val="EndnoteText"/>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proofErr w:type="spellStart"/>
      <w:r w:rsidRPr="00723CEB">
        <w:rPr>
          <w:rFonts w:ascii="Times New Roman" w:eastAsia="Times New Roman" w:hAnsi="Times New Roman" w:cs="Times New Roman"/>
        </w:rPr>
        <w:t>Apostolopoulou</w:t>
      </w:r>
      <w:proofErr w:type="spellEnd"/>
      <w:r w:rsidRPr="00723CEB">
        <w:rPr>
          <w:rFonts w:ascii="Times New Roman" w:eastAsia="Times New Roman" w:hAnsi="Times New Roman" w:cs="Times New Roman"/>
        </w:rPr>
        <w:t xml:space="preserve">, Greco, and Adams, 2018, </w:t>
      </w:r>
      <w:r w:rsidRPr="00AF7ADF">
        <w:rPr>
          <w:rFonts w:ascii="Times New Roman" w:eastAsia="Times New Roman" w:hAnsi="Times New Roman" w:cs="Times New Roman"/>
        </w:rPr>
        <w:t>op cit., p</w:t>
      </w:r>
      <w:r w:rsidRPr="00D931F3">
        <w:rPr>
          <w:rFonts w:ascii="Times New Roman" w:eastAsia="Times New Roman" w:hAnsi="Times New Roman" w:cs="Times New Roman"/>
        </w:rPr>
        <w:t>867</w:t>
      </w:r>
    </w:p>
  </w:endnote>
  <w:endnote w:id="73">
    <w:p w14:paraId="2741E5AB" w14:textId="580E479C" w:rsidR="006A06DD" w:rsidRPr="00D931F3" w:rsidRDefault="006A06DD" w:rsidP="003B46BC">
      <w:pPr>
        <w:pStyle w:val="NormalWeb"/>
        <w:rPr>
          <w:rFonts w:ascii="Times New Roman" w:hAnsi="Times New Roman"/>
        </w:rPr>
      </w:pPr>
      <w:r w:rsidRPr="00723CEB">
        <w:rPr>
          <w:rStyle w:val="EndnoteReference"/>
          <w:rFonts w:ascii="Times New Roman" w:hAnsi="Times New Roman"/>
        </w:rPr>
        <w:endnoteRef/>
      </w:r>
      <w:r w:rsidRPr="00723CEB">
        <w:rPr>
          <w:rFonts w:ascii="Times New Roman" w:hAnsi="Times New Roman"/>
        </w:rPr>
        <w:t xml:space="preserve"> Jakob </w:t>
      </w:r>
      <w:proofErr w:type="spellStart"/>
      <w:r w:rsidRPr="00723CEB">
        <w:rPr>
          <w:rFonts w:ascii="Times New Roman" w:hAnsi="Times New Roman"/>
        </w:rPr>
        <w:t>Arnoldi</w:t>
      </w:r>
      <w:proofErr w:type="spellEnd"/>
      <w:r w:rsidRPr="00723CEB">
        <w:rPr>
          <w:rFonts w:ascii="Times New Roman" w:hAnsi="Times New Roman"/>
        </w:rPr>
        <w:t xml:space="preserve">, “Derivatives: Virtual Values and Real Risks.” </w:t>
      </w:r>
      <w:r w:rsidRPr="00723CEB">
        <w:rPr>
          <w:rFonts w:ascii="Times New Roman" w:hAnsi="Times New Roman"/>
          <w:i/>
          <w:iCs/>
        </w:rPr>
        <w:t>Theory, Culture &amp; Society</w:t>
      </w:r>
      <w:r w:rsidRPr="00723CEB">
        <w:rPr>
          <w:rFonts w:ascii="Times New Roman" w:hAnsi="Times New Roman"/>
        </w:rPr>
        <w:t xml:space="preserve">, 21, 6 (2004) 23–42, For </w:t>
      </w:r>
      <w:proofErr w:type="spellStart"/>
      <w:r w:rsidRPr="00723CEB">
        <w:rPr>
          <w:rFonts w:ascii="Times New Roman" w:hAnsi="Times New Roman"/>
        </w:rPr>
        <w:t>Arnoldi</w:t>
      </w:r>
      <w:proofErr w:type="spellEnd"/>
      <w:r w:rsidRPr="00723CEB">
        <w:rPr>
          <w:rFonts w:ascii="Times New Roman" w:hAnsi="Times New Roman"/>
        </w:rPr>
        <w:t xml:space="preserve"> this curious (non)existence of the future in the present is best described as ‘virtual’, in the sense that Giles Deleuze and Félix</w:t>
      </w:r>
      <w:r w:rsidRPr="00AF7ADF">
        <w:rPr>
          <w:rFonts w:ascii="Times New Roman" w:hAnsi="Times New Roman"/>
        </w:rPr>
        <w:t xml:space="preserve"> </w:t>
      </w:r>
      <w:proofErr w:type="spellStart"/>
      <w:r w:rsidRPr="00AF7ADF">
        <w:rPr>
          <w:rFonts w:ascii="Times New Roman" w:hAnsi="Times New Roman"/>
        </w:rPr>
        <w:t>Guattari</w:t>
      </w:r>
      <w:proofErr w:type="spellEnd"/>
      <w:r w:rsidRPr="00AF7ADF">
        <w:rPr>
          <w:rFonts w:ascii="Times New Roman" w:hAnsi="Times New Roman"/>
        </w:rPr>
        <w:t xml:space="preserve"> gave the term.</w:t>
      </w:r>
    </w:p>
  </w:endnote>
  <w:endnote w:id="74">
    <w:p w14:paraId="1599B937" w14:textId="5FB454CB" w:rsidR="006A06DD" w:rsidRPr="00DF5C18" w:rsidRDefault="006A06DD" w:rsidP="00BB7AF8">
      <w:pPr>
        <w:pStyle w:val="EndnoteText"/>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lang w:val="en-US"/>
        </w:rPr>
        <w:t>The theory of vegetative succession pioneered by Frederic Clement dominated plant ecology in the early twentieth century. It modeled the development of vegetation on the development of an individual organism, which progressed thr</w:t>
      </w:r>
      <w:r w:rsidRPr="00D931F3">
        <w:rPr>
          <w:rFonts w:ascii="Times New Roman" w:hAnsi="Times New Roman" w:cs="Times New Roman"/>
          <w:lang w:val="en-US"/>
        </w:rPr>
        <w:t xml:space="preserve">ough a sequence of stages over time towards a climax community. See Frederic Clements, </w:t>
      </w:r>
      <w:r w:rsidRPr="008542DF">
        <w:rPr>
          <w:rFonts w:ascii="Times New Roman" w:hAnsi="Times New Roman" w:cs="Times New Roman"/>
          <w:i/>
          <w:lang w:val="en-US"/>
        </w:rPr>
        <w:t>Plant Succession: an Analysis of the Development of Vegetation</w:t>
      </w:r>
      <w:r w:rsidRPr="008542DF">
        <w:rPr>
          <w:rFonts w:ascii="Times New Roman" w:hAnsi="Times New Roman" w:cs="Times New Roman"/>
          <w:lang w:val="en-US"/>
        </w:rPr>
        <w:t xml:space="preserve">, Washington, Carnegie Institution of Washington, 1916 </w:t>
      </w:r>
    </w:p>
    <w:p w14:paraId="2425D101" w14:textId="77777777" w:rsidR="006A06DD" w:rsidRPr="00DF5C18" w:rsidRDefault="006A06DD" w:rsidP="00BB7AF8">
      <w:pPr>
        <w:pStyle w:val="EndnoteText"/>
        <w:rPr>
          <w:rFonts w:ascii="Times New Roman" w:hAnsi="Times New Roman" w:cs="Times New Roman"/>
          <w:lang w:val="en-US"/>
        </w:rPr>
      </w:pPr>
    </w:p>
  </w:endnote>
  <w:endnote w:id="75">
    <w:p w14:paraId="31F60C61" w14:textId="7EA5A6E3"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{"citationItems":[{"id":"ITEM-1","itemData":{"DOI":"10.1086/524202","ISBN":"0003-0147","abstract":"&lt;p&gt;Nonlinearity is important and ubiquitous in ecology. Though detectable in principle, nonlinear behavior is often difficult to characterize, analyze, and incorporate mechanistically into models of ecosystem function. One obvious reason is that quantitative nonlinear analysis tools are data intensive ( require long time series), and time series in ecology are generally short. Here we demonstrate a useful method that circumvents data limitation and reduces sampling error by combining ecologically similar multispecies time series into one long time series. With this technique, individual ecological time series containing as few as 20 data points can be mined for such important information as ( 1) significantly improved forecast ability, ( 2) the presence and location of nonlinearity, and ( 3) the effective dimensionality ( the number of relevant variables) of an ecological system.&lt;/p&gt;\n","author":[{"dropping-particle":"","family":"Hsieh","given":"C H","non-dropping-particle":"","parse-names":false,"suffix":""},{"dropping-particle":"","family":"Anderson","given":"C","non-dropping-particle":"","parse-names":false,"suffix":""},{"dropping-particle":"","family":"Sugihara","given":"G","non-dropping-particle":"","parse-names":false,"suffix":""}],"container-title":"American Naturalist","id":"ITEM-1","issue":"1","issued":{"date-parts":[["2008","1"]]},"page":"71-80","title":"Extending Nonlinear analysis to short ecological time series","type":"article-journal","volume":"171"},"uris":["http://www.mendeley.com/documents/?uuid=c7312615-e1ca-4d28-ab06-ed59a737cdc2","http://www.mendeley.com/documents/?uuid=083af5f6-f28f-491c-ad32-bf964b4decde"]},{"id":"ITEM-2","itemData":{"DOI":"10.1111/2041-210X.12804","abstract":"Summary Assessing the consequences of biodiversity changes for ecosystem functioning requires separating the net effect of biodiversity from potential confounding effects such as the identity of the gained or lost species. Additive partitioning methods allow factoring out these species identify effects by comparing species’ functional contributions against the predictions of a null model under which functional contributions are independent of biodiversity. Classic additive partitioning methods quantify biodiversity effects based on a linear relationship between species deviations from the null model and their functional traits. However, based on ecological theory, nonlinear relationships are also possible. Here, we demonstrate how additive-partitioning methods can be extended to describe such nonlinear relationships, and explain how nonlinear biodiversity effects can be interpreted. We apply both linear and nonlinear partitioning methods to the Cedar Creek Biodiversity II experiment. Nonlinear relationships were detected in the majority of plots, and increased with diversity. Nonlinear partitioning thereby identified a convex relationship between species functional traits and their deviations from the null model, driven by strong positive effects of both species with low and high functional trait values trait values on ecosystem functioning. The presented nonlinear extension of additive partitioning methods is therefore essential for revealing more complex biodiversity effects on ecosystem functioning, that are likely to occur in biodiversity experiments.","author":[{"dropping-particle":"","family":"Baert","given":"Jan M","non-dropping-particle":"","parse-names":false,"suffix":""},{"dropping-particle":"","family":"Jaspers","given":"Stijn","non-dropping-particle":"","parse-names":false,"suffix":""},{"dropping-particle":"","family":"Janssen","given":"Colin R","non-dropping-particle":"","parse-names":false,"suffix":""},{"dropping-particle":"","family":"Laender","given":"Frederik","non-dropping-particle":"De","parse-names":false,"suffix":""},{"dropping-particle":"","family":"Aerts","given":"Marc","non-dropping-particle":"","parse-names":false,"suffix":""}],"container-title":"Methods in Ecology and Evolution","id":"ITEM-2","issue":"10","issued":{"date-parts":[["2017"]]},"page":"1233-1240","title":"Nonlinear partitioning of biodiversity effects on ecosystem functioning","type":"article-journal","volume":"8"},"uris":["http://www.mendeley.com/documents/?uuid=ba120bcd-055e-49e7-8087-115bd97fbff1","http://www.mendeley.com/documents/?uuid=606bb634-cdff-476c-a96b-3f2b037e95f5"]},{"id":"ITEM-3","itemData":{"DOI":"10.1073/pnas.1507708112","ISSN":"1091-6490","PMID":"25964347","abstract":"Historically, both experimental and theoretical ecologists have sought to emulate the development of early theory in the physical sciences: the ideal that a few simple equations may accurately predict the complex movement of celestial bodies or interactions among molecules in mixing gasses. In the environmental sciences, such simple clockworks have rarely been found, and rather than predictable stable or recurring patterns, erratic patterns abound. The discovery in the late 1970s through mid-1980s of certain ecological models—such as the Ricker or discrete logistic maps—suggesting erratic fluctuations through dynamic chaos caused what cautionaries may characterize as ecology’s period of “rational exuberance” with respect to hoping that a small set of mathematical equations may explain the erratic dynamics of real-world ecological communities. Upon much discussion, the field as a whole grew skeptical of this idea. In PNAS, Benincà et al. (1) present evidence that the erratic fluctuations in an intertidal rock-pool ecosystem are caused by competitive interactions that cause chaotic dynamics. This important study sheds new light on a number of threads of discussion in contemporary ecology related to variability and predictability in ecology.\n\nTo understand the significance of the study, it is instructive to consider it through the lens of (a very abridged) history of “dynamical systems ecology” during the last 30 y. After May’s (2) analysis of chaotic dynamics in simple ecological models in the mid-1970s and parallel analyses of epidemiological models in the early 1980s (3), there followed a period of some optimism that ecological variability … \n\n[</w:instrText>
      </w:r>
      <w:r w:rsidR="008E50D4">
        <w:rPr>
          <w:rFonts w:ascii="Cambria Math" w:hAnsi="Cambria Math" w:cs="Cambria Math"/>
        </w:rPr>
        <w:instrText>↵</w:instrText>
      </w:r>
      <w:r w:rsidR="008E50D4">
        <w:rPr>
          <w:rFonts w:ascii="Times New Roman" w:hAnsi="Times New Roman" w:cs="Times New Roman"/>
        </w:rPr>
        <w:instrText>][1]1Email: onb1{at}psu.edu.\n\n [1]: #xref-corresp-1-1","author":[{"dropping-particle":"","family":"Bjørnstad","given":"Ottar N","non-dropping-particle":"","parse-names":false,"suffix":""},{"dropping-particle":"","family":"Ballantine","given":"B.","non-dropping-particle":"","parse-names":false,"suffix":""},{"dropping-particle":"","family":"Ellner","given":"SP.","non-dropping-particle":"","parse-names":false,"suffix":""},{"dropping-particle":"","family":"Huisman","given":"J.","non-dropping-particle":"","parse-names":false,"suffix":""}],"container-title":"Proceedings of the National Academy of Sciences of the United States of America","id":"ITEM-3","issue":"20","issued":{"date-parts":[["2015","5"]]},"page":"6252-3","publisher":"National Academy of Sciences","title":"Nonlinearity and chaos in ecological dynamics revisited.","type":"article-journal","volume":"112"},"uris":["http://www.mendeley.com/documents/?uuid=0485d9ce-93df-33cd-85c0-a1076ebd0d71","http://www.mendeley.com/documents/?uuid=a006792b-3fcf-4e50-8dde-91d7ce761648"]}],"mendeley":{"formattedCitation":"C H Hsieh, C Anderson, and G Sugihara, “Extending Nonlinear Analysis to Short Ecological Time Series,” &lt;i&gt;American Naturalist&lt;/i&gt; 171, no. 1 (January 2008): 71–80, https://doi.org/10.1086/524202; Jan M Baert et al., “Nonlinear Partitioning of Biodiversity Effects on Ecosystem Functioning,” &lt;i&gt;Methods in Ecology and Evolution&lt;/i&gt; 8, no. 10 (2017): 1233–40, https://doi.org/10.1111/2041-210X.12804; Ottar N Bjørnstad et al., “Nonlinearity and Chaos in Ecological Dynamics Revisited.,” &lt;i&gt;Proceedings of the National Academy of Sciences of the United States of America&lt;/i&gt; 112, no. 20 (May 2015): 6252–53, https://doi.org/10.1073/pnas.1507708112.","manualFormatting":" Chih‐hao Hsieh et al., “Extending Nonlinear Analysis to Short Ecological Time Series,” American Naturalist 171, 1 (2008), 71–80; Jan M Baert et al., “Nonlinear Partitioning of Biodiversity Effects on Ecosystem Functioning,” Methods in Ecology and Evolution 8, 10 (2017), 1233–40; Ottar N Bjørnstad et al., “Nonlinearity and Chaos in Ecological Dynamics Revisited.,” Proceedings of the National Academy of Sciences of the United States of America 112, 20 (2015), 6252–53.","plainTextFormattedCitation":"C H Hsieh, C Anderson, and G Sugihara, “Extending Nonlinear Analysis to Short Ecological Time Series,” American Naturalist 171, no. 1 (January 2008): 71–80, https://doi.org/10.1086/524202; Jan M Baert et al., “Nonlinear Partitioning of Biodiversity Effects on Ecosystem Functioning,” Methods in Ecology and Evolution 8, no. 10 (2017): 1233–40, https://doi.org/10.1111/2041-210X.12804; Ottar N Bjørnstad et al., “Nonlinearity and Chaos in Ecological Dynamics Revisited.,” Proceedings of the National Academy of Sciences of the United States of America 112, no. 20 (May 2015): 6252–53, https://doi.org/10.1073/pnas.1507708112.","previouslyFormattedCitation":"C H Hsieh, C Anderson, and G Sugihara, “Extending Nonlinear Analysis to Short Ecological Time Series,” &lt;i&gt;American Naturalist&lt;/i&gt; 171, no. 1 (January 2008): 71–80, https://doi.org/10.1086/524202; Jan M Baert et al., “Nonlinear Partitioning of Biodiversity Effects on Ecosystem Functioning,” &lt;i&gt;Methods in Ecology and Evolution&lt;/i&gt; 8, no. 10 (2017): 1233–40, https://doi.org/10.1111/2041-210X.12804; Ottar N Bjørnstad et al., “Nonlinearity and Chaos in Ecological Dynamics Revisited.,” &lt;i&gt;Proceedings of the National Academy of Sciences of the United States of America&lt;/i&gt; 112, no. 20 (May 2015): 6252–53, https://doi.org/10.1073/pnas.1507708112."},"properties":{"noteIndex":0},"schema":"https://github.com/citation-style-language/schema/raw/master/csl-citation.json"}</w:instrText>
      </w:r>
      <w:r w:rsidRPr="00723CEB">
        <w:rPr>
          <w:rFonts w:ascii="Times New Roman" w:hAnsi="Times New Roman" w:cs="Times New Roman"/>
        </w:rPr>
        <w:fldChar w:fldCharType="separate"/>
      </w:r>
      <w:r w:rsidRPr="00723CEB">
        <w:rPr>
          <w:rStyle w:val="entryauthor"/>
          <w:rFonts w:ascii="Times New Roman" w:eastAsia="Times New Roman" w:hAnsi="Times New Roman" w:cs="Times New Roman"/>
          <w:noProof/>
        </w:rPr>
        <w:t xml:space="preserve"> Chih‐hao Hsieh et al.</w:t>
      </w:r>
      <w:r w:rsidRPr="00AF7ADF">
        <w:rPr>
          <w:rFonts w:ascii="Times New Roman" w:hAnsi="Times New Roman" w:cs="Times New Roman"/>
          <w:noProof/>
        </w:rPr>
        <w:t xml:space="preserve">, “Extending Nonlinear Analysis to Short Ecological Time Series,” </w:t>
      </w:r>
      <w:r w:rsidRPr="00D931F3">
        <w:rPr>
          <w:rFonts w:ascii="Times New Roman" w:hAnsi="Times New Roman" w:cs="Times New Roman"/>
          <w:i/>
          <w:noProof/>
        </w:rPr>
        <w:t>American Naturalist</w:t>
      </w:r>
      <w:r w:rsidRPr="00726F20">
        <w:rPr>
          <w:rFonts w:ascii="Times New Roman" w:hAnsi="Times New Roman" w:cs="Times New Roman"/>
          <w:noProof/>
        </w:rPr>
        <w:t xml:space="preserve"> 171, 1 (2008), 71–80; Jan M Baert et al., “Nonlinear Partitioning of Biodiversity Effects on Ecos</w:t>
      </w:r>
      <w:r w:rsidRPr="008542DF">
        <w:rPr>
          <w:rFonts w:ascii="Times New Roman" w:hAnsi="Times New Roman" w:cs="Times New Roman"/>
          <w:noProof/>
        </w:rPr>
        <w:t xml:space="preserve">ystem Functioning,” </w:t>
      </w:r>
      <w:r w:rsidRPr="008542DF">
        <w:rPr>
          <w:rFonts w:ascii="Times New Roman" w:hAnsi="Times New Roman" w:cs="Times New Roman"/>
          <w:i/>
          <w:noProof/>
        </w:rPr>
        <w:t>Methods in Ecology and Evolution</w:t>
      </w:r>
      <w:r w:rsidRPr="008542DF">
        <w:rPr>
          <w:rFonts w:ascii="Times New Roman" w:hAnsi="Times New Roman" w:cs="Times New Roman"/>
          <w:noProof/>
        </w:rPr>
        <w:t xml:space="preserve"> 8, 10 (2017), 1233–40; Ottar N Bjørnstad et al., “Nonlinearity and Chaos in Ecological Dynamics Revisited.,” </w:t>
      </w:r>
      <w:r w:rsidRPr="00DF5C18">
        <w:rPr>
          <w:rFonts w:ascii="Times New Roman" w:hAnsi="Times New Roman" w:cs="Times New Roman"/>
          <w:i/>
          <w:noProof/>
        </w:rPr>
        <w:t>Proceedings of the National Academy of Sciences of the United States of America</w:t>
      </w:r>
      <w:r w:rsidRPr="00DF5C18">
        <w:rPr>
          <w:rFonts w:ascii="Times New Roman" w:hAnsi="Times New Roman" w:cs="Times New Roman"/>
          <w:noProof/>
        </w:rPr>
        <w:t xml:space="preserve"> 112, 20 (2015), 6252–53.</w:t>
      </w:r>
      <w:r w:rsidRPr="00723CEB">
        <w:rPr>
          <w:rFonts w:ascii="Times New Roman" w:hAnsi="Times New Roman" w:cs="Times New Roman"/>
        </w:rPr>
        <w:fldChar w:fldCharType="end"/>
      </w:r>
    </w:p>
    <w:p w14:paraId="5251BFF8" w14:textId="77777777" w:rsidR="006A06DD" w:rsidRPr="00D931F3" w:rsidRDefault="006A06DD">
      <w:pPr>
        <w:pStyle w:val="EndnoteText"/>
        <w:rPr>
          <w:rFonts w:ascii="Times New Roman" w:hAnsi="Times New Roman" w:cs="Times New Roman"/>
          <w:noProof/>
        </w:rPr>
      </w:pPr>
    </w:p>
  </w:endnote>
  <w:endnote w:id="76">
    <w:p w14:paraId="5517197B" w14:textId="46292754"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10.1038/35098000","ISSN":"0028-0836","author":[{"dropping-particle":"","family":"Folke","given":"Carl","non-dropping-particle":"","parse-names":false,"suffix":""},{"dropping-particle":"","family":"Carpenter","given":"Steve","non-dropping-particle":"","parse-names":false,"suffix":""},{"dropping-particle":"","family":"Walker","given":"Brian","non-dropping-particle":"","parse-names":false,"suffix":""},{"dropping-particle":"","family":"Scheffer","given":"Marten","non-dropping-particle":"","parse-names":false,"suffix":""},{"dropping-particle":"","family":"Foley","given":"Jonathan A.","non-dropping-particle":"","parse-names":false,"suffix":""}],"container-title":"Nature","id":"ITEM-1","issue":"6856","issued":{"date-parts":[["2002"]]},"page":"591-596","title":"Catastrophic shifts in ecosystems","type":"article-journal","volume":"413"},"uris":["http://www.mendeley.com/documents/?uuid=97d540af-eafb-4cfb-b78e-07971f3a1a8c","http://www.mendeley.com/documents/?uuid=41a98938-c19d-43a2-845e-c3e42f6b6453"]}],"mendeley":{"formattedCitation":"Carl Folke et al., “Catastrophic Shifts in Ecosystems,” &lt;i&gt;Nature&lt;/i&gt; 413, no. 6856 (2002): 591–96, https://doi.org/10.1038/35098000.","manualFormatting":"Carl Folke et al., “Catastrophic Shifts in Ecosystems,” Nature 413, 6856 (2002), 591–96","plainTextFormattedCitation":"Carl Folke et al., “Catastrophic Shifts in Ecosystems,” Nature 413, no. 6856 (2002): 591–96, https://doi.org/10.1038/35098000.","previouslyFormattedCitation":"Carl Folke et al., “Catastrophic Shifts in Ecosystems,” &lt;i&gt;Nature&lt;/i&gt; 413, no. 6856 (2002): 591–96, https://doi.org/10.1038/35098000."},"properties":{"noteIndex":0},"schema":"https://github.com/citation-style-language/schema/raw/master/csl-citation.json"}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Carl Folke et al., “Catastrophic Shifts in Ecosystems,” </w:t>
      </w:r>
      <w:r w:rsidRPr="00AF7ADF">
        <w:rPr>
          <w:rFonts w:ascii="Times New Roman" w:hAnsi="Times New Roman" w:cs="Times New Roman"/>
          <w:i/>
          <w:noProof/>
        </w:rPr>
        <w:t>Nature</w:t>
      </w:r>
      <w:r w:rsidRPr="00D931F3">
        <w:rPr>
          <w:rFonts w:ascii="Times New Roman" w:hAnsi="Times New Roman" w:cs="Times New Roman"/>
          <w:noProof/>
        </w:rPr>
        <w:t xml:space="preserve"> 413, 6856 (2002), 591–96</w:t>
      </w:r>
      <w:r w:rsidRPr="00723CEB">
        <w:rPr>
          <w:rFonts w:ascii="Times New Roman" w:hAnsi="Times New Roman" w:cs="Times New Roman"/>
        </w:rPr>
        <w:fldChar w:fldCharType="end"/>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{"citationItems":[{"id":"ITEM-1","itemData":{"DOI":"10.1016/j.tree.2003.09.002","ISBN":"0169-5347","ISSN":"01695347","PMID":"289","abstract":"Occasionally, surprisingly large shifts occur in ecosystems. Theory suggests that such shifts can be attributed to alternative stable states. Verifying this diagnosis is important because it implies a radically different view on management options, and on the potential effects of global change on such ecosystems. For instance, it implies that gradual changes in temperature or other factors might have little effect until a threshold is reached at which a large shift occurs that might be difficult to reverse. Strategies to assess whether alternative stable states are present are now converging in fields as disparate as desertification, limnology, oceanography and climatology. Here, we review emerging ways to link theory to observation, and conclude that although, field observations can provide hints of alternative stable states, experiments and models are essential for a good diagnosis.","author":[{"dropping-particle":"","family":"Scheffer","given":"Marten","non-dropping-particle":"","parse-names":false,"suffix":""},{"dropping-particle":"","family":"Carpenter","given":"Stephen R.","non-dropping-particle":"","parse-names":false,"suffix":""}],"container-title":"Trends in Ecology and Evolution","id":"ITEM-1","issue":"12","issued":{"date-parts":[["2003"]]},"page":"648-656","title":"Catastrophic regime shifts in ecosystems: Linking theory to observation","type":"article-journal","volume":"18"},"uris":["http://www.mendeley.com/documents/?uuid=f1ce5a41-69e8-4e8e-b678-c9a8d5e82a0b","http://www.mendeley.com/documents/?uuid=198e3674-b0b2-49c7-a175-ce19de777a53"]}],"mendeley":{"formattedCitation":"Marten Scheffer and Stephen R. Carpenter, “Catastrophic Regime Shifts in Ecosystems: Linking Theory to Observation,” &lt;i&gt;Trends in Ecology and Evolution&lt;/i&gt; 18, no. 12 (2003): 648–56, https://doi.org/10.1016/j.tree.2003.09.002.","manualFormatting":"Marten Scheffer and Stephen R. Carpenter, “Catastrophic Regime Shifts in Ecosystems: Linking Theory to Observation,” Trends in Ecology and Evolution 18, 12 (2003), 648–56.","plainTextFormattedCitation":"Marten Scheffer and Stephen R. Carpenter, “Catastrophic Regime Shifts in Ecosystems: Linking Theory to Observation,” Trends in Ecology and Evolution 18, no. 12 (2003): 648–56, https://doi.org/10.1016/j.tree.2003.09.002.","previouslyFormattedCitation":"Marten Scheffer and Stephen R. Carpenter, “Catastrophic Regime Shifts in Ecosystems: Linking Theory to Observation,” &lt;i&gt;Trends in Ecology and Evolution&lt;/i&gt; 18, no. 12 (2003): 648–56, https://doi.org/10.1016/j.tree.2003.09.002."},"properties":{"noteIndex":0},"schema":"https://github.com/citation-style-language/schema/raw/master/csl-citation.json"}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Marten Scheffer and Stephen R. Carpenter, “Catastrophic Regime Shifts in Ecosystems: Linking Theory to Observation,” </w:t>
      </w:r>
      <w:r w:rsidRPr="00D931F3">
        <w:rPr>
          <w:rFonts w:ascii="Times New Roman" w:hAnsi="Times New Roman" w:cs="Times New Roman"/>
          <w:i/>
          <w:noProof/>
        </w:rPr>
        <w:t>Trends in E</w:t>
      </w:r>
      <w:r w:rsidRPr="00726F20">
        <w:rPr>
          <w:rFonts w:ascii="Times New Roman" w:hAnsi="Times New Roman" w:cs="Times New Roman"/>
          <w:i/>
          <w:noProof/>
        </w:rPr>
        <w:t>cology and Evolution</w:t>
      </w:r>
      <w:r w:rsidRPr="00726F20">
        <w:rPr>
          <w:rFonts w:ascii="Times New Roman" w:hAnsi="Times New Roman" w:cs="Times New Roman"/>
          <w:noProof/>
        </w:rPr>
        <w:t xml:space="preserve"> 18, 12 (2003), 648–56.</w:t>
      </w:r>
      <w:r w:rsidRPr="00723CEB">
        <w:rPr>
          <w:rFonts w:ascii="Times New Roman" w:hAnsi="Times New Roman" w:cs="Times New Roman"/>
        </w:rPr>
        <w:fldChar w:fldCharType="end"/>
      </w:r>
    </w:p>
    <w:p w14:paraId="6581362F" w14:textId="77777777" w:rsidR="006A06DD" w:rsidRPr="00D931F3" w:rsidRDefault="006A06DD">
      <w:pPr>
        <w:pStyle w:val="EndnoteText"/>
        <w:rPr>
          <w:rFonts w:ascii="Times New Roman" w:hAnsi="Times New Roman" w:cs="Times New Roman"/>
          <w:lang w:val="en-US"/>
        </w:rPr>
      </w:pPr>
    </w:p>
  </w:endnote>
  <w:endnote w:id="77">
    <w:p w14:paraId="2A6BE82C" w14:textId="7B51930A"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{"citationItems":[{"id":"ITEM-1","itemData":{"DOI":"10.1890/070037","abstract":"No-analog communities (communities that are compositionally unlike any found today) occurred frequently in the past and will develop in the greenhouse world of the future. The well documented no-analog plant communities of late-glacial North America are closely linked to “novel” climates also lacking modern analogs, characterized by high seasonality of temperature. In climate simulations for the Intergovernmental Panel on Climate Change A2 and B1 emission scenarios, novel climates arise by 2100 AD, primarily in tropical and subtropical regions. These future novel climates are warmer than any present climates globally, with spatially variable shifts in precipitation, and increase the risk of species reshuffling into future no-analog communities and other ecological surprises. Most ecological models are at least partially parameterized from modern observations and so may fail to accurately predict ecological responses to these novel climates. There is an urgent need to test the robustness of ecological models to climate conditions outside modern experience.","author":[{"dropping-particle":"","family":"Williams","given":"John W","non-dropping-particle":"","parse-names":false,"suffix":""},{"dropping-particle":"","family":"Jackson","given":"Stephen T","non-dropping-particle":"","parse-names":false,"suffix":""}],"container-title":"Frontiers in Ecology and the Environment","id":"ITEM-1","issue":"9","issued":{"date-parts":[["2007"]]},"page":"475-482","title":"Novel climates, no-analog communities, and ecological surprises","type":"article-journal","volume":"5"},"uris":["http://www.mendeley.com/documents/?uuid=76ea53ae-8e59-4adf-8334-5620d268d855"]}],"mendeley":{"formattedCitation":"John W Williams and Stephen T Jackson, “Novel Climates, No-Analog Communities, and Ecological Surprises,” &lt;i&gt;Frontiers in Ecology and the Environment&lt;/i&gt; 5, no. 9 (2007): 475–82, https://doi.org/10.1890/070037.","manualFormatting":"John W Williams and Stephen T Jackson, “Novel Climates, No-Analog Communities, and Ecological Surprises,” Frontiers in Ecology and the Environment, 5, 9 (2007), 475–82.","plainTextFormattedCitation":"John W Williams and Stephen T Jackson, “Novel Climates, No-Analog Communities, and Ecological Surprises,” Frontiers in Ecology and the Environment 5, no. 9 (2007): 475–82, https://doi.org/10.1890/070037.","previouslyFormattedCitation":"John W Williams and Stephen T Jackson, “Novel Climates, No-Analog Communities, and Ecological Surprises,” &lt;i&gt;Frontiers in Ecology and the Environment&lt;/i&gt; 5, no. 9 (2007): 475–82, https://doi.org/10.1890/070037."},"properties":{"noteIndex":0},"schema":"https://github.com/citation-style-language/schema/raw/master/csl-citation.json"}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John W Williams and Stephen T Jackson, “Novel Climates, No-Analog Communities, and Ecological Surprises,” </w:t>
      </w:r>
      <w:r w:rsidRPr="00AF7ADF">
        <w:rPr>
          <w:rFonts w:ascii="Times New Roman" w:hAnsi="Times New Roman" w:cs="Times New Roman"/>
          <w:i/>
          <w:noProof/>
        </w:rPr>
        <w:t>Frontiers in Ecology and the Environment</w:t>
      </w:r>
      <w:r w:rsidRPr="00D931F3">
        <w:rPr>
          <w:rFonts w:ascii="Times New Roman" w:hAnsi="Times New Roman" w:cs="Times New Roman"/>
          <w:noProof/>
        </w:rPr>
        <w:t>, 5, 9 (2007), 475–82.</w:t>
      </w:r>
      <w:r w:rsidRPr="00723CEB">
        <w:rPr>
          <w:rFonts w:ascii="Times New Roman" w:hAnsi="Times New Roman" w:cs="Times New Roman"/>
        </w:rPr>
        <w:fldChar w:fldCharType="end"/>
      </w:r>
    </w:p>
    <w:p w14:paraId="4AAF2D59" w14:textId="77777777" w:rsidR="006A06DD" w:rsidRPr="00D931F3" w:rsidRDefault="006A06DD">
      <w:pPr>
        <w:pStyle w:val="EndnoteText"/>
        <w:rPr>
          <w:rFonts w:ascii="Times New Roman" w:hAnsi="Times New Roman" w:cs="Times New Roman"/>
          <w:noProof/>
        </w:rPr>
      </w:pPr>
    </w:p>
  </w:endnote>
  <w:endnote w:id="78">
    <w:p w14:paraId="239C872B" w14:textId="0B2C111C" w:rsidR="006A06DD" w:rsidRPr="00723CEB" w:rsidRDefault="006A06DD" w:rsidP="00007962">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{"citationItems":[{"id":"ITEM-1","itemData":{"DOI":"10.1525/bio.2011.61.6.6","author":[{"dropping-particle":"","family":"Hobbs","given":"Richard J","non-dropping-particle":"","parse-names":false,"suffix":""},{"dropping-particle":"","family":"Hallett","given":"Lauren M","non-dropping-particle":"","parse-names":false,"suffix":""},{"dropping-particle":"","family":"Ehrlich","given":"Paul R","non-dropping-particle":"","parse-names":false,"suffix":""},{"dropping-particle":"","family":"Mooney","given":"Harold A","non-dropping-particle":"","parse-names":false,"suffix":""}],"container-title":"BioScience","id":"ITEM-1","issue":"6","issued":{"date-parts":[["2011"]]},"page":"442-450","title":"Intervention Ecology: Applying Ecological Science in the Twenty-first Century","type":"article-journal","volume":"61"},"uris":["http://www.mendeley.com/documents/?uuid=f4d59436-6004-4a6f-8407-855198765ac6","http://www.mendeley.com/documents/?uuid=26874f73-a9a3-446a-9c69-e69a35c79340"]}],"mendeley":{"formattedCitation":"Richard J Hobbs et al., “Intervention Ecology: Applying Ecological Science in the Twenty-First Century,” &lt;i&gt;BioScience&lt;/i&gt; 61, no. 6 (2011): 442–50, https://doi.org/10.1525/bio.2011.61.6.6.","manualFormatting":"Richard J Hobbs et al., “Intervention Ecology: Applying Ecological Science in the Twenty-First Century,” BioScience 61, 6 (2011), 442–50;","plainTextFormattedCitation":"Richard J Hobbs et al., “Intervention Ecology: Applying Ecological Science in the Twenty-First Century,” BioScience 61, no. 6 (2011): 442–50, https://doi.org/10.1525/bio.2011.61.6.6.","previouslyFormattedCitation":"Richard J Hobbs et al., “Intervention Ecology: Applying Ecological Science in the Twenty-First Century,” &lt;i&gt;BioScience&lt;/i&gt; 61, no. 6 (2011): 442–50, https://doi.org/10.1525/bio.2011.61.6.6."},"properties":{"noteIndex":0},"schema":"https://github.com/citation-style-language/schema/raw/master/csl-citation.json"}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Richard J Hobbs et al., “Intervention Ecology: Applying Ecological Science in the Twenty-First Century,” </w:t>
      </w:r>
      <w:r w:rsidRPr="00AF7ADF">
        <w:rPr>
          <w:rFonts w:ascii="Times New Roman" w:hAnsi="Times New Roman" w:cs="Times New Roman"/>
          <w:i/>
          <w:noProof/>
        </w:rPr>
        <w:t>BioScience</w:t>
      </w:r>
      <w:r w:rsidRPr="00D931F3">
        <w:rPr>
          <w:rFonts w:ascii="Times New Roman" w:hAnsi="Times New Roman" w:cs="Times New Roman"/>
          <w:noProof/>
        </w:rPr>
        <w:t xml:space="preserve"> 61, 6 (2011), 442–50;</w:t>
      </w:r>
      <w:r w:rsidRPr="00723CEB">
        <w:rPr>
          <w:rFonts w:ascii="Times New Roman" w:hAnsi="Times New Roman" w:cs="Times New Roman"/>
        </w:rPr>
        <w:fldChar w:fldCharType="end"/>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{"citationItems":[{"id":"ITEM-1","itemData":{"DOI":"10.1890/070037","abstract":"No-analog communities (communities that are compositionally unlike any found today) occurred frequently in the past and will develop in the greenhouse world of the future. The well documented no-analog plant communities of late-glacial North America are closely linked to “novel” climates also lacking modern analogs, characterized by high seasonality of temperature. In climate simulations for the Intergovernmental Panel on Climate Change A2 and B1 emission scenarios, novel climates arise by 2100 AD, primarily in tropical and subtropical regions. These future novel climates are warmer than any present climates globally, with spatially variable shifts in precipitation, and increase the risk of species reshuffling into future no-analog communities and other ecological surprises. Most ecological models are at least partially parameterized from modern observations and so may fail to accurately predict ecological responses to these novel climates. There is an urgent need to test the robustness of ecological models to climate conditions outside modern experience.","author":[{"dropping-particle":"","family":"Williams","given":"John W","non-dropping-particle":"","parse-names":false,"suffix":""},{"dropping-particle":"","family":"Jackson","given":"Stephen T","non-dropping-particle":"","parse-names":false,"suffix":""}],"container-title":"Frontiers in Ecology and the Environment","id":"ITEM-1","issue":"9","issued":{"date-parts":[["2007"]]},"page":"475-482","title":"Novel climates, no-analog communities, and ecological surprises","type":"article-journal","volume":"5"},"uris":["http://www.mendeley.com/documents/?uuid=2cd90ccb-05ef-4833-a995-c8a1eb377c87","http://www.mendeley.com/documents/?uuid=76ea53ae-8e59-4adf-8334-5620d268d855"]}],"mendeley":{"formattedCitation":"Williams and Jackson, “Novel Climates, No-Analog Communities, and Ecological Surprises.”","manualFormatting":"0 and Jackson, 2017, op cit. ","plainTextFormattedCitation":"Williams and Jackson, “Novel Climates, No-Analog Communities, and Ecological Surprises.”","previouslyFormattedCitation":"Williams and Jackson, “Novel Climates, No-Analog Communities, and Ecological Surprises.”"},"properties":{"noteIndex":0},"schema":"https://github.com/citation-style-language/schema/raw/master/csl-citation.json"}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0 and Jackson, 2017, op cit. </w:t>
      </w:r>
      <w:r w:rsidRPr="00723CEB">
        <w:rPr>
          <w:rFonts w:ascii="Times New Roman" w:hAnsi="Times New Roman" w:cs="Times New Roman"/>
        </w:rPr>
        <w:fldChar w:fldCharType="end"/>
      </w:r>
    </w:p>
    <w:p w14:paraId="5F974462" w14:textId="77777777" w:rsidR="006A06DD" w:rsidRPr="00D931F3" w:rsidRDefault="006A06DD" w:rsidP="00007962">
      <w:pPr>
        <w:pStyle w:val="EndnoteText"/>
        <w:rPr>
          <w:rFonts w:ascii="Times New Roman" w:hAnsi="Times New Roman" w:cs="Times New Roman"/>
          <w:lang w:val="en-US"/>
        </w:rPr>
      </w:pPr>
    </w:p>
  </w:endnote>
  <w:endnote w:id="79">
    <w:p w14:paraId="556BB619" w14:textId="66AAE79C" w:rsidR="006A06DD" w:rsidRPr="00726F20" w:rsidRDefault="006A06DD">
      <w:pPr>
        <w:pStyle w:val="EndnoteText"/>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lang w:val="en-US"/>
        </w:rPr>
        <w:t xml:space="preserve">Tsing, </w:t>
      </w:r>
      <w:r w:rsidRPr="00AF7ADF">
        <w:rPr>
          <w:rFonts w:ascii="Times New Roman" w:hAnsi="Times New Roman" w:cs="Times New Roman"/>
          <w:noProof/>
        </w:rPr>
        <w:t>2015</w:t>
      </w:r>
      <w:r w:rsidRPr="00D931F3">
        <w:rPr>
          <w:rFonts w:ascii="Times New Roman" w:hAnsi="Times New Roman" w:cs="Times New Roman"/>
          <w:lang w:val="en-US"/>
        </w:rPr>
        <w:t xml:space="preserve">, op cit., p173. </w:t>
      </w:r>
    </w:p>
    <w:p w14:paraId="01A0A766" w14:textId="77777777" w:rsidR="006A06DD" w:rsidRPr="008542DF" w:rsidRDefault="006A06DD">
      <w:pPr>
        <w:pStyle w:val="EndnoteText"/>
        <w:rPr>
          <w:rFonts w:ascii="Times New Roman" w:hAnsi="Times New Roman" w:cs="Times New Roman"/>
          <w:lang w:val="en-US"/>
        </w:rPr>
      </w:pPr>
    </w:p>
  </w:endnote>
  <w:endnote w:id="80">
    <w:p w14:paraId="627C1058" w14:textId="7A9CD8E1"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Ibid., p175</w:t>
      </w:r>
    </w:p>
    <w:p w14:paraId="17725A76" w14:textId="77777777" w:rsidR="006A06DD" w:rsidRPr="00D931F3" w:rsidRDefault="006A06DD">
      <w:pPr>
        <w:pStyle w:val="EndnoteText"/>
        <w:rPr>
          <w:rFonts w:ascii="Times New Roman" w:hAnsi="Times New Roman" w:cs="Times New Roman"/>
          <w:b/>
          <w:lang w:val="en-US"/>
        </w:rPr>
      </w:pPr>
    </w:p>
  </w:endnote>
  <w:endnote w:id="81">
    <w:p w14:paraId="509D7543" w14:textId="06AF0038" w:rsidR="006A06DD" w:rsidRPr="00723CEB" w:rsidRDefault="006A06DD" w:rsidP="00007962">
      <w:pPr>
        <w:pStyle w:val="NormalWeb"/>
        <w:spacing w:before="0" w:beforeAutospacing="0" w:after="0" w:afterAutospacing="0"/>
        <w:rPr>
          <w:rFonts w:ascii="Times New Roman" w:hAnsi="Times New Roman"/>
        </w:rPr>
      </w:pPr>
      <w:r w:rsidRPr="00723CEB">
        <w:rPr>
          <w:rStyle w:val="EndnoteReference"/>
          <w:rFonts w:ascii="Times New Roman" w:hAnsi="Times New Roman"/>
        </w:rPr>
        <w:endnoteRef/>
      </w:r>
      <w:r w:rsidRPr="00723CEB">
        <w:rPr>
          <w:rFonts w:ascii="Times New Roman" w:hAnsi="Times New Roman"/>
        </w:rPr>
        <w:t xml:space="preserve"> </w:t>
      </w:r>
      <w:proofErr w:type="spellStart"/>
      <w:r w:rsidRPr="00723CEB">
        <w:rPr>
          <w:rFonts w:ascii="Times New Roman" w:hAnsi="Times New Roman"/>
        </w:rPr>
        <w:t>Büscher</w:t>
      </w:r>
      <w:proofErr w:type="spellEnd"/>
      <w:r w:rsidRPr="00723CEB">
        <w:rPr>
          <w:rFonts w:ascii="Times New Roman" w:hAnsi="Times New Roman"/>
        </w:rPr>
        <w:t xml:space="preserve">, 2010, op cit. </w:t>
      </w:r>
    </w:p>
    <w:p w14:paraId="02A8131A" w14:textId="77777777" w:rsidR="006A06DD" w:rsidRPr="00D931F3" w:rsidRDefault="006A06DD" w:rsidP="00007962">
      <w:pPr>
        <w:pStyle w:val="NormalWeb"/>
        <w:spacing w:before="0" w:beforeAutospacing="0" w:after="0" w:afterAutospacing="0"/>
        <w:rPr>
          <w:rFonts w:ascii="Times New Roman" w:hAnsi="Times New Roman"/>
        </w:rPr>
      </w:pPr>
    </w:p>
  </w:endnote>
  <w:endnote w:id="82">
    <w:p w14:paraId="131BAE45" w14:textId="28728EC9" w:rsidR="006A06DD" w:rsidRPr="00D931F3" w:rsidRDefault="006A06DD" w:rsidP="00F80380">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{"citationItems":[{"id":"ITEM-1","itemData":{"DOI":"10.1890/070037","abstract":"No-analog communities (communities that are compositionally unlike any found today) occurred frequently in the past and will develop in the greenhouse world of the future. The well documented no-analog plant communities of late-glacial North America are closely linked to “novel” climates also lacking modern analogs, characterized by high seasonality of temperature. In climate simulations for the Intergovernmental Panel on Climate Change A2 and B1 emission scenarios, novel climates arise by 2100 AD, primarily in tropical and subtropical regions. These future novel climates are warmer than any present climates globally, with spatially variable shifts in precipitation, and increase the risk of species reshuffling into future no-analog communities and other ecological surprises. Most ecological models are at least partially parameterized from modern observations and so may fail to accurately predict ecological responses to these novel climates. There is an urgent need to test the robustness of ecological models to climate conditions outside modern experience.","author":[{"dropping-particle":"","family":"Williams","given":"John W","non-dropping-particle":"","parse-names":false,"suffix":""},{"dropping-particle":"","family":"Jackson","given":"Stephen T","non-dropping-particle":"","parse-names":false,"suffix":""}],"container-title":"Frontiers in Ecology and the Environment","id":"ITEM-1","issue":"9","issued":{"date-parts":[["2007"]]},"page":"475-482","title":"Novel climates, no-analog communities, and ecological surprises","type":"article-journal","volume":"5"},"uris":["http://www.mendeley.com/documents/?uuid=76ea53ae-8e59-4adf-8334-5620d268d855","http://www.mendeley.com/documents/?uuid=2cd90ccb-05ef-4833-a995-c8a1eb377c87"]}],"mendeley":{"formattedCitation":"Williams and Jackson.","manualFormatting":"Williams and Jackson, 2007, op cit., 477. ","plainTextFormattedCitation":"Williams and Jackson.","previouslyFormattedCitation":"Williams and Jackson, “Novel Climates, No-Analog Communities, and Ecological Surprises.”"},"properties":{"noteIndex":0},"schema":"https://github.com/citation-style-language/schema/raw/master/csl-citation.json"}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Williams and Jackson, 2007, op cit., 477. </w:t>
      </w:r>
      <w:r w:rsidRPr="00723CEB">
        <w:rPr>
          <w:rFonts w:ascii="Times New Roman" w:hAnsi="Times New Roman" w:cs="Times New Roman"/>
        </w:rPr>
        <w:fldChar w:fldCharType="end"/>
      </w:r>
      <w:r w:rsidRPr="00723CEB">
        <w:rPr>
          <w:rFonts w:ascii="Times New Roman" w:hAnsi="Times New Roman" w:cs="Times New Roman"/>
        </w:rPr>
        <w:t xml:space="preserve">The potential for the dramatic reshuffling of ecological communities in the short term is heralded by a study on bird populations in California, which estimates that by 2070 half of the state could be dominated by novel assemblages of bird species. </w:t>
      </w:r>
    </w:p>
    <w:p w14:paraId="7486C314" w14:textId="77777777" w:rsidR="006A06DD" w:rsidRPr="008542DF" w:rsidRDefault="006A06DD" w:rsidP="00F80380">
      <w:pPr>
        <w:pStyle w:val="EndnoteText"/>
        <w:rPr>
          <w:rFonts w:ascii="Times New Roman" w:hAnsi="Times New Roman" w:cs="Times New Roman"/>
        </w:rPr>
      </w:pPr>
    </w:p>
    <w:p w14:paraId="374719FD" w14:textId="70F6D946" w:rsidR="006A06DD" w:rsidRPr="00DF5C18" w:rsidRDefault="006A06DD" w:rsidP="00C22895">
      <w:pPr>
        <w:pStyle w:val="EndnoteText"/>
        <w:rPr>
          <w:rFonts w:ascii="Times New Roman" w:hAnsi="Times New Roman" w:cs="Times New Roman"/>
        </w:rPr>
      </w:pPr>
      <w:r w:rsidRPr="00DF5C18">
        <w:rPr>
          <w:rFonts w:ascii="Times New Roman" w:hAnsi="Times New Roman" w:cs="Times New Roman"/>
        </w:rPr>
        <w:t xml:space="preserve">D. </w:t>
      </w:r>
      <w:proofErr w:type="spellStart"/>
      <w:r w:rsidRPr="00DF5C18">
        <w:rPr>
          <w:rFonts w:ascii="Times New Roman" w:hAnsi="Times New Roman" w:cs="Times New Roman"/>
        </w:rPr>
        <w:t>Stralberg</w:t>
      </w:r>
      <w:proofErr w:type="spellEnd"/>
      <w:r w:rsidRPr="00DF5C18">
        <w:rPr>
          <w:rFonts w:ascii="Times New Roman" w:hAnsi="Times New Roman" w:cs="Times New Roman"/>
        </w:rPr>
        <w:t xml:space="preserve"> et al. “Re-Shuffling of Species with Climate Disruption: A No-Analog Future for California Birds?” </w:t>
      </w:r>
      <w:proofErr w:type="spellStart"/>
      <w:r w:rsidRPr="00DF5C18">
        <w:rPr>
          <w:rFonts w:ascii="Times New Roman" w:hAnsi="Times New Roman" w:cs="Times New Roman"/>
          <w:i/>
        </w:rPr>
        <w:t>PLoS</w:t>
      </w:r>
      <w:proofErr w:type="spellEnd"/>
      <w:r w:rsidRPr="00DF5C18">
        <w:rPr>
          <w:rFonts w:ascii="Times New Roman" w:hAnsi="Times New Roman" w:cs="Times New Roman"/>
          <w:i/>
        </w:rPr>
        <w:t xml:space="preserve"> ONE</w:t>
      </w:r>
      <w:r w:rsidRPr="00DF5C18">
        <w:rPr>
          <w:rFonts w:ascii="Times New Roman" w:hAnsi="Times New Roman" w:cs="Times New Roman"/>
        </w:rPr>
        <w:t>, 4, 9: (2009).</w:t>
      </w:r>
    </w:p>
    <w:p w14:paraId="48FA5687" w14:textId="77777777" w:rsidR="006A06DD" w:rsidRPr="00DF5C18" w:rsidRDefault="006A06DD" w:rsidP="00C22895">
      <w:pPr>
        <w:pStyle w:val="EndnoteText"/>
        <w:rPr>
          <w:rFonts w:ascii="Times New Roman" w:hAnsi="Times New Roman" w:cs="Times New Roman"/>
        </w:rPr>
      </w:pPr>
    </w:p>
  </w:endnote>
  <w:endnote w:id="83">
    <w:p w14:paraId="7B79A576" w14:textId="0641D65F"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{"citationItems":[{"id":"ITEM-1","itemData":{"DOI":"10.1111/j.1526-100X.2007.00224.x","ISSN":"1061-2971","author":[{"dropping-particle":"","family":"Choi","given":"Young D.","non-dropping-particle":"","parse-names":false,"suffix":""}],"container-title":"Restoration Ecology","id":"ITEM-1","issue":"2","issued":{"date-parts":[["2007","6"]]},"page":"351-353","publisher":"Wiley/Blackwell (10.1111)","title":"Restoration Ecology to the Future: A Call for New Paradigm","type":"article-journal","volume":"15"},"locator":"352","uris":["http://www.mendeley.com/documents/?uuid=0f455417-7438-4c2b-a659-c9d5a6d36030","http://www.mendeley.com/documents/?uuid=f9367369-5cb3-46a4-aac5-0375d7276e78"]}],"mendeley":{"formattedCitation":"Young D. Choi, “Restoration Ecology to the Future: A Call for New Paradigm,” &lt;i&gt;Restoration Ecology&lt;/i&gt; 15, no. 2 (June 2007): 352, https://doi.org/10.1111/j.1526-100X.2007.00224.x.","manualFormatting":"Young D. Choi, “Restoration Ecology to the Future: A Call for New Paradigm,” Restoration Ecology 15, no. 2 (June 1, 2007), 351-353, (352). ","plainTextFormattedCitation":"Young D. Choi, “Restoration Ecology to the Future: A Call for New Paradigm,” Restoration Ecology 15, no. 2 (June 2007): 352, https://doi.org/10.1111/j.1526-100X.2007.00224.x.","previouslyFormattedCitation":"Young D. Choi, “Restoration Ecology to the Future: A Call for New Paradigm,” &lt;i&gt;Restoration Ecology&lt;/i&gt; 15, no. 2 (June 2007): 352, https://doi.org/10.1111/j.1526-100X.2007.00224.x."},"properties":{"noteIndex":0},"schema":"https://github.com/citation-style-language/schema/raw/master/csl-citation.json"}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Young D. Choi, “Restoration Ecology to the Future: A Call for New Paradigm,” </w:t>
      </w:r>
      <w:r w:rsidRPr="00AF7ADF">
        <w:rPr>
          <w:rFonts w:ascii="Times New Roman" w:hAnsi="Times New Roman" w:cs="Times New Roman"/>
          <w:i/>
          <w:noProof/>
        </w:rPr>
        <w:t>Restoration Ecology</w:t>
      </w:r>
      <w:r w:rsidRPr="00D931F3">
        <w:rPr>
          <w:rFonts w:ascii="Times New Roman" w:hAnsi="Times New Roman" w:cs="Times New Roman"/>
          <w:noProof/>
        </w:rPr>
        <w:t xml:space="preserve"> 15, no. 2 (June 1, 2007), 351-353, (352). </w:t>
      </w:r>
      <w:r w:rsidRPr="00723CEB">
        <w:rPr>
          <w:rFonts w:ascii="Times New Roman" w:hAnsi="Times New Roman" w:cs="Times New Roman"/>
        </w:rPr>
        <w:fldChar w:fldCharType="end"/>
      </w:r>
    </w:p>
    <w:p w14:paraId="288F6A42" w14:textId="77777777" w:rsidR="006A06DD" w:rsidRPr="00D931F3" w:rsidRDefault="006A06DD">
      <w:pPr>
        <w:pStyle w:val="EndnoteText"/>
        <w:rPr>
          <w:rFonts w:ascii="Times New Roman" w:hAnsi="Times New Roman" w:cs="Times New Roman"/>
          <w:lang w:val="en-US"/>
        </w:rPr>
      </w:pPr>
    </w:p>
  </w:endnote>
  <w:endnote w:id="84">
    <w:p w14:paraId="5FA45455" w14:textId="5F07D5EF" w:rsidR="006A06DD" w:rsidRPr="00723CEB" w:rsidRDefault="006A06DD">
      <w:pPr>
        <w:pStyle w:val="EndnoteText"/>
        <w:rPr>
          <w:rFonts w:ascii="Times New Roman" w:hAnsi="Times New Roman" w:cs="Times New Roman"/>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{"citationItems":[{"id":"ITEM-1","itemData":{"DOI":"10.1890/070037","abstract":"No-analog communities (communities that are compositionally unlike any found today) occurred frequently in the past and will develop in the greenhouse world of the future. The well documented no-analog plant communities of late-glacial North America are closely linked to “novel” climates also lacking modern analogs, characterized by high seasonality of temperature. In climate simulations for the Intergovernmental Panel on Climate Change A2 and B1 emission scenarios, novel climates arise by 2100 AD, primarily in tropical and subtropical regions. These future novel climates are warmer than any present climates globally, with spatially variable shifts in precipitation, and increase the risk of species reshuffling into future no-analog communities and other ecological surprises. Most ecological models are at least partially parameterized from modern observations and so may fail to accurately predict ecological responses to these novel climates. There is an urgent need to test the robustness of ecological models to climate conditions outside modern experience.","author":[{"dropping-particle":"","family":"Williams","given":"John W","non-dropping-particle":"","parse-names":false,"suffix":""},{"dropping-particle":"","family":"Jackson","given":"Stephen T","non-dropping-particle":"","parse-names":false,"suffix":""}],"container-title":"Frontiers in Ecology and the Environment","id":"ITEM-1","issue":"9","issued":{"date-parts":[["2007"]]},"page":"475-482","title":"Novel climates, no-analog communities, and ecological surprises","type":"article-journal","volume":"5"},"uris":["http://www.mendeley.com/documents/?uuid=76ea53ae-8e59-4adf-8334-5620d268d855","http://www.mendeley.com/documents/?uuid=2cd90ccb-05ef-4833-a995-c8a1eb377c87"]},{"id":"ITEM-2","itemData":{"DOI":"10.1525/bio.2011.61.6.6","author":[{"dropping-particle":"","family":"Hobbs","given":"Richard J","non-dropping-particle":"","parse-names":false,"suffix":""},{"dropping-particle":"","family":"Hallett","given":"Lauren M","non-dropping-particle":"","parse-names":false,"suffix":""},{"dropping-particle":"","family":"Ehrlich","given":"Paul R","non-dropping-particle":"","parse-names":false,"suffix":""},{"dropping-particle":"","family":"Mooney","given":"Harold A","non-dropping-particle":"","parse-names":false,"suffix":""}],"container-title":"BioScience","id":"ITEM-2","issue":"6","issued":{"date-parts":[["2011"]]},"page":"442-450","title":"Intervention Ecology: Applying Ecological Science in the Twenty-first Century","type":"article-journal","volume":"61"},"uris":["http://www.mendeley.com/documents/?uuid=26874f73-a9a3-446a-9c69-e69a35c79340","http://www.mendeley.com/documents/?uuid=f4d59436-6004-4a6f-8407-855198765ac6","http://www.mendeley.com/documents/?uuid=457cea1e-fa4a-485c-b633-931f29dee037"]}],"mendeley":{"formattedCitation":"Williams and Jackson, “Novel Climates, No-Analog Communities, and Ecological Surprises”; Hobbs et al., “Intervention Ecology: Applying Ecological Science in the Twenty-First Century.”","manualFormatting":"Williams and Jackson, 2007, op cit. Hobbs et al., 2011, op cit. ","plainTextFormattedCitation":"Williams and Jackson, “Novel Climates, No-Analog Communities, and Ecological Surprises”; Hobbs et al., “Intervention Ecology: Applying Ecological Science in the Twenty-First Century.”","previouslyFormattedCitation":"Williams and Jackson, “Novel Climates, No-Analog Communities, and Ecological Surprises”; Hobbs et al., “Intervention Ecology: Applying Ecological Science in the Twenty-First Century.”"},"properties":{"noteIndex":0},"schema":"https://github.com/citation-style-language/schema/raw/master/csl-citation.json"}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Williams and Jackson, 2007, op cit. Hobbs et al., 2011, op cit. </w:t>
      </w:r>
      <w:r w:rsidRPr="00723CEB">
        <w:rPr>
          <w:rFonts w:ascii="Times New Roman" w:hAnsi="Times New Roman" w:cs="Times New Roman"/>
        </w:rPr>
        <w:fldChar w:fldCharType="end"/>
      </w:r>
    </w:p>
    <w:p w14:paraId="1D290259" w14:textId="77777777" w:rsidR="006A06DD" w:rsidRPr="00D931F3" w:rsidRDefault="006A06DD">
      <w:pPr>
        <w:pStyle w:val="EndnoteText"/>
        <w:rPr>
          <w:rFonts w:ascii="Times New Roman" w:hAnsi="Times New Roman" w:cs="Times New Roman"/>
          <w:lang w:val="en-US"/>
        </w:rPr>
      </w:pPr>
    </w:p>
  </w:endnote>
  <w:endnote w:id="85">
    <w:p w14:paraId="1A2D6112" w14:textId="60DCED57" w:rsidR="006A06DD" w:rsidRPr="00723CEB" w:rsidRDefault="006A06DD">
      <w:pPr>
        <w:pStyle w:val="EndnoteText"/>
        <w:rPr>
          <w:rFonts w:ascii="Times New Roman" w:hAnsi="Times New Roman" w:cs="Times New Roman"/>
          <w:lang w:val="en-US"/>
        </w:rPr>
      </w:pPr>
      <w:r w:rsidRPr="00723CEB">
        <w:rPr>
          <w:rStyle w:val="EndnoteReference"/>
          <w:rFonts w:ascii="Times New Roman" w:hAnsi="Times New Roman" w:cs="Times New Roman"/>
        </w:rPr>
        <w:endnoteRef/>
      </w:r>
      <w:r w:rsidRPr="00723CEB">
        <w:rPr>
          <w:rFonts w:ascii="Times New Roman" w:hAnsi="Times New Roman" w:cs="Times New Roman"/>
        </w:rPr>
        <w:t xml:space="preserve"> </w:t>
      </w:r>
      <w:r w:rsidRPr="00723CEB">
        <w:rPr>
          <w:rFonts w:ascii="Times New Roman" w:hAnsi="Times New Roman" w:cs="Times New Roman"/>
        </w:rPr>
        <w:fldChar w:fldCharType="begin" w:fldLock="1"/>
      </w:r>
      <w:r w:rsidR="008E50D4">
        <w:rPr>
          <w:rFonts w:ascii="Times New Roman" w:hAnsi="Times New Roman" w:cs="Times New Roman"/>
        </w:rPr>
        <w:instrText>ADDIN CSL_CITATION {"citationItems":[{"id":"ITEM-1","itemData":{"DOI":"10.1111/j.1526-100X.2007.00224.x","ISSN":"1061-2971","author":[{"dropping-particle":"","family":"Choi","given":"Young D.","non-dropping-particle":"","parse-names":false,"suffix":""}],"container-title":"Restoration Ecology","id":"ITEM-1","issue":"2","issued":{"date-parts":[["2007","6"]]},"page":"351-353","publisher":"Wiley/Blackwell (10.1111)","title":"Restoration Ecology to the Future: A Call for New Paradigm","type":"article-journal","volume":"15"},"uris":["http://www.mendeley.com/documents/?uuid=f9367369-5cb3-46a4-aac5-0375d7276e78","http://www.mendeley.com/documents/?uuid=c585dc33-9077-3e81-97e4-198e30c9ff6e"]}],"mendeley":{"formattedCitation":"Choi, “Restoration Ecology to the Future: A Call for New Paradigm.”","manualFormatting":"Choi, ","plainTextFormattedCitation":"Choi, “Restoration Ecology to the Future: A Call for New Paradigm.”","previouslyFormattedCitation":"Choi, “Restoration Ecology to the Future: A Call for New Paradigm.”"},"properties":{"noteIndex":0},"schema":"https://github.com/citation-style-language/schema/raw/master/csl-citation.json"}</w:instrText>
      </w:r>
      <w:r w:rsidRPr="00723CEB">
        <w:rPr>
          <w:rFonts w:ascii="Times New Roman" w:hAnsi="Times New Roman" w:cs="Times New Roman"/>
        </w:rPr>
        <w:fldChar w:fldCharType="separate"/>
      </w:r>
      <w:r w:rsidRPr="00723CEB">
        <w:rPr>
          <w:rFonts w:ascii="Times New Roman" w:hAnsi="Times New Roman" w:cs="Times New Roman"/>
          <w:noProof/>
        </w:rPr>
        <w:t xml:space="preserve">Choi, </w:t>
      </w:r>
      <w:r w:rsidRPr="00723CEB">
        <w:rPr>
          <w:rFonts w:ascii="Times New Roman" w:hAnsi="Times New Roman" w:cs="Times New Roman"/>
        </w:rPr>
        <w:fldChar w:fldCharType="end"/>
      </w:r>
      <w:r w:rsidRPr="00723CEB">
        <w:rPr>
          <w:rFonts w:ascii="Times New Roman" w:hAnsi="Times New Roman" w:cs="Times New Roman"/>
        </w:rPr>
        <w:t xml:space="preserve">2007, op cit.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883462"/>
      <w:docPartObj>
        <w:docPartGallery w:val="Page Numbers (Bottom of Page)"/>
        <w:docPartUnique/>
      </w:docPartObj>
    </w:sdtPr>
    <w:sdtEndPr>
      <w:rPr>
        <w:rFonts w:ascii="Times New Roman" w:hAnsi="Times New Roman" w:cs="Times New Roman"/>
        <w:noProof/>
      </w:rPr>
    </w:sdtEndPr>
    <w:sdtContent>
      <w:p w14:paraId="45FDBF79" w14:textId="58E135CF" w:rsidR="006A06DD" w:rsidRPr="00B607F5" w:rsidRDefault="006A06DD">
        <w:pPr>
          <w:pStyle w:val="Footer"/>
          <w:jc w:val="right"/>
          <w:rPr>
            <w:rFonts w:ascii="Times New Roman" w:hAnsi="Times New Roman" w:cs="Times New Roman"/>
          </w:rPr>
        </w:pPr>
        <w:r w:rsidRPr="00B607F5">
          <w:rPr>
            <w:rFonts w:ascii="Times New Roman" w:hAnsi="Times New Roman" w:cs="Times New Roman"/>
          </w:rPr>
          <w:fldChar w:fldCharType="begin"/>
        </w:r>
        <w:r w:rsidRPr="00B607F5">
          <w:rPr>
            <w:rFonts w:ascii="Times New Roman" w:hAnsi="Times New Roman" w:cs="Times New Roman"/>
          </w:rPr>
          <w:instrText xml:space="preserve"> PAGE   \* MERGEFORMAT </w:instrText>
        </w:r>
        <w:r w:rsidRPr="00B607F5">
          <w:rPr>
            <w:rFonts w:ascii="Times New Roman" w:hAnsi="Times New Roman" w:cs="Times New Roman"/>
          </w:rPr>
          <w:fldChar w:fldCharType="separate"/>
        </w:r>
        <w:r w:rsidR="00B03D2A">
          <w:rPr>
            <w:rFonts w:ascii="Times New Roman" w:hAnsi="Times New Roman" w:cs="Times New Roman"/>
            <w:noProof/>
          </w:rPr>
          <w:t>29</w:t>
        </w:r>
        <w:r w:rsidRPr="00B607F5">
          <w:rPr>
            <w:rFonts w:ascii="Times New Roman" w:hAnsi="Times New Roman" w:cs="Times New Roman"/>
            <w:noProof/>
          </w:rPr>
          <w:fldChar w:fldCharType="end"/>
        </w:r>
      </w:p>
    </w:sdtContent>
  </w:sdt>
  <w:p w14:paraId="45A51184" w14:textId="77777777" w:rsidR="006A06DD" w:rsidRDefault="006A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8D2E8" w14:textId="77777777" w:rsidR="00C24E74" w:rsidRDefault="00C24E74" w:rsidP="00AB6F29">
      <w:r>
        <w:separator/>
      </w:r>
    </w:p>
  </w:footnote>
  <w:footnote w:type="continuationSeparator" w:id="0">
    <w:p w14:paraId="0BC9CE67" w14:textId="77777777" w:rsidR="00C24E74" w:rsidRDefault="00C24E74" w:rsidP="00AB6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839E2"/>
    <w:multiLevelType w:val="hybridMultilevel"/>
    <w:tmpl w:val="52168088"/>
    <w:lvl w:ilvl="0" w:tplc="4ADC540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BAA7499"/>
    <w:multiLevelType w:val="hybridMultilevel"/>
    <w:tmpl w:val="B11E5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66ABA"/>
    <w:multiLevelType w:val="hybridMultilevel"/>
    <w:tmpl w:val="6E22A95C"/>
    <w:lvl w:ilvl="0" w:tplc="6A42F1C4">
      <w:start w:val="2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A0A07"/>
    <w:multiLevelType w:val="hybridMultilevel"/>
    <w:tmpl w:val="A844B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24A8F"/>
    <w:multiLevelType w:val="hybridMultilevel"/>
    <w:tmpl w:val="43DC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302C2"/>
    <w:multiLevelType w:val="hybridMultilevel"/>
    <w:tmpl w:val="96D288A2"/>
    <w:lvl w:ilvl="0" w:tplc="37566CA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946DF"/>
    <w:multiLevelType w:val="hybridMultilevel"/>
    <w:tmpl w:val="3BAE150E"/>
    <w:lvl w:ilvl="0" w:tplc="2B362BC4">
      <w:start w:val="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96D"/>
    <w:rsid w:val="00000E5D"/>
    <w:rsid w:val="00002AA0"/>
    <w:rsid w:val="000048F2"/>
    <w:rsid w:val="00007962"/>
    <w:rsid w:val="0001408A"/>
    <w:rsid w:val="00020CA9"/>
    <w:rsid w:val="00023803"/>
    <w:rsid w:val="000257BB"/>
    <w:rsid w:val="00026BCE"/>
    <w:rsid w:val="000301CD"/>
    <w:rsid w:val="00034294"/>
    <w:rsid w:val="0003614F"/>
    <w:rsid w:val="00040E1C"/>
    <w:rsid w:val="00044CEC"/>
    <w:rsid w:val="00045297"/>
    <w:rsid w:val="00050BF3"/>
    <w:rsid w:val="0005141C"/>
    <w:rsid w:val="00056BCC"/>
    <w:rsid w:val="0006067B"/>
    <w:rsid w:val="00061D6E"/>
    <w:rsid w:val="00061DF3"/>
    <w:rsid w:val="00065DAF"/>
    <w:rsid w:val="0006647D"/>
    <w:rsid w:val="00067765"/>
    <w:rsid w:val="00067D7F"/>
    <w:rsid w:val="00072A38"/>
    <w:rsid w:val="00084C72"/>
    <w:rsid w:val="000852C7"/>
    <w:rsid w:val="0008544C"/>
    <w:rsid w:val="00086FB0"/>
    <w:rsid w:val="00087ECD"/>
    <w:rsid w:val="000902A3"/>
    <w:rsid w:val="00092688"/>
    <w:rsid w:val="00092C85"/>
    <w:rsid w:val="00094CFB"/>
    <w:rsid w:val="00097E6C"/>
    <w:rsid w:val="000A436F"/>
    <w:rsid w:val="000A6970"/>
    <w:rsid w:val="000B11B3"/>
    <w:rsid w:val="000B24F1"/>
    <w:rsid w:val="000B3542"/>
    <w:rsid w:val="000C01EA"/>
    <w:rsid w:val="000C0EB6"/>
    <w:rsid w:val="000C228F"/>
    <w:rsid w:val="000C2C42"/>
    <w:rsid w:val="000C4327"/>
    <w:rsid w:val="000D13D8"/>
    <w:rsid w:val="000D383A"/>
    <w:rsid w:val="000D429D"/>
    <w:rsid w:val="000D48D4"/>
    <w:rsid w:val="000D5817"/>
    <w:rsid w:val="000D5D51"/>
    <w:rsid w:val="000E59DE"/>
    <w:rsid w:val="000F0217"/>
    <w:rsid w:val="000F5731"/>
    <w:rsid w:val="001015CF"/>
    <w:rsid w:val="001028EF"/>
    <w:rsid w:val="001066AF"/>
    <w:rsid w:val="00107AA0"/>
    <w:rsid w:val="00112409"/>
    <w:rsid w:val="0011295B"/>
    <w:rsid w:val="001167D9"/>
    <w:rsid w:val="001220D9"/>
    <w:rsid w:val="00122925"/>
    <w:rsid w:val="001244B4"/>
    <w:rsid w:val="001250F2"/>
    <w:rsid w:val="00137CE9"/>
    <w:rsid w:val="00140A82"/>
    <w:rsid w:val="00144ADD"/>
    <w:rsid w:val="00146D9A"/>
    <w:rsid w:val="001515FD"/>
    <w:rsid w:val="001517EB"/>
    <w:rsid w:val="00153DB1"/>
    <w:rsid w:val="001549AA"/>
    <w:rsid w:val="00157F69"/>
    <w:rsid w:val="0016688D"/>
    <w:rsid w:val="00167E8D"/>
    <w:rsid w:val="00174342"/>
    <w:rsid w:val="001747A0"/>
    <w:rsid w:val="0017777F"/>
    <w:rsid w:val="001825ED"/>
    <w:rsid w:val="00184546"/>
    <w:rsid w:val="00184C98"/>
    <w:rsid w:val="0019185A"/>
    <w:rsid w:val="001925A9"/>
    <w:rsid w:val="00193AEB"/>
    <w:rsid w:val="001948E5"/>
    <w:rsid w:val="001964E4"/>
    <w:rsid w:val="001A38DE"/>
    <w:rsid w:val="001A484A"/>
    <w:rsid w:val="001A4852"/>
    <w:rsid w:val="001A4CA9"/>
    <w:rsid w:val="001B1646"/>
    <w:rsid w:val="001B3133"/>
    <w:rsid w:val="001B4537"/>
    <w:rsid w:val="001B6E6B"/>
    <w:rsid w:val="001B72F4"/>
    <w:rsid w:val="001B7AFF"/>
    <w:rsid w:val="001C0FB0"/>
    <w:rsid w:val="001C3671"/>
    <w:rsid w:val="001C6D7F"/>
    <w:rsid w:val="001D4A4C"/>
    <w:rsid w:val="001D7E45"/>
    <w:rsid w:val="001D7EFE"/>
    <w:rsid w:val="001E163E"/>
    <w:rsid w:val="001E23BE"/>
    <w:rsid w:val="001E246D"/>
    <w:rsid w:val="001E46D9"/>
    <w:rsid w:val="001E5308"/>
    <w:rsid w:val="001F1D2E"/>
    <w:rsid w:val="001F2F33"/>
    <w:rsid w:val="001F6AF4"/>
    <w:rsid w:val="001F745E"/>
    <w:rsid w:val="001F7708"/>
    <w:rsid w:val="0020480C"/>
    <w:rsid w:val="0020699F"/>
    <w:rsid w:val="00207B2B"/>
    <w:rsid w:val="0021162E"/>
    <w:rsid w:val="002158E5"/>
    <w:rsid w:val="00216296"/>
    <w:rsid w:val="00217635"/>
    <w:rsid w:val="00226CCF"/>
    <w:rsid w:val="00227187"/>
    <w:rsid w:val="00230BBB"/>
    <w:rsid w:val="002352D7"/>
    <w:rsid w:val="00237BB4"/>
    <w:rsid w:val="00241B64"/>
    <w:rsid w:val="00246E41"/>
    <w:rsid w:val="00250795"/>
    <w:rsid w:val="0025404F"/>
    <w:rsid w:val="0026228D"/>
    <w:rsid w:val="0026291B"/>
    <w:rsid w:val="00262D54"/>
    <w:rsid w:val="00266FBC"/>
    <w:rsid w:val="00274E51"/>
    <w:rsid w:val="0027634F"/>
    <w:rsid w:val="00277205"/>
    <w:rsid w:val="00281631"/>
    <w:rsid w:val="00285797"/>
    <w:rsid w:val="00291518"/>
    <w:rsid w:val="00292237"/>
    <w:rsid w:val="002922D5"/>
    <w:rsid w:val="00295903"/>
    <w:rsid w:val="00296111"/>
    <w:rsid w:val="002A0E84"/>
    <w:rsid w:val="002A3909"/>
    <w:rsid w:val="002A630B"/>
    <w:rsid w:val="002A704A"/>
    <w:rsid w:val="002B0DE8"/>
    <w:rsid w:val="002B57FA"/>
    <w:rsid w:val="002B7D11"/>
    <w:rsid w:val="002C464D"/>
    <w:rsid w:val="002C5534"/>
    <w:rsid w:val="002C6C0F"/>
    <w:rsid w:val="002C7526"/>
    <w:rsid w:val="002D07AE"/>
    <w:rsid w:val="002D12B9"/>
    <w:rsid w:val="002D1BB2"/>
    <w:rsid w:val="002D1EC8"/>
    <w:rsid w:val="002D29FD"/>
    <w:rsid w:val="002D7838"/>
    <w:rsid w:val="002E0A14"/>
    <w:rsid w:val="002E53BB"/>
    <w:rsid w:val="002E63C4"/>
    <w:rsid w:val="002F04F8"/>
    <w:rsid w:val="002F6F2D"/>
    <w:rsid w:val="00302A97"/>
    <w:rsid w:val="00311CA3"/>
    <w:rsid w:val="00311F39"/>
    <w:rsid w:val="00312938"/>
    <w:rsid w:val="0031551C"/>
    <w:rsid w:val="00323F5C"/>
    <w:rsid w:val="00326F1C"/>
    <w:rsid w:val="0032713D"/>
    <w:rsid w:val="00331875"/>
    <w:rsid w:val="003501E2"/>
    <w:rsid w:val="00354445"/>
    <w:rsid w:val="003549F6"/>
    <w:rsid w:val="0036113A"/>
    <w:rsid w:val="00362882"/>
    <w:rsid w:val="0037096D"/>
    <w:rsid w:val="003763C6"/>
    <w:rsid w:val="00390D84"/>
    <w:rsid w:val="00391245"/>
    <w:rsid w:val="00392664"/>
    <w:rsid w:val="00395AE2"/>
    <w:rsid w:val="003A0FEC"/>
    <w:rsid w:val="003A17D0"/>
    <w:rsid w:val="003A1986"/>
    <w:rsid w:val="003A3EDC"/>
    <w:rsid w:val="003B13D4"/>
    <w:rsid w:val="003B46BC"/>
    <w:rsid w:val="003B6A90"/>
    <w:rsid w:val="003B776F"/>
    <w:rsid w:val="003B7DAC"/>
    <w:rsid w:val="003B7E2D"/>
    <w:rsid w:val="003C6577"/>
    <w:rsid w:val="003C77F4"/>
    <w:rsid w:val="003D34A3"/>
    <w:rsid w:val="003D39F6"/>
    <w:rsid w:val="003D497B"/>
    <w:rsid w:val="003E0401"/>
    <w:rsid w:val="003E1E87"/>
    <w:rsid w:val="003E21C1"/>
    <w:rsid w:val="003E38F0"/>
    <w:rsid w:val="003E7A9F"/>
    <w:rsid w:val="003F0223"/>
    <w:rsid w:val="003F16FB"/>
    <w:rsid w:val="003F40EE"/>
    <w:rsid w:val="003F4235"/>
    <w:rsid w:val="003F49F3"/>
    <w:rsid w:val="00403B33"/>
    <w:rsid w:val="00414164"/>
    <w:rsid w:val="00414557"/>
    <w:rsid w:val="00414B8F"/>
    <w:rsid w:val="004204B7"/>
    <w:rsid w:val="004279A4"/>
    <w:rsid w:val="00435C27"/>
    <w:rsid w:val="004469FA"/>
    <w:rsid w:val="00446B11"/>
    <w:rsid w:val="00451FFF"/>
    <w:rsid w:val="00452B32"/>
    <w:rsid w:val="00454AD0"/>
    <w:rsid w:val="004556E6"/>
    <w:rsid w:val="004577D6"/>
    <w:rsid w:val="00462176"/>
    <w:rsid w:val="004623F5"/>
    <w:rsid w:val="00462AA4"/>
    <w:rsid w:val="00466A70"/>
    <w:rsid w:val="00467C57"/>
    <w:rsid w:val="004715B6"/>
    <w:rsid w:val="00474BA3"/>
    <w:rsid w:val="00474BBB"/>
    <w:rsid w:val="00475962"/>
    <w:rsid w:val="00476E21"/>
    <w:rsid w:val="00486482"/>
    <w:rsid w:val="00490B0A"/>
    <w:rsid w:val="00490E7C"/>
    <w:rsid w:val="0049246C"/>
    <w:rsid w:val="00495BA4"/>
    <w:rsid w:val="00497BF4"/>
    <w:rsid w:val="004A24BE"/>
    <w:rsid w:val="004A54BA"/>
    <w:rsid w:val="004B13CC"/>
    <w:rsid w:val="004B3413"/>
    <w:rsid w:val="004B4625"/>
    <w:rsid w:val="004B4F7B"/>
    <w:rsid w:val="004C5943"/>
    <w:rsid w:val="004D16DC"/>
    <w:rsid w:val="004D3369"/>
    <w:rsid w:val="004D5FF6"/>
    <w:rsid w:val="004D6D91"/>
    <w:rsid w:val="004E520B"/>
    <w:rsid w:val="004E5A15"/>
    <w:rsid w:val="004E5E4D"/>
    <w:rsid w:val="004F3093"/>
    <w:rsid w:val="004F63D7"/>
    <w:rsid w:val="004F7A6F"/>
    <w:rsid w:val="00501732"/>
    <w:rsid w:val="00502FBA"/>
    <w:rsid w:val="005066B6"/>
    <w:rsid w:val="0050784C"/>
    <w:rsid w:val="00510C5F"/>
    <w:rsid w:val="005131E2"/>
    <w:rsid w:val="005146D9"/>
    <w:rsid w:val="00514CCA"/>
    <w:rsid w:val="005236EB"/>
    <w:rsid w:val="00523820"/>
    <w:rsid w:val="00524BBE"/>
    <w:rsid w:val="00524EC1"/>
    <w:rsid w:val="0052737B"/>
    <w:rsid w:val="005277F5"/>
    <w:rsid w:val="00532844"/>
    <w:rsid w:val="00534E7B"/>
    <w:rsid w:val="0054169C"/>
    <w:rsid w:val="00550CE8"/>
    <w:rsid w:val="00550D64"/>
    <w:rsid w:val="00550F5F"/>
    <w:rsid w:val="00551004"/>
    <w:rsid w:val="00553987"/>
    <w:rsid w:val="005574D3"/>
    <w:rsid w:val="00562E97"/>
    <w:rsid w:val="00564F90"/>
    <w:rsid w:val="00566672"/>
    <w:rsid w:val="00570975"/>
    <w:rsid w:val="00573594"/>
    <w:rsid w:val="00576E6F"/>
    <w:rsid w:val="00580309"/>
    <w:rsid w:val="00584958"/>
    <w:rsid w:val="00587970"/>
    <w:rsid w:val="00591AC9"/>
    <w:rsid w:val="005944AC"/>
    <w:rsid w:val="005A5E1D"/>
    <w:rsid w:val="005B07EB"/>
    <w:rsid w:val="005B2732"/>
    <w:rsid w:val="005B6649"/>
    <w:rsid w:val="005C23C7"/>
    <w:rsid w:val="005C2A8D"/>
    <w:rsid w:val="005C2CE5"/>
    <w:rsid w:val="005C5980"/>
    <w:rsid w:val="005E4ACA"/>
    <w:rsid w:val="005E6952"/>
    <w:rsid w:val="005F435C"/>
    <w:rsid w:val="005F5256"/>
    <w:rsid w:val="005F5D6C"/>
    <w:rsid w:val="005F6A00"/>
    <w:rsid w:val="0060015B"/>
    <w:rsid w:val="00604B53"/>
    <w:rsid w:val="00611DFA"/>
    <w:rsid w:val="00617312"/>
    <w:rsid w:val="0061784A"/>
    <w:rsid w:val="0062070B"/>
    <w:rsid w:val="00627DA4"/>
    <w:rsid w:val="00637C93"/>
    <w:rsid w:val="006417D8"/>
    <w:rsid w:val="00641E6B"/>
    <w:rsid w:val="00642FA8"/>
    <w:rsid w:val="0064527C"/>
    <w:rsid w:val="00652F39"/>
    <w:rsid w:val="00660684"/>
    <w:rsid w:val="006607EC"/>
    <w:rsid w:val="006661F9"/>
    <w:rsid w:val="00666A96"/>
    <w:rsid w:val="006700E7"/>
    <w:rsid w:val="006729B7"/>
    <w:rsid w:val="0067314F"/>
    <w:rsid w:val="006761A8"/>
    <w:rsid w:val="006762B2"/>
    <w:rsid w:val="00677BB3"/>
    <w:rsid w:val="00681607"/>
    <w:rsid w:val="00683853"/>
    <w:rsid w:val="00684B6F"/>
    <w:rsid w:val="0068636B"/>
    <w:rsid w:val="00686B58"/>
    <w:rsid w:val="00694E24"/>
    <w:rsid w:val="006A06DD"/>
    <w:rsid w:val="006A3BF5"/>
    <w:rsid w:val="006B2516"/>
    <w:rsid w:val="006B2CFF"/>
    <w:rsid w:val="006B5C99"/>
    <w:rsid w:val="006D5396"/>
    <w:rsid w:val="006D77FC"/>
    <w:rsid w:val="006E0170"/>
    <w:rsid w:val="006E21F0"/>
    <w:rsid w:val="006E2C24"/>
    <w:rsid w:val="006E46EC"/>
    <w:rsid w:val="006F05F3"/>
    <w:rsid w:val="006F5730"/>
    <w:rsid w:val="006F7F2B"/>
    <w:rsid w:val="007001D9"/>
    <w:rsid w:val="00700213"/>
    <w:rsid w:val="007144F7"/>
    <w:rsid w:val="007161B3"/>
    <w:rsid w:val="00716D80"/>
    <w:rsid w:val="0072029F"/>
    <w:rsid w:val="00720969"/>
    <w:rsid w:val="00723495"/>
    <w:rsid w:val="00723CEB"/>
    <w:rsid w:val="00724511"/>
    <w:rsid w:val="00726C9C"/>
    <w:rsid w:val="00726F20"/>
    <w:rsid w:val="00727104"/>
    <w:rsid w:val="00730457"/>
    <w:rsid w:val="00731FF2"/>
    <w:rsid w:val="00734DEC"/>
    <w:rsid w:val="007355E3"/>
    <w:rsid w:val="007418AE"/>
    <w:rsid w:val="00741B10"/>
    <w:rsid w:val="007444FC"/>
    <w:rsid w:val="00752383"/>
    <w:rsid w:val="00752846"/>
    <w:rsid w:val="00752C42"/>
    <w:rsid w:val="00753DDE"/>
    <w:rsid w:val="00755CE1"/>
    <w:rsid w:val="00755FD7"/>
    <w:rsid w:val="00757C34"/>
    <w:rsid w:val="00760873"/>
    <w:rsid w:val="00765BB7"/>
    <w:rsid w:val="00765F7C"/>
    <w:rsid w:val="00767A03"/>
    <w:rsid w:val="00772B37"/>
    <w:rsid w:val="00780F6A"/>
    <w:rsid w:val="007830B5"/>
    <w:rsid w:val="007839F6"/>
    <w:rsid w:val="00786E3E"/>
    <w:rsid w:val="0078796B"/>
    <w:rsid w:val="00787E5D"/>
    <w:rsid w:val="00791074"/>
    <w:rsid w:val="00795A25"/>
    <w:rsid w:val="0079609A"/>
    <w:rsid w:val="00796A2F"/>
    <w:rsid w:val="007973E6"/>
    <w:rsid w:val="007978F0"/>
    <w:rsid w:val="007A4FA0"/>
    <w:rsid w:val="007B5DEA"/>
    <w:rsid w:val="007B6F38"/>
    <w:rsid w:val="007C2B20"/>
    <w:rsid w:val="007C4150"/>
    <w:rsid w:val="007C5E3B"/>
    <w:rsid w:val="007C7641"/>
    <w:rsid w:val="007D09A0"/>
    <w:rsid w:val="007E66E3"/>
    <w:rsid w:val="007F5D41"/>
    <w:rsid w:val="0080182A"/>
    <w:rsid w:val="00801ED8"/>
    <w:rsid w:val="00806F5B"/>
    <w:rsid w:val="00813EED"/>
    <w:rsid w:val="00817D49"/>
    <w:rsid w:val="00822EC9"/>
    <w:rsid w:val="00823229"/>
    <w:rsid w:val="00824724"/>
    <w:rsid w:val="008257AA"/>
    <w:rsid w:val="0082581D"/>
    <w:rsid w:val="00827699"/>
    <w:rsid w:val="00833BFA"/>
    <w:rsid w:val="008456B3"/>
    <w:rsid w:val="00851BFF"/>
    <w:rsid w:val="00852758"/>
    <w:rsid w:val="00852D95"/>
    <w:rsid w:val="00853193"/>
    <w:rsid w:val="008542DF"/>
    <w:rsid w:val="00854D7E"/>
    <w:rsid w:val="00857107"/>
    <w:rsid w:val="008604D2"/>
    <w:rsid w:val="00861C55"/>
    <w:rsid w:val="00871A94"/>
    <w:rsid w:val="008730C0"/>
    <w:rsid w:val="00874D1E"/>
    <w:rsid w:val="00877E9C"/>
    <w:rsid w:val="00881BA0"/>
    <w:rsid w:val="00882788"/>
    <w:rsid w:val="00884189"/>
    <w:rsid w:val="00884D57"/>
    <w:rsid w:val="00892A47"/>
    <w:rsid w:val="0089632E"/>
    <w:rsid w:val="008A1F99"/>
    <w:rsid w:val="008A2954"/>
    <w:rsid w:val="008B2614"/>
    <w:rsid w:val="008B53C8"/>
    <w:rsid w:val="008B7A5F"/>
    <w:rsid w:val="008C0AAA"/>
    <w:rsid w:val="008C1DB9"/>
    <w:rsid w:val="008C4539"/>
    <w:rsid w:val="008C4E0A"/>
    <w:rsid w:val="008C56C8"/>
    <w:rsid w:val="008C59C8"/>
    <w:rsid w:val="008C7509"/>
    <w:rsid w:val="008D0864"/>
    <w:rsid w:val="008D255D"/>
    <w:rsid w:val="008D5BC7"/>
    <w:rsid w:val="008E4369"/>
    <w:rsid w:val="008E50D4"/>
    <w:rsid w:val="008E74EC"/>
    <w:rsid w:val="008F0C1E"/>
    <w:rsid w:val="008F6900"/>
    <w:rsid w:val="008F6A19"/>
    <w:rsid w:val="0090685D"/>
    <w:rsid w:val="00926643"/>
    <w:rsid w:val="00927B34"/>
    <w:rsid w:val="00930456"/>
    <w:rsid w:val="00940F0A"/>
    <w:rsid w:val="00941217"/>
    <w:rsid w:val="00944C2D"/>
    <w:rsid w:val="0095070F"/>
    <w:rsid w:val="00951497"/>
    <w:rsid w:val="009548BD"/>
    <w:rsid w:val="0095513A"/>
    <w:rsid w:val="009629B4"/>
    <w:rsid w:val="0096516F"/>
    <w:rsid w:val="009660DE"/>
    <w:rsid w:val="00966B22"/>
    <w:rsid w:val="0097663A"/>
    <w:rsid w:val="0098219E"/>
    <w:rsid w:val="00995135"/>
    <w:rsid w:val="00995A3E"/>
    <w:rsid w:val="009A315A"/>
    <w:rsid w:val="009A47B2"/>
    <w:rsid w:val="009B0697"/>
    <w:rsid w:val="009B216E"/>
    <w:rsid w:val="009C3E3F"/>
    <w:rsid w:val="009C42B6"/>
    <w:rsid w:val="009C4F28"/>
    <w:rsid w:val="009D1554"/>
    <w:rsid w:val="009D4465"/>
    <w:rsid w:val="009D57B9"/>
    <w:rsid w:val="009E2393"/>
    <w:rsid w:val="009E4420"/>
    <w:rsid w:val="009E49B1"/>
    <w:rsid w:val="009E575B"/>
    <w:rsid w:val="009F2E91"/>
    <w:rsid w:val="009F3858"/>
    <w:rsid w:val="009F4856"/>
    <w:rsid w:val="009F5607"/>
    <w:rsid w:val="009F7334"/>
    <w:rsid w:val="00A01BDB"/>
    <w:rsid w:val="00A0544C"/>
    <w:rsid w:val="00A07FB6"/>
    <w:rsid w:val="00A10FD0"/>
    <w:rsid w:val="00A137B8"/>
    <w:rsid w:val="00A149A5"/>
    <w:rsid w:val="00A20EF2"/>
    <w:rsid w:val="00A21F3E"/>
    <w:rsid w:val="00A220AF"/>
    <w:rsid w:val="00A25FA2"/>
    <w:rsid w:val="00A325B5"/>
    <w:rsid w:val="00A3450F"/>
    <w:rsid w:val="00A42A0C"/>
    <w:rsid w:val="00A5140E"/>
    <w:rsid w:val="00A528B3"/>
    <w:rsid w:val="00A549C8"/>
    <w:rsid w:val="00A5552E"/>
    <w:rsid w:val="00A60ED3"/>
    <w:rsid w:val="00A62D52"/>
    <w:rsid w:val="00A63320"/>
    <w:rsid w:val="00A645BF"/>
    <w:rsid w:val="00A70B70"/>
    <w:rsid w:val="00A72454"/>
    <w:rsid w:val="00A75274"/>
    <w:rsid w:val="00A805AD"/>
    <w:rsid w:val="00A8112A"/>
    <w:rsid w:val="00A81AE5"/>
    <w:rsid w:val="00A8581B"/>
    <w:rsid w:val="00A85F64"/>
    <w:rsid w:val="00A91773"/>
    <w:rsid w:val="00A91F75"/>
    <w:rsid w:val="00A92069"/>
    <w:rsid w:val="00A96623"/>
    <w:rsid w:val="00AA74CA"/>
    <w:rsid w:val="00AA766F"/>
    <w:rsid w:val="00AB13CC"/>
    <w:rsid w:val="00AB3582"/>
    <w:rsid w:val="00AB6F29"/>
    <w:rsid w:val="00AC6123"/>
    <w:rsid w:val="00AC7B1B"/>
    <w:rsid w:val="00AD0C19"/>
    <w:rsid w:val="00AD50E2"/>
    <w:rsid w:val="00AE5009"/>
    <w:rsid w:val="00AE53C0"/>
    <w:rsid w:val="00AE6072"/>
    <w:rsid w:val="00AF13EF"/>
    <w:rsid w:val="00AF38E5"/>
    <w:rsid w:val="00AF41E9"/>
    <w:rsid w:val="00AF59B5"/>
    <w:rsid w:val="00AF75BC"/>
    <w:rsid w:val="00AF7ADF"/>
    <w:rsid w:val="00B028F6"/>
    <w:rsid w:val="00B03D2A"/>
    <w:rsid w:val="00B0746B"/>
    <w:rsid w:val="00B10666"/>
    <w:rsid w:val="00B229C0"/>
    <w:rsid w:val="00B231DA"/>
    <w:rsid w:val="00B23EF4"/>
    <w:rsid w:val="00B23F77"/>
    <w:rsid w:val="00B25F0A"/>
    <w:rsid w:val="00B31915"/>
    <w:rsid w:val="00B333E6"/>
    <w:rsid w:val="00B34AD1"/>
    <w:rsid w:val="00B40193"/>
    <w:rsid w:val="00B44BC9"/>
    <w:rsid w:val="00B46A3B"/>
    <w:rsid w:val="00B50358"/>
    <w:rsid w:val="00B52D3F"/>
    <w:rsid w:val="00B56D7F"/>
    <w:rsid w:val="00B60346"/>
    <w:rsid w:val="00B607F5"/>
    <w:rsid w:val="00B6218B"/>
    <w:rsid w:val="00B63D4B"/>
    <w:rsid w:val="00B64F9A"/>
    <w:rsid w:val="00B65ACD"/>
    <w:rsid w:val="00B71BF9"/>
    <w:rsid w:val="00B75B1F"/>
    <w:rsid w:val="00B8592E"/>
    <w:rsid w:val="00B87BBF"/>
    <w:rsid w:val="00B92782"/>
    <w:rsid w:val="00B94C67"/>
    <w:rsid w:val="00B95BAA"/>
    <w:rsid w:val="00B96233"/>
    <w:rsid w:val="00B979B3"/>
    <w:rsid w:val="00BA0D30"/>
    <w:rsid w:val="00BB0874"/>
    <w:rsid w:val="00BB192D"/>
    <w:rsid w:val="00BB51BA"/>
    <w:rsid w:val="00BB6070"/>
    <w:rsid w:val="00BB6815"/>
    <w:rsid w:val="00BB7AF8"/>
    <w:rsid w:val="00BC1140"/>
    <w:rsid w:val="00BC5448"/>
    <w:rsid w:val="00BD7B43"/>
    <w:rsid w:val="00BE341F"/>
    <w:rsid w:val="00BE3E1C"/>
    <w:rsid w:val="00C000A2"/>
    <w:rsid w:val="00C006FA"/>
    <w:rsid w:val="00C03F12"/>
    <w:rsid w:val="00C0460A"/>
    <w:rsid w:val="00C057E2"/>
    <w:rsid w:val="00C07267"/>
    <w:rsid w:val="00C12381"/>
    <w:rsid w:val="00C16143"/>
    <w:rsid w:val="00C17128"/>
    <w:rsid w:val="00C175FE"/>
    <w:rsid w:val="00C17F2B"/>
    <w:rsid w:val="00C17F3D"/>
    <w:rsid w:val="00C20BB8"/>
    <w:rsid w:val="00C22895"/>
    <w:rsid w:val="00C24E74"/>
    <w:rsid w:val="00C305A7"/>
    <w:rsid w:val="00C316A4"/>
    <w:rsid w:val="00C336CB"/>
    <w:rsid w:val="00C348FD"/>
    <w:rsid w:val="00C34C19"/>
    <w:rsid w:val="00C352FE"/>
    <w:rsid w:val="00C42CE1"/>
    <w:rsid w:val="00C43205"/>
    <w:rsid w:val="00C4338D"/>
    <w:rsid w:val="00C4748E"/>
    <w:rsid w:val="00C51AAF"/>
    <w:rsid w:val="00C53C4F"/>
    <w:rsid w:val="00C5484C"/>
    <w:rsid w:val="00C56018"/>
    <w:rsid w:val="00C568DB"/>
    <w:rsid w:val="00C56E7C"/>
    <w:rsid w:val="00C60DCC"/>
    <w:rsid w:val="00C6123D"/>
    <w:rsid w:val="00C633BA"/>
    <w:rsid w:val="00C66B9F"/>
    <w:rsid w:val="00C77AFA"/>
    <w:rsid w:val="00C8001A"/>
    <w:rsid w:val="00C821A8"/>
    <w:rsid w:val="00C8488C"/>
    <w:rsid w:val="00C971F8"/>
    <w:rsid w:val="00C97C2F"/>
    <w:rsid w:val="00CA186F"/>
    <w:rsid w:val="00CA417F"/>
    <w:rsid w:val="00CA620F"/>
    <w:rsid w:val="00CA7168"/>
    <w:rsid w:val="00CA7E33"/>
    <w:rsid w:val="00CB1C90"/>
    <w:rsid w:val="00CB1DF9"/>
    <w:rsid w:val="00CB20A1"/>
    <w:rsid w:val="00CB2340"/>
    <w:rsid w:val="00CC0535"/>
    <w:rsid w:val="00CC198D"/>
    <w:rsid w:val="00CC2982"/>
    <w:rsid w:val="00CC43F8"/>
    <w:rsid w:val="00CC7930"/>
    <w:rsid w:val="00CD16BE"/>
    <w:rsid w:val="00CD6413"/>
    <w:rsid w:val="00CD709A"/>
    <w:rsid w:val="00CE1E06"/>
    <w:rsid w:val="00CE22AD"/>
    <w:rsid w:val="00CE4A0C"/>
    <w:rsid w:val="00CE4E4C"/>
    <w:rsid w:val="00CE626C"/>
    <w:rsid w:val="00CE6EF8"/>
    <w:rsid w:val="00CF2129"/>
    <w:rsid w:val="00CF2E9D"/>
    <w:rsid w:val="00CF37A7"/>
    <w:rsid w:val="00CF5417"/>
    <w:rsid w:val="00D00720"/>
    <w:rsid w:val="00D01076"/>
    <w:rsid w:val="00D032F6"/>
    <w:rsid w:val="00D03E2E"/>
    <w:rsid w:val="00D03FA0"/>
    <w:rsid w:val="00D07614"/>
    <w:rsid w:val="00D12B75"/>
    <w:rsid w:val="00D13942"/>
    <w:rsid w:val="00D13B77"/>
    <w:rsid w:val="00D1661E"/>
    <w:rsid w:val="00D16E48"/>
    <w:rsid w:val="00D16FF0"/>
    <w:rsid w:val="00D17D19"/>
    <w:rsid w:val="00D25F5E"/>
    <w:rsid w:val="00D26324"/>
    <w:rsid w:val="00D30E56"/>
    <w:rsid w:val="00D42EF8"/>
    <w:rsid w:val="00D43CEC"/>
    <w:rsid w:val="00D4457C"/>
    <w:rsid w:val="00D56733"/>
    <w:rsid w:val="00D56C2E"/>
    <w:rsid w:val="00D65582"/>
    <w:rsid w:val="00D708F2"/>
    <w:rsid w:val="00D72DA1"/>
    <w:rsid w:val="00D7310B"/>
    <w:rsid w:val="00D77AF4"/>
    <w:rsid w:val="00D81652"/>
    <w:rsid w:val="00D81665"/>
    <w:rsid w:val="00D84A2E"/>
    <w:rsid w:val="00D86FE6"/>
    <w:rsid w:val="00D931F3"/>
    <w:rsid w:val="00D94E4B"/>
    <w:rsid w:val="00D965F2"/>
    <w:rsid w:val="00DA06AB"/>
    <w:rsid w:val="00DA76AF"/>
    <w:rsid w:val="00DB6490"/>
    <w:rsid w:val="00DC330B"/>
    <w:rsid w:val="00DC3CB8"/>
    <w:rsid w:val="00DD3F4B"/>
    <w:rsid w:val="00DD7697"/>
    <w:rsid w:val="00DE0F81"/>
    <w:rsid w:val="00DE6730"/>
    <w:rsid w:val="00DF1004"/>
    <w:rsid w:val="00DF143A"/>
    <w:rsid w:val="00DF14E7"/>
    <w:rsid w:val="00DF5C18"/>
    <w:rsid w:val="00DF771E"/>
    <w:rsid w:val="00E05467"/>
    <w:rsid w:val="00E10F95"/>
    <w:rsid w:val="00E14E3F"/>
    <w:rsid w:val="00E164DB"/>
    <w:rsid w:val="00E16B5E"/>
    <w:rsid w:val="00E235C0"/>
    <w:rsid w:val="00E31888"/>
    <w:rsid w:val="00E34535"/>
    <w:rsid w:val="00E41159"/>
    <w:rsid w:val="00E46875"/>
    <w:rsid w:val="00E62A5D"/>
    <w:rsid w:val="00E658C3"/>
    <w:rsid w:val="00E66A71"/>
    <w:rsid w:val="00E707DD"/>
    <w:rsid w:val="00E70B37"/>
    <w:rsid w:val="00E70F83"/>
    <w:rsid w:val="00E73D4A"/>
    <w:rsid w:val="00E75D99"/>
    <w:rsid w:val="00E80855"/>
    <w:rsid w:val="00E81A11"/>
    <w:rsid w:val="00E84164"/>
    <w:rsid w:val="00E84B8C"/>
    <w:rsid w:val="00E8549E"/>
    <w:rsid w:val="00E85C51"/>
    <w:rsid w:val="00E94B1C"/>
    <w:rsid w:val="00EA35EE"/>
    <w:rsid w:val="00EA44B3"/>
    <w:rsid w:val="00EA4643"/>
    <w:rsid w:val="00EA66AE"/>
    <w:rsid w:val="00EB0862"/>
    <w:rsid w:val="00EB3542"/>
    <w:rsid w:val="00EB3A03"/>
    <w:rsid w:val="00EC2246"/>
    <w:rsid w:val="00EC2C5A"/>
    <w:rsid w:val="00EC3264"/>
    <w:rsid w:val="00EC7030"/>
    <w:rsid w:val="00ED1173"/>
    <w:rsid w:val="00ED1C58"/>
    <w:rsid w:val="00EE0257"/>
    <w:rsid w:val="00EE6246"/>
    <w:rsid w:val="00EF5615"/>
    <w:rsid w:val="00EF68C8"/>
    <w:rsid w:val="00F00290"/>
    <w:rsid w:val="00F0460E"/>
    <w:rsid w:val="00F10329"/>
    <w:rsid w:val="00F10D38"/>
    <w:rsid w:val="00F1422E"/>
    <w:rsid w:val="00F1470D"/>
    <w:rsid w:val="00F1786B"/>
    <w:rsid w:val="00F20ED9"/>
    <w:rsid w:val="00F26794"/>
    <w:rsid w:val="00F275C5"/>
    <w:rsid w:val="00F27921"/>
    <w:rsid w:val="00F3221C"/>
    <w:rsid w:val="00F34ADD"/>
    <w:rsid w:val="00F34E79"/>
    <w:rsid w:val="00F35A72"/>
    <w:rsid w:val="00F37E5F"/>
    <w:rsid w:val="00F419C3"/>
    <w:rsid w:val="00F43500"/>
    <w:rsid w:val="00F4730E"/>
    <w:rsid w:val="00F55A4F"/>
    <w:rsid w:val="00F6405A"/>
    <w:rsid w:val="00F64F39"/>
    <w:rsid w:val="00F67ABB"/>
    <w:rsid w:val="00F70DE0"/>
    <w:rsid w:val="00F70EF2"/>
    <w:rsid w:val="00F73006"/>
    <w:rsid w:val="00F740FF"/>
    <w:rsid w:val="00F80070"/>
    <w:rsid w:val="00F80380"/>
    <w:rsid w:val="00F84987"/>
    <w:rsid w:val="00F903BF"/>
    <w:rsid w:val="00F9188A"/>
    <w:rsid w:val="00F92D5B"/>
    <w:rsid w:val="00F92FDA"/>
    <w:rsid w:val="00F93A94"/>
    <w:rsid w:val="00F93FF1"/>
    <w:rsid w:val="00F943E1"/>
    <w:rsid w:val="00F964ED"/>
    <w:rsid w:val="00FA1636"/>
    <w:rsid w:val="00FA6F5F"/>
    <w:rsid w:val="00FA7478"/>
    <w:rsid w:val="00FB11F3"/>
    <w:rsid w:val="00FB2511"/>
    <w:rsid w:val="00FB36A3"/>
    <w:rsid w:val="00FC09FF"/>
    <w:rsid w:val="00FC5586"/>
    <w:rsid w:val="00FD2AA1"/>
    <w:rsid w:val="00FD61E6"/>
    <w:rsid w:val="00FD72BE"/>
    <w:rsid w:val="00FE10AE"/>
    <w:rsid w:val="00FE2A23"/>
    <w:rsid w:val="00FE3921"/>
    <w:rsid w:val="00FE54F1"/>
    <w:rsid w:val="00FE7DEE"/>
    <w:rsid w:val="00FF1EEF"/>
    <w:rsid w:val="00FF3A63"/>
    <w:rsid w:val="00FF4E0E"/>
    <w:rsid w:val="00FF5169"/>
    <w:rsid w:val="00FF5A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1C082"/>
  <w15:docId w15:val="{F2FCA5FA-1A16-3648-8932-607DD103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C5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9246C"/>
    <w:pPr>
      <w:spacing w:before="100" w:beforeAutospacing="1" w:after="100" w:afterAutospacing="1"/>
      <w:outlineLvl w:val="0"/>
    </w:pPr>
    <w:rPr>
      <w:rFonts w:ascii="Times" w:eastAsiaTheme="minorHAnsi" w:hAnsi="Times" w:cstheme="minorBidi"/>
      <w:b/>
      <w:bCs/>
      <w:kern w:val="36"/>
      <w:sz w:val="48"/>
      <w:szCs w:val="48"/>
    </w:rPr>
  </w:style>
  <w:style w:type="paragraph" w:styleId="Heading3">
    <w:name w:val="heading 3"/>
    <w:basedOn w:val="Normal"/>
    <w:next w:val="Normal"/>
    <w:link w:val="Heading3Char"/>
    <w:uiPriority w:val="9"/>
    <w:semiHidden/>
    <w:unhideWhenUsed/>
    <w:qFormat/>
    <w:rsid w:val="004B4F7B"/>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096D"/>
    <w:rPr>
      <w:sz w:val="18"/>
      <w:szCs w:val="18"/>
    </w:rPr>
  </w:style>
  <w:style w:type="paragraph" w:styleId="CommentText">
    <w:name w:val="annotation text"/>
    <w:basedOn w:val="Normal"/>
    <w:link w:val="CommentTextChar"/>
    <w:uiPriority w:val="99"/>
    <w:unhideWhenUsed/>
    <w:rsid w:val="0037096D"/>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37096D"/>
    <w:rPr>
      <w:sz w:val="24"/>
      <w:szCs w:val="24"/>
    </w:rPr>
  </w:style>
  <w:style w:type="paragraph" w:styleId="BalloonText">
    <w:name w:val="Balloon Text"/>
    <w:basedOn w:val="Normal"/>
    <w:link w:val="BalloonTextChar"/>
    <w:uiPriority w:val="99"/>
    <w:semiHidden/>
    <w:unhideWhenUsed/>
    <w:rsid w:val="00370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9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3582"/>
    <w:rPr>
      <w:b/>
      <w:bCs/>
      <w:sz w:val="20"/>
      <w:szCs w:val="20"/>
    </w:rPr>
  </w:style>
  <w:style w:type="character" w:customStyle="1" w:styleId="CommentSubjectChar">
    <w:name w:val="Comment Subject Char"/>
    <w:basedOn w:val="CommentTextChar"/>
    <w:link w:val="CommentSubject"/>
    <w:uiPriority w:val="99"/>
    <w:semiHidden/>
    <w:rsid w:val="00AB3582"/>
    <w:rPr>
      <w:b/>
      <w:bCs/>
      <w:sz w:val="20"/>
      <w:szCs w:val="20"/>
    </w:rPr>
  </w:style>
  <w:style w:type="paragraph" w:styleId="FootnoteText">
    <w:name w:val="footnote text"/>
    <w:basedOn w:val="Normal"/>
    <w:link w:val="FootnoteTextChar"/>
    <w:uiPriority w:val="99"/>
    <w:unhideWhenUsed/>
    <w:rsid w:val="00AB6F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B6F29"/>
    <w:rPr>
      <w:sz w:val="20"/>
      <w:szCs w:val="20"/>
    </w:rPr>
  </w:style>
  <w:style w:type="character" w:styleId="FootnoteReference">
    <w:name w:val="footnote reference"/>
    <w:basedOn w:val="DefaultParagraphFont"/>
    <w:uiPriority w:val="99"/>
    <w:unhideWhenUsed/>
    <w:rsid w:val="00AB6F29"/>
    <w:rPr>
      <w:vertAlign w:val="superscript"/>
    </w:rPr>
  </w:style>
  <w:style w:type="paragraph" w:styleId="ListParagraph">
    <w:name w:val="List Paragraph"/>
    <w:basedOn w:val="Normal"/>
    <w:uiPriority w:val="34"/>
    <w:qFormat/>
    <w:rsid w:val="00587970"/>
    <w:pPr>
      <w:spacing w:after="160" w:line="259" w:lineRule="auto"/>
      <w:ind w:left="720"/>
      <w:contextualSpacing/>
    </w:pPr>
    <w:rPr>
      <w:rFonts w:asciiTheme="minorHAnsi" w:eastAsiaTheme="minorHAnsi" w:hAnsiTheme="minorHAnsi" w:cstheme="minorBidi"/>
      <w:sz w:val="22"/>
      <w:szCs w:val="22"/>
    </w:rPr>
  </w:style>
  <w:style w:type="character" w:customStyle="1" w:styleId="ilfuvd">
    <w:name w:val="ilfuvd"/>
    <w:basedOn w:val="DefaultParagraphFont"/>
    <w:rsid w:val="00FB2511"/>
  </w:style>
  <w:style w:type="character" w:customStyle="1" w:styleId="Heading1Char">
    <w:name w:val="Heading 1 Char"/>
    <w:basedOn w:val="DefaultParagraphFont"/>
    <w:link w:val="Heading1"/>
    <w:uiPriority w:val="9"/>
    <w:rsid w:val="0049246C"/>
    <w:rPr>
      <w:rFonts w:ascii="Times" w:hAnsi="Times"/>
      <w:b/>
      <w:bCs/>
      <w:kern w:val="36"/>
      <w:sz w:val="48"/>
      <w:szCs w:val="48"/>
    </w:rPr>
  </w:style>
  <w:style w:type="character" w:customStyle="1" w:styleId="addmd">
    <w:name w:val="addmd"/>
    <w:basedOn w:val="DefaultParagraphFont"/>
    <w:rsid w:val="0049246C"/>
  </w:style>
  <w:style w:type="character" w:styleId="Hyperlink">
    <w:name w:val="Hyperlink"/>
    <w:basedOn w:val="DefaultParagraphFont"/>
    <w:uiPriority w:val="99"/>
    <w:unhideWhenUsed/>
    <w:rsid w:val="001F1D2E"/>
    <w:rPr>
      <w:color w:val="0000FF"/>
      <w:u w:val="single"/>
    </w:rPr>
  </w:style>
  <w:style w:type="character" w:customStyle="1" w:styleId="Heading3Char">
    <w:name w:val="Heading 3 Char"/>
    <w:basedOn w:val="DefaultParagraphFont"/>
    <w:link w:val="Heading3"/>
    <w:uiPriority w:val="9"/>
    <w:semiHidden/>
    <w:rsid w:val="004B4F7B"/>
    <w:rPr>
      <w:rFonts w:asciiTheme="majorHAnsi" w:eastAsiaTheme="majorEastAsia" w:hAnsiTheme="majorHAnsi" w:cstheme="majorBidi"/>
      <w:b/>
      <w:bCs/>
      <w:color w:val="4472C4" w:themeColor="accent1"/>
    </w:rPr>
  </w:style>
  <w:style w:type="character" w:customStyle="1" w:styleId="mw-headline">
    <w:name w:val="mw-headline"/>
    <w:basedOn w:val="DefaultParagraphFont"/>
    <w:rsid w:val="004B4F7B"/>
  </w:style>
  <w:style w:type="paragraph" w:styleId="Revision">
    <w:name w:val="Revision"/>
    <w:hidden/>
    <w:uiPriority w:val="99"/>
    <w:semiHidden/>
    <w:rsid w:val="009F4856"/>
    <w:pPr>
      <w:spacing w:after="0" w:line="240" w:lineRule="auto"/>
    </w:pPr>
  </w:style>
  <w:style w:type="character" w:styleId="FollowedHyperlink">
    <w:name w:val="FollowedHyperlink"/>
    <w:basedOn w:val="DefaultParagraphFont"/>
    <w:uiPriority w:val="99"/>
    <w:semiHidden/>
    <w:unhideWhenUsed/>
    <w:rsid w:val="00C22895"/>
    <w:rPr>
      <w:color w:val="954F72" w:themeColor="followedHyperlink"/>
      <w:u w:val="single"/>
    </w:rPr>
  </w:style>
  <w:style w:type="paragraph" w:styleId="NormalWeb">
    <w:name w:val="Normal (Web)"/>
    <w:basedOn w:val="Normal"/>
    <w:uiPriority w:val="99"/>
    <w:unhideWhenUsed/>
    <w:rsid w:val="00F80380"/>
    <w:pPr>
      <w:spacing w:before="100" w:beforeAutospacing="1" w:after="100" w:afterAutospacing="1"/>
    </w:pPr>
    <w:rPr>
      <w:rFonts w:ascii="Times" w:eastAsiaTheme="minorHAnsi" w:hAnsi="Times"/>
      <w:sz w:val="20"/>
      <w:szCs w:val="20"/>
    </w:rPr>
  </w:style>
  <w:style w:type="character" w:styleId="Strong">
    <w:name w:val="Strong"/>
    <w:basedOn w:val="DefaultParagraphFont"/>
    <w:uiPriority w:val="22"/>
    <w:qFormat/>
    <w:rsid w:val="00F80380"/>
    <w:rPr>
      <w:b/>
      <w:bCs/>
    </w:rPr>
  </w:style>
  <w:style w:type="paragraph" w:styleId="Header">
    <w:name w:val="header"/>
    <w:basedOn w:val="Normal"/>
    <w:link w:val="HeaderChar"/>
    <w:uiPriority w:val="99"/>
    <w:unhideWhenUsed/>
    <w:rsid w:val="006E0170"/>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E0170"/>
  </w:style>
  <w:style w:type="paragraph" w:styleId="Footer">
    <w:name w:val="footer"/>
    <w:basedOn w:val="Normal"/>
    <w:link w:val="FooterChar"/>
    <w:uiPriority w:val="99"/>
    <w:unhideWhenUsed/>
    <w:rsid w:val="006E0170"/>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E0170"/>
  </w:style>
  <w:style w:type="character" w:customStyle="1" w:styleId="entryauthor">
    <w:name w:val="entryauthor"/>
    <w:basedOn w:val="DefaultParagraphFont"/>
    <w:rsid w:val="00B31915"/>
  </w:style>
  <w:style w:type="character" w:customStyle="1" w:styleId="UnresolvedMention1">
    <w:name w:val="Unresolved Mention1"/>
    <w:basedOn w:val="DefaultParagraphFont"/>
    <w:uiPriority w:val="99"/>
    <w:semiHidden/>
    <w:unhideWhenUsed/>
    <w:rsid w:val="00EA66AE"/>
    <w:rPr>
      <w:color w:val="605E5C"/>
      <w:shd w:val="clear" w:color="auto" w:fill="E1DFDD"/>
    </w:rPr>
  </w:style>
  <w:style w:type="paragraph" w:styleId="EndnoteText">
    <w:name w:val="endnote text"/>
    <w:basedOn w:val="Normal"/>
    <w:link w:val="EndnoteTextChar"/>
    <w:uiPriority w:val="99"/>
    <w:unhideWhenUsed/>
    <w:rsid w:val="00277205"/>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277205"/>
    <w:rPr>
      <w:sz w:val="20"/>
      <w:szCs w:val="20"/>
    </w:rPr>
  </w:style>
  <w:style w:type="character" w:styleId="EndnoteReference">
    <w:name w:val="endnote reference"/>
    <w:basedOn w:val="DefaultParagraphFont"/>
    <w:uiPriority w:val="99"/>
    <w:unhideWhenUsed/>
    <w:rsid w:val="00277205"/>
    <w:rPr>
      <w:vertAlign w:val="superscript"/>
    </w:rPr>
  </w:style>
  <w:style w:type="character" w:customStyle="1" w:styleId="highlight">
    <w:name w:val="highlight"/>
    <w:basedOn w:val="DefaultParagraphFont"/>
    <w:rsid w:val="00EB0862"/>
  </w:style>
  <w:style w:type="paragraph" w:styleId="HTMLPreformatted">
    <w:name w:val="HTML Preformatted"/>
    <w:basedOn w:val="Normal"/>
    <w:link w:val="HTMLPreformattedChar"/>
    <w:uiPriority w:val="99"/>
    <w:semiHidden/>
    <w:unhideWhenUsed/>
    <w:rsid w:val="00BD7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7B43"/>
    <w:rPr>
      <w:rFonts w:ascii="Courier New" w:eastAsia="Times New Roman" w:hAnsi="Courier New" w:cs="Courier New"/>
      <w:sz w:val="20"/>
      <w:szCs w:val="20"/>
      <w:lang w:eastAsia="en-GB"/>
    </w:rPr>
  </w:style>
  <w:style w:type="character" w:customStyle="1" w:styleId="UnresolvedMention2">
    <w:name w:val="Unresolved Mention2"/>
    <w:basedOn w:val="DefaultParagraphFont"/>
    <w:uiPriority w:val="99"/>
    <w:semiHidden/>
    <w:unhideWhenUsed/>
    <w:rsid w:val="00AF7ADF"/>
    <w:rPr>
      <w:color w:val="605E5C"/>
      <w:shd w:val="clear" w:color="auto" w:fill="E1DFDD"/>
    </w:rPr>
  </w:style>
  <w:style w:type="character" w:customStyle="1" w:styleId="ls0">
    <w:name w:val="ls0"/>
    <w:basedOn w:val="DefaultParagraphFont"/>
    <w:rsid w:val="002D1EC8"/>
  </w:style>
  <w:style w:type="character" w:customStyle="1" w:styleId="UnresolvedMention3">
    <w:name w:val="Unresolved Mention3"/>
    <w:basedOn w:val="DefaultParagraphFont"/>
    <w:uiPriority w:val="99"/>
    <w:semiHidden/>
    <w:unhideWhenUsed/>
    <w:rsid w:val="006A06DD"/>
    <w:rPr>
      <w:color w:val="605E5C"/>
      <w:shd w:val="clear" w:color="auto" w:fill="E1DFDD"/>
    </w:rPr>
  </w:style>
  <w:style w:type="character" w:styleId="UnresolvedMention">
    <w:name w:val="Unresolved Mention"/>
    <w:basedOn w:val="DefaultParagraphFont"/>
    <w:uiPriority w:val="99"/>
    <w:semiHidden/>
    <w:unhideWhenUsed/>
    <w:rsid w:val="0046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4925">
      <w:bodyDiv w:val="1"/>
      <w:marLeft w:val="0"/>
      <w:marRight w:val="0"/>
      <w:marTop w:val="0"/>
      <w:marBottom w:val="0"/>
      <w:divBdr>
        <w:top w:val="none" w:sz="0" w:space="0" w:color="auto"/>
        <w:left w:val="none" w:sz="0" w:space="0" w:color="auto"/>
        <w:bottom w:val="none" w:sz="0" w:space="0" w:color="auto"/>
        <w:right w:val="none" w:sz="0" w:space="0" w:color="auto"/>
      </w:divBdr>
    </w:div>
    <w:div w:id="80221864">
      <w:bodyDiv w:val="1"/>
      <w:marLeft w:val="0"/>
      <w:marRight w:val="0"/>
      <w:marTop w:val="0"/>
      <w:marBottom w:val="0"/>
      <w:divBdr>
        <w:top w:val="none" w:sz="0" w:space="0" w:color="auto"/>
        <w:left w:val="none" w:sz="0" w:space="0" w:color="auto"/>
        <w:bottom w:val="none" w:sz="0" w:space="0" w:color="auto"/>
        <w:right w:val="none" w:sz="0" w:space="0" w:color="auto"/>
      </w:divBdr>
    </w:div>
    <w:div w:id="198857270">
      <w:bodyDiv w:val="1"/>
      <w:marLeft w:val="0"/>
      <w:marRight w:val="0"/>
      <w:marTop w:val="0"/>
      <w:marBottom w:val="0"/>
      <w:divBdr>
        <w:top w:val="none" w:sz="0" w:space="0" w:color="auto"/>
        <w:left w:val="none" w:sz="0" w:space="0" w:color="auto"/>
        <w:bottom w:val="none" w:sz="0" w:space="0" w:color="auto"/>
        <w:right w:val="none" w:sz="0" w:space="0" w:color="auto"/>
      </w:divBdr>
    </w:div>
    <w:div w:id="212735852">
      <w:bodyDiv w:val="1"/>
      <w:marLeft w:val="0"/>
      <w:marRight w:val="0"/>
      <w:marTop w:val="0"/>
      <w:marBottom w:val="0"/>
      <w:divBdr>
        <w:top w:val="none" w:sz="0" w:space="0" w:color="auto"/>
        <w:left w:val="none" w:sz="0" w:space="0" w:color="auto"/>
        <w:bottom w:val="none" w:sz="0" w:space="0" w:color="auto"/>
        <w:right w:val="none" w:sz="0" w:space="0" w:color="auto"/>
      </w:divBdr>
    </w:div>
    <w:div w:id="214316307">
      <w:bodyDiv w:val="1"/>
      <w:marLeft w:val="0"/>
      <w:marRight w:val="0"/>
      <w:marTop w:val="0"/>
      <w:marBottom w:val="0"/>
      <w:divBdr>
        <w:top w:val="none" w:sz="0" w:space="0" w:color="auto"/>
        <w:left w:val="none" w:sz="0" w:space="0" w:color="auto"/>
        <w:bottom w:val="none" w:sz="0" w:space="0" w:color="auto"/>
        <w:right w:val="none" w:sz="0" w:space="0" w:color="auto"/>
      </w:divBdr>
      <w:divsChild>
        <w:div w:id="382679098">
          <w:marLeft w:val="0"/>
          <w:marRight w:val="0"/>
          <w:marTop w:val="0"/>
          <w:marBottom w:val="0"/>
          <w:divBdr>
            <w:top w:val="none" w:sz="0" w:space="0" w:color="auto"/>
            <w:left w:val="none" w:sz="0" w:space="0" w:color="auto"/>
            <w:bottom w:val="none" w:sz="0" w:space="0" w:color="auto"/>
            <w:right w:val="none" w:sz="0" w:space="0" w:color="auto"/>
          </w:divBdr>
        </w:div>
        <w:div w:id="817192134">
          <w:marLeft w:val="0"/>
          <w:marRight w:val="0"/>
          <w:marTop w:val="0"/>
          <w:marBottom w:val="0"/>
          <w:divBdr>
            <w:top w:val="none" w:sz="0" w:space="0" w:color="auto"/>
            <w:left w:val="none" w:sz="0" w:space="0" w:color="auto"/>
            <w:bottom w:val="none" w:sz="0" w:space="0" w:color="auto"/>
            <w:right w:val="none" w:sz="0" w:space="0" w:color="auto"/>
          </w:divBdr>
        </w:div>
        <w:div w:id="1149901455">
          <w:marLeft w:val="0"/>
          <w:marRight w:val="0"/>
          <w:marTop w:val="0"/>
          <w:marBottom w:val="0"/>
          <w:divBdr>
            <w:top w:val="none" w:sz="0" w:space="0" w:color="auto"/>
            <w:left w:val="none" w:sz="0" w:space="0" w:color="auto"/>
            <w:bottom w:val="none" w:sz="0" w:space="0" w:color="auto"/>
            <w:right w:val="none" w:sz="0" w:space="0" w:color="auto"/>
          </w:divBdr>
        </w:div>
        <w:div w:id="2026402503">
          <w:marLeft w:val="0"/>
          <w:marRight w:val="0"/>
          <w:marTop w:val="0"/>
          <w:marBottom w:val="0"/>
          <w:divBdr>
            <w:top w:val="none" w:sz="0" w:space="0" w:color="auto"/>
            <w:left w:val="none" w:sz="0" w:space="0" w:color="auto"/>
            <w:bottom w:val="none" w:sz="0" w:space="0" w:color="auto"/>
            <w:right w:val="none" w:sz="0" w:space="0" w:color="auto"/>
          </w:divBdr>
        </w:div>
        <w:div w:id="1806850328">
          <w:marLeft w:val="0"/>
          <w:marRight w:val="0"/>
          <w:marTop w:val="0"/>
          <w:marBottom w:val="0"/>
          <w:divBdr>
            <w:top w:val="none" w:sz="0" w:space="0" w:color="auto"/>
            <w:left w:val="none" w:sz="0" w:space="0" w:color="auto"/>
            <w:bottom w:val="none" w:sz="0" w:space="0" w:color="auto"/>
            <w:right w:val="none" w:sz="0" w:space="0" w:color="auto"/>
          </w:divBdr>
        </w:div>
        <w:div w:id="411586799">
          <w:marLeft w:val="0"/>
          <w:marRight w:val="0"/>
          <w:marTop w:val="0"/>
          <w:marBottom w:val="0"/>
          <w:divBdr>
            <w:top w:val="none" w:sz="0" w:space="0" w:color="auto"/>
            <w:left w:val="none" w:sz="0" w:space="0" w:color="auto"/>
            <w:bottom w:val="none" w:sz="0" w:space="0" w:color="auto"/>
            <w:right w:val="none" w:sz="0" w:space="0" w:color="auto"/>
          </w:divBdr>
        </w:div>
      </w:divsChild>
    </w:div>
    <w:div w:id="223105458">
      <w:bodyDiv w:val="1"/>
      <w:marLeft w:val="0"/>
      <w:marRight w:val="0"/>
      <w:marTop w:val="0"/>
      <w:marBottom w:val="0"/>
      <w:divBdr>
        <w:top w:val="none" w:sz="0" w:space="0" w:color="auto"/>
        <w:left w:val="none" w:sz="0" w:space="0" w:color="auto"/>
        <w:bottom w:val="none" w:sz="0" w:space="0" w:color="auto"/>
        <w:right w:val="none" w:sz="0" w:space="0" w:color="auto"/>
      </w:divBdr>
    </w:div>
    <w:div w:id="230117931">
      <w:bodyDiv w:val="1"/>
      <w:marLeft w:val="0"/>
      <w:marRight w:val="0"/>
      <w:marTop w:val="0"/>
      <w:marBottom w:val="0"/>
      <w:divBdr>
        <w:top w:val="none" w:sz="0" w:space="0" w:color="auto"/>
        <w:left w:val="none" w:sz="0" w:space="0" w:color="auto"/>
        <w:bottom w:val="none" w:sz="0" w:space="0" w:color="auto"/>
        <w:right w:val="none" w:sz="0" w:space="0" w:color="auto"/>
      </w:divBdr>
    </w:div>
    <w:div w:id="232784512">
      <w:bodyDiv w:val="1"/>
      <w:marLeft w:val="0"/>
      <w:marRight w:val="0"/>
      <w:marTop w:val="0"/>
      <w:marBottom w:val="0"/>
      <w:divBdr>
        <w:top w:val="none" w:sz="0" w:space="0" w:color="auto"/>
        <w:left w:val="none" w:sz="0" w:space="0" w:color="auto"/>
        <w:bottom w:val="none" w:sz="0" w:space="0" w:color="auto"/>
        <w:right w:val="none" w:sz="0" w:space="0" w:color="auto"/>
      </w:divBdr>
    </w:div>
    <w:div w:id="243498168">
      <w:bodyDiv w:val="1"/>
      <w:marLeft w:val="0"/>
      <w:marRight w:val="0"/>
      <w:marTop w:val="0"/>
      <w:marBottom w:val="0"/>
      <w:divBdr>
        <w:top w:val="none" w:sz="0" w:space="0" w:color="auto"/>
        <w:left w:val="none" w:sz="0" w:space="0" w:color="auto"/>
        <w:bottom w:val="none" w:sz="0" w:space="0" w:color="auto"/>
        <w:right w:val="none" w:sz="0" w:space="0" w:color="auto"/>
      </w:divBdr>
      <w:divsChild>
        <w:div w:id="1988974071">
          <w:marLeft w:val="0"/>
          <w:marRight w:val="0"/>
          <w:marTop w:val="0"/>
          <w:marBottom w:val="0"/>
          <w:divBdr>
            <w:top w:val="none" w:sz="0" w:space="0" w:color="auto"/>
            <w:left w:val="none" w:sz="0" w:space="0" w:color="auto"/>
            <w:bottom w:val="none" w:sz="0" w:space="0" w:color="auto"/>
            <w:right w:val="none" w:sz="0" w:space="0" w:color="auto"/>
          </w:divBdr>
        </w:div>
        <w:div w:id="2092654454">
          <w:marLeft w:val="0"/>
          <w:marRight w:val="0"/>
          <w:marTop w:val="0"/>
          <w:marBottom w:val="0"/>
          <w:divBdr>
            <w:top w:val="none" w:sz="0" w:space="0" w:color="auto"/>
            <w:left w:val="none" w:sz="0" w:space="0" w:color="auto"/>
            <w:bottom w:val="none" w:sz="0" w:space="0" w:color="auto"/>
            <w:right w:val="none" w:sz="0" w:space="0" w:color="auto"/>
          </w:divBdr>
        </w:div>
        <w:div w:id="1511948053">
          <w:marLeft w:val="0"/>
          <w:marRight w:val="0"/>
          <w:marTop w:val="0"/>
          <w:marBottom w:val="0"/>
          <w:divBdr>
            <w:top w:val="none" w:sz="0" w:space="0" w:color="auto"/>
            <w:left w:val="none" w:sz="0" w:space="0" w:color="auto"/>
            <w:bottom w:val="none" w:sz="0" w:space="0" w:color="auto"/>
            <w:right w:val="none" w:sz="0" w:space="0" w:color="auto"/>
          </w:divBdr>
        </w:div>
        <w:div w:id="2106146183">
          <w:marLeft w:val="0"/>
          <w:marRight w:val="0"/>
          <w:marTop w:val="0"/>
          <w:marBottom w:val="0"/>
          <w:divBdr>
            <w:top w:val="none" w:sz="0" w:space="0" w:color="auto"/>
            <w:left w:val="none" w:sz="0" w:space="0" w:color="auto"/>
            <w:bottom w:val="none" w:sz="0" w:space="0" w:color="auto"/>
            <w:right w:val="none" w:sz="0" w:space="0" w:color="auto"/>
          </w:divBdr>
        </w:div>
        <w:div w:id="154537820">
          <w:marLeft w:val="0"/>
          <w:marRight w:val="0"/>
          <w:marTop w:val="0"/>
          <w:marBottom w:val="0"/>
          <w:divBdr>
            <w:top w:val="none" w:sz="0" w:space="0" w:color="auto"/>
            <w:left w:val="none" w:sz="0" w:space="0" w:color="auto"/>
            <w:bottom w:val="none" w:sz="0" w:space="0" w:color="auto"/>
            <w:right w:val="none" w:sz="0" w:space="0" w:color="auto"/>
          </w:divBdr>
        </w:div>
        <w:div w:id="1125854598">
          <w:marLeft w:val="0"/>
          <w:marRight w:val="0"/>
          <w:marTop w:val="0"/>
          <w:marBottom w:val="0"/>
          <w:divBdr>
            <w:top w:val="none" w:sz="0" w:space="0" w:color="auto"/>
            <w:left w:val="none" w:sz="0" w:space="0" w:color="auto"/>
            <w:bottom w:val="none" w:sz="0" w:space="0" w:color="auto"/>
            <w:right w:val="none" w:sz="0" w:space="0" w:color="auto"/>
          </w:divBdr>
        </w:div>
        <w:div w:id="22875447">
          <w:marLeft w:val="0"/>
          <w:marRight w:val="0"/>
          <w:marTop w:val="0"/>
          <w:marBottom w:val="0"/>
          <w:divBdr>
            <w:top w:val="none" w:sz="0" w:space="0" w:color="auto"/>
            <w:left w:val="none" w:sz="0" w:space="0" w:color="auto"/>
            <w:bottom w:val="none" w:sz="0" w:space="0" w:color="auto"/>
            <w:right w:val="none" w:sz="0" w:space="0" w:color="auto"/>
          </w:divBdr>
        </w:div>
      </w:divsChild>
    </w:div>
    <w:div w:id="289090992">
      <w:bodyDiv w:val="1"/>
      <w:marLeft w:val="0"/>
      <w:marRight w:val="0"/>
      <w:marTop w:val="0"/>
      <w:marBottom w:val="0"/>
      <w:divBdr>
        <w:top w:val="none" w:sz="0" w:space="0" w:color="auto"/>
        <w:left w:val="none" w:sz="0" w:space="0" w:color="auto"/>
        <w:bottom w:val="none" w:sz="0" w:space="0" w:color="auto"/>
        <w:right w:val="none" w:sz="0" w:space="0" w:color="auto"/>
      </w:divBdr>
    </w:div>
    <w:div w:id="328021676">
      <w:bodyDiv w:val="1"/>
      <w:marLeft w:val="0"/>
      <w:marRight w:val="0"/>
      <w:marTop w:val="0"/>
      <w:marBottom w:val="0"/>
      <w:divBdr>
        <w:top w:val="none" w:sz="0" w:space="0" w:color="auto"/>
        <w:left w:val="none" w:sz="0" w:space="0" w:color="auto"/>
        <w:bottom w:val="none" w:sz="0" w:space="0" w:color="auto"/>
        <w:right w:val="none" w:sz="0" w:space="0" w:color="auto"/>
      </w:divBdr>
    </w:div>
    <w:div w:id="372341838">
      <w:bodyDiv w:val="1"/>
      <w:marLeft w:val="0"/>
      <w:marRight w:val="0"/>
      <w:marTop w:val="0"/>
      <w:marBottom w:val="0"/>
      <w:divBdr>
        <w:top w:val="none" w:sz="0" w:space="0" w:color="auto"/>
        <w:left w:val="none" w:sz="0" w:space="0" w:color="auto"/>
        <w:bottom w:val="none" w:sz="0" w:space="0" w:color="auto"/>
        <w:right w:val="none" w:sz="0" w:space="0" w:color="auto"/>
      </w:divBdr>
    </w:div>
    <w:div w:id="494305006">
      <w:bodyDiv w:val="1"/>
      <w:marLeft w:val="0"/>
      <w:marRight w:val="0"/>
      <w:marTop w:val="0"/>
      <w:marBottom w:val="0"/>
      <w:divBdr>
        <w:top w:val="none" w:sz="0" w:space="0" w:color="auto"/>
        <w:left w:val="none" w:sz="0" w:space="0" w:color="auto"/>
        <w:bottom w:val="none" w:sz="0" w:space="0" w:color="auto"/>
        <w:right w:val="none" w:sz="0" w:space="0" w:color="auto"/>
      </w:divBdr>
      <w:divsChild>
        <w:div w:id="597367363">
          <w:marLeft w:val="0"/>
          <w:marRight w:val="0"/>
          <w:marTop w:val="0"/>
          <w:marBottom w:val="0"/>
          <w:divBdr>
            <w:top w:val="none" w:sz="0" w:space="0" w:color="auto"/>
            <w:left w:val="none" w:sz="0" w:space="0" w:color="auto"/>
            <w:bottom w:val="none" w:sz="0" w:space="0" w:color="auto"/>
            <w:right w:val="none" w:sz="0" w:space="0" w:color="auto"/>
          </w:divBdr>
        </w:div>
      </w:divsChild>
    </w:div>
    <w:div w:id="509219731">
      <w:bodyDiv w:val="1"/>
      <w:marLeft w:val="0"/>
      <w:marRight w:val="0"/>
      <w:marTop w:val="0"/>
      <w:marBottom w:val="0"/>
      <w:divBdr>
        <w:top w:val="none" w:sz="0" w:space="0" w:color="auto"/>
        <w:left w:val="none" w:sz="0" w:space="0" w:color="auto"/>
        <w:bottom w:val="none" w:sz="0" w:space="0" w:color="auto"/>
        <w:right w:val="none" w:sz="0" w:space="0" w:color="auto"/>
      </w:divBdr>
    </w:div>
    <w:div w:id="511264087">
      <w:bodyDiv w:val="1"/>
      <w:marLeft w:val="0"/>
      <w:marRight w:val="0"/>
      <w:marTop w:val="0"/>
      <w:marBottom w:val="0"/>
      <w:divBdr>
        <w:top w:val="none" w:sz="0" w:space="0" w:color="auto"/>
        <w:left w:val="none" w:sz="0" w:space="0" w:color="auto"/>
        <w:bottom w:val="none" w:sz="0" w:space="0" w:color="auto"/>
        <w:right w:val="none" w:sz="0" w:space="0" w:color="auto"/>
      </w:divBdr>
      <w:divsChild>
        <w:div w:id="390815226">
          <w:marLeft w:val="0"/>
          <w:marRight w:val="0"/>
          <w:marTop w:val="0"/>
          <w:marBottom w:val="0"/>
          <w:divBdr>
            <w:top w:val="none" w:sz="0" w:space="0" w:color="auto"/>
            <w:left w:val="none" w:sz="0" w:space="0" w:color="auto"/>
            <w:bottom w:val="none" w:sz="0" w:space="0" w:color="auto"/>
            <w:right w:val="none" w:sz="0" w:space="0" w:color="auto"/>
          </w:divBdr>
        </w:div>
        <w:div w:id="1738742801">
          <w:marLeft w:val="0"/>
          <w:marRight w:val="0"/>
          <w:marTop w:val="0"/>
          <w:marBottom w:val="0"/>
          <w:divBdr>
            <w:top w:val="none" w:sz="0" w:space="0" w:color="auto"/>
            <w:left w:val="none" w:sz="0" w:space="0" w:color="auto"/>
            <w:bottom w:val="none" w:sz="0" w:space="0" w:color="auto"/>
            <w:right w:val="none" w:sz="0" w:space="0" w:color="auto"/>
          </w:divBdr>
        </w:div>
        <w:div w:id="1460300841">
          <w:marLeft w:val="0"/>
          <w:marRight w:val="0"/>
          <w:marTop w:val="0"/>
          <w:marBottom w:val="0"/>
          <w:divBdr>
            <w:top w:val="none" w:sz="0" w:space="0" w:color="auto"/>
            <w:left w:val="none" w:sz="0" w:space="0" w:color="auto"/>
            <w:bottom w:val="none" w:sz="0" w:space="0" w:color="auto"/>
            <w:right w:val="none" w:sz="0" w:space="0" w:color="auto"/>
          </w:divBdr>
        </w:div>
        <w:div w:id="70660263">
          <w:marLeft w:val="0"/>
          <w:marRight w:val="0"/>
          <w:marTop w:val="0"/>
          <w:marBottom w:val="0"/>
          <w:divBdr>
            <w:top w:val="none" w:sz="0" w:space="0" w:color="auto"/>
            <w:left w:val="none" w:sz="0" w:space="0" w:color="auto"/>
            <w:bottom w:val="none" w:sz="0" w:space="0" w:color="auto"/>
            <w:right w:val="none" w:sz="0" w:space="0" w:color="auto"/>
          </w:divBdr>
        </w:div>
      </w:divsChild>
    </w:div>
    <w:div w:id="525679239">
      <w:bodyDiv w:val="1"/>
      <w:marLeft w:val="0"/>
      <w:marRight w:val="0"/>
      <w:marTop w:val="0"/>
      <w:marBottom w:val="0"/>
      <w:divBdr>
        <w:top w:val="none" w:sz="0" w:space="0" w:color="auto"/>
        <w:left w:val="none" w:sz="0" w:space="0" w:color="auto"/>
        <w:bottom w:val="none" w:sz="0" w:space="0" w:color="auto"/>
        <w:right w:val="none" w:sz="0" w:space="0" w:color="auto"/>
      </w:divBdr>
      <w:divsChild>
        <w:div w:id="1425807612">
          <w:marLeft w:val="0"/>
          <w:marRight w:val="0"/>
          <w:marTop w:val="0"/>
          <w:marBottom w:val="0"/>
          <w:divBdr>
            <w:top w:val="none" w:sz="0" w:space="0" w:color="auto"/>
            <w:left w:val="none" w:sz="0" w:space="0" w:color="auto"/>
            <w:bottom w:val="none" w:sz="0" w:space="0" w:color="auto"/>
            <w:right w:val="none" w:sz="0" w:space="0" w:color="auto"/>
          </w:divBdr>
        </w:div>
        <w:div w:id="432018687">
          <w:marLeft w:val="0"/>
          <w:marRight w:val="0"/>
          <w:marTop w:val="0"/>
          <w:marBottom w:val="0"/>
          <w:divBdr>
            <w:top w:val="none" w:sz="0" w:space="0" w:color="auto"/>
            <w:left w:val="none" w:sz="0" w:space="0" w:color="auto"/>
            <w:bottom w:val="none" w:sz="0" w:space="0" w:color="auto"/>
            <w:right w:val="none" w:sz="0" w:space="0" w:color="auto"/>
          </w:divBdr>
        </w:div>
        <w:div w:id="255209092">
          <w:marLeft w:val="0"/>
          <w:marRight w:val="0"/>
          <w:marTop w:val="0"/>
          <w:marBottom w:val="0"/>
          <w:divBdr>
            <w:top w:val="none" w:sz="0" w:space="0" w:color="auto"/>
            <w:left w:val="none" w:sz="0" w:space="0" w:color="auto"/>
            <w:bottom w:val="none" w:sz="0" w:space="0" w:color="auto"/>
            <w:right w:val="none" w:sz="0" w:space="0" w:color="auto"/>
          </w:divBdr>
        </w:div>
      </w:divsChild>
    </w:div>
    <w:div w:id="529102975">
      <w:bodyDiv w:val="1"/>
      <w:marLeft w:val="0"/>
      <w:marRight w:val="0"/>
      <w:marTop w:val="0"/>
      <w:marBottom w:val="0"/>
      <w:divBdr>
        <w:top w:val="none" w:sz="0" w:space="0" w:color="auto"/>
        <w:left w:val="none" w:sz="0" w:space="0" w:color="auto"/>
        <w:bottom w:val="none" w:sz="0" w:space="0" w:color="auto"/>
        <w:right w:val="none" w:sz="0" w:space="0" w:color="auto"/>
      </w:divBdr>
      <w:divsChild>
        <w:div w:id="2110546286">
          <w:marLeft w:val="0"/>
          <w:marRight w:val="0"/>
          <w:marTop w:val="0"/>
          <w:marBottom w:val="0"/>
          <w:divBdr>
            <w:top w:val="none" w:sz="0" w:space="0" w:color="auto"/>
            <w:left w:val="none" w:sz="0" w:space="0" w:color="auto"/>
            <w:bottom w:val="none" w:sz="0" w:space="0" w:color="auto"/>
            <w:right w:val="none" w:sz="0" w:space="0" w:color="auto"/>
          </w:divBdr>
        </w:div>
        <w:div w:id="1493528695">
          <w:marLeft w:val="0"/>
          <w:marRight w:val="0"/>
          <w:marTop w:val="0"/>
          <w:marBottom w:val="0"/>
          <w:divBdr>
            <w:top w:val="none" w:sz="0" w:space="0" w:color="auto"/>
            <w:left w:val="none" w:sz="0" w:space="0" w:color="auto"/>
            <w:bottom w:val="none" w:sz="0" w:space="0" w:color="auto"/>
            <w:right w:val="none" w:sz="0" w:space="0" w:color="auto"/>
          </w:divBdr>
        </w:div>
      </w:divsChild>
    </w:div>
    <w:div w:id="580068722">
      <w:bodyDiv w:val="1"/>
      <w:marLeft w:val="0"/>
      <w:marRight w:val="0"/>
      <w:marTop w:val="0"/>
      <w:marBottom w:val="0"/>
      <w:divBdr>
        <w:top w:val="none" w:sz="0" w:space="0" w:color="auto"/>
        <w:left w:val="none" w:sz="0" w:space="0" w:color="auto"/>
        <w:bottom w:val="none" w:sz="0" w:space="0" w:color="auto"/>
        <w:right w:val="none" w:sz="0" w:space="0" w:color="auto"/>
      </w:divBdr>
    </w:div>
    <w:div w:id="582835774">
      <w:bodyDiv w:val="1"/>
      <w:marLeft w:val="0"/>
      <w:marRight w:val="0"/>
      <w:marTop w:val="0"/>
      <w:marBottom w:val="0"/>
      <w:divBdr>
        <w:top w:val="none" w:sz="0" w:space="0" w:color="auto"/>
        <w:left w:val="none" w:sz="0" w:space="0" w:color="auto"/>
        <w:bottom w:val="none" w:sz="0" w:space="0" w:color="auto"/>
        <w:right w:val="none" w:sz="0" w:space="0" w:color="auto"/>
      </w:divBdr>
    </w:div>
    <w:div w:id="587226617">
      <w:bodyDiv w:val="1"/>
      <w:marLeft w:val="0"/>
      <w:marRight w:val="0"/>
      <w:marTop w:val="0"/>
      <w:marBottom w:val="0"/>
      <w:divBdr>
        <w:top w:val="none" w:sz="0" w:space="0" w:color="auto"/>
        <w:left w:val="none" w:sz="0" w:space="0" w:color="auto"/>
        <w:bottom w:val="none" w:sz="0" w:space="0" w:color="auto"/>
        <w:right w:val="none" w:sz="0" w:space="0" w:color="auto"/>
      </w:divBdr>
      <w:divsChild>
        <w:div w:id="1085998369">
          <w:marLeft w:val="0"/>
          <w:marRight w:val="0"/>
          <w:marTop w:val="0"/>
          <w:marBottom w:val="0"/>
          <w:divBdr>
            <w:top w:val="none" w:sz="0" w:space="0" w:color="auto"/>
            <w:left w:val="none" w:sz="0" w:space="0" w:color="auto"/>
            <w:bottom w:val="none" w:sz="0" w:space="0" w:color="auto"/>
            <w:right w:val="none" w:sz="0" w:space="0" w:color="auto"/>
          </w:divBdr>
        </w:div>
        <w:div w:id="1061057355">
          <w:marLeft w:val="0"/>
          <w:marRight w:val="0"/>
          <w:marTop w:val="0"/>
          <w:marBottom w:val="0"/>
          <w:divBdr>
            <w:top w:val="none" w:sz="0" w:space="0" w:color="auto"/>
            <w:left w:val="none" w:sz="0" w:space="0" w:color="auto"/>
            <w:bottom w:val="none" w:sz="0" w:space="0" w:color="auto"/>
            <w:right w:val="none" w:sz="0" w:space="0" w:color="auto"/>
          </w:divBdr>
        </w:div>
        <w:div w:id="1048189023">
          <w:marLeft w:val="0"/>
          <w:marRight w:val="0"/>
          <w:marTop w:val="0"/>
          <w:marBottom w:val="0"/>
          <w:divBdr>
            <w:top w:val="none" w:sz="0" w:space="0" w:color="auto"/>
            <w:left w:val="none" w:sz="0" w:space="0" w:color="auto"/>
            <w:bottom w:val="none" w:sz="0" w:space="0" w:color="auto"/>
            <w:right w:val="none" w:sz="0" w:space="0" w:color="auto"/>
          </w:divBdr>
        </w:div>
        <w:div w:id="86854936">
          <w:marLeft w:val="0"/>
          <w:marRight w:val="0"/>
          <w:marTop w:val="0"/>
          <w:marBottom w:val="0"/>
          <w:divBdr>
            <w:top w:val="none" w:sz="0" w:space="0" w:color="auto"/>
            <w:left w:val="none" w:sz="0" w:space="0" w:color="auto"/>
            <w:bottom w:val="none" w:sz="0" w:space="0" w:color="auto"/>
            <w:right w:val="none" w:sz="0" w:space="0" w:color="auto"/>
          </w:divBdr>
        </w:div>
        <w:div w:id="814416429">
          <w:marLeft w:val="0"/>
          <w:marRight w:val="0"/>
          <w:marTop w:val="0"/>
          <w:marBottom w:val="0"/>
          <w:divBdr>
            <w:top w:val="none" w:sz="0" w:space="0" w:color="auto"/>
            <w:left w:val="none" w:sz="0" w:space="0" w:color="auto"/>
            <w:bottom w:val="none" w:sz="0" w:space="0" w:color="auto"/>
            <w:right w:val="none" w:sz="0" w:space="0" w:color="auto"/>
          </w:divBdr>
        </w:div>
        <w:div w:id="1905530493">
          <w:marLeft w:val="0"/>
          <w:marRight w:val="0"/>
          <w:marTop w:val="0"/>
          <w:marBottom w:val="0"/>
          <w:divBdr>
            <w:top w:val="none" w:sz="0" w:space="0" w:color="auto"/>
            <w:left w:val="none" w:sz="0" w:space="0" w:color="auto"/>
            <w:bottom w:val="none" w:sz="0" w:space="0" w:color="auto"/>
            <w:right w:val="none" w:sz="0" w:space="0" w:color="auto"/>
          </w:divBdr>
        </w:div>
        <w:div w:id="1092436053">
          <w:marLeft w:val="0"/>
          <w:marRight w:val="0"/>
          <w:marTop w:val="0"/>
          <w:marBottom w:val="0"/>
          <w:divBdr>
            <w:top w:val="none" w:sz="0" w:space="0" w:color="auto"/>
            <w:left w:val="none" w:sz="0" w:space="0" w:color="auto"/>
            <w:bottom w:val="none" w:sz="0" w:space="0" w:color="auto"/>
            <w:right w:val="none" w:sz="0" w:space="0" w:color="auto"/>
          </w:divBdr>
        </w:div>
        <w:div w:id="285351111">
          <w:marLeft w:val="0"/>
          <w:marRight w:val="0"/>
          <w:marTop w:val="0"/>
          <w:marBottom w:val="0"/>
          <w:divBdr>
            <w:top w:val="none" w:sz="0" w:space="0" w:color="auto"/>
            <w:left w:val="none" w:sz="0" w:space="0" w:color="auto"/>
            <w:bottom w:val="none" w:sz="0" w:space="0" w:color="auto"/>
            <w:right w:val="none" w:sz="0" w:space="0" w:color="auto"/>
          </w:divBdr>
        </w:div>
        <w:div w:id="403723260">
          <w:marLeft w:val="0"/>
          <w:marRight w:val="0"/>
          <w:marTop w:val="0"/>
          <w:marBottom w:val="0"/>
          <w:divBdr>
            <w:top w:val="none" w:sz="0" w:space="0" w:color="auto"/>
            <w:left w:val="none" w:sz="0" w:space="0" w:color="auto"/>
            <w:bottom w:val="none" w:sz="0" w:space="0" w:color="auto"/>
            <w:right w:val="none" w:sz="0" w:space="0" w:color="auto"/>
          </w:divBdr>
        </w:div>
        <w:div w:id="427968589">
          <w:marLeft w:val="0"/>
          <w:marRight w:val="0"/>
          <w:marTop w:val="0"/>
          <w:marBottom w:val="0"/>
          <w:divBdr>
            <w:top w:val="none" w:sz="0" w:space="0" w:color="auto"/>
            <w:left w:val="none" w:sz="0" w:space="0" w:color="auto"/>
            <w:bottom w:val="none" w:sz="0" w:space="0" w:color="auto"/>
            <w:right w:val="none" w:sz="0" w:space="0" w:color="auto"/>
          </w:divBdr>
        </w:div>
        <w:div w:id="1072704549">
          <w:marLeft w:val="0"/>
          <w:marRight w:val="0"/>
          <w:marTop w:val="0"/>
          <w:marBottom w:val="0"/>
          <w:divBdr>
            <w:top w:val="none" w:sz="0" w:space="0" w:color="auto"/>
            <w:left w:val="none" w:sz="0" w:space="0" w:color="auto"/>
            <w:bottom w:val="none" w:sz="0" w:space="0" w:color="auto"/>
            <w:right w:val="none" w:sz="0" w:space="0" w:color="auto"/>
          </w:divBdr>
        </w:div>
        <w:div w:id="402916416">
          <w:marLeft w:val="0"/>
          <w:marRight w:val="0"/>
          <w:marTop w:val="0"/>
          <w:marBottom w:val="0"/>
          <w:divBdr>
            <w:top w:val="none" w:sz="0" w:space="0" w:color="auto"/>
            <w:left w:val="none" w:sz="0" w:space="0" w:color="auto"/>
            <w:bottom w:val="none" w:sz="0" w:space="0" w:color="auto"/>
            <w:right w:val="none" w:sz="0" w:space="0" w:color="auto"/>
          </w:divBdr>
        </w:div>
      </w:divsChild>
    </w:div>
    <w:div w:id="681708440">
      <w:bodyDiv w:val="1"/>
      <w:marLeft w:val="0"/>
      <w:marRight w:val="0"/>
      <w:marTop w:val="0"/>
      <w:marBottom w:val="0"/>
      <w:divBdr>
        <w:top w:val="none" w:sz="0" w:space="0" w:color="auto"/>
        <w:left w:val="none" w:sz="0" w:space="0" w:color="auto"/>
        <w:bottom w:val="none" w:sz="0" w:space="0" w:color="auto"/>
        <w:right w:val="none" w:sz="0" w:space="0" w:color="auto"/>
      </w:divBdr>
      <w:divsChild>
        <w:div w:id="1347832278">
          <w:marLeft w:val="0"/>
          <w:marRight w:val="0"/>
          <w:marTop w:val="0"/>
          <w:marBottom w:val="0"/>
          <w:divBdr>
            <w:top w:val="none" w:sz="0" w:space="0" w:color="auto"/>
            <w:left w:val="none" w:sz="0" w:space="0" w:color="auto"/>
            <w:bottom w:val="none" w:sz="0" w:space="0" w:color="auto"/>
            <w:right w:val="none" w:sz="0" w:space="0" w:color="auto"/>
          </w:divBdr>
        </w:div>
        <w:div w:id="1031569172">
          <w:marLeft w:val="0"/>
          <w:marRight w:val="0"/>
          <w:marTop w:val="0"/>
          <w:marBottom w:val="0"/>
          <w:divBdr>
            <w:top w:val="none" w:sz="0" w:space="0" w:color="auto"/>
            <w:left w:val="none" w:sz="0" w:space="0" w:color="auto"/>
            <w:bottom w:val="none" w:sz="0" w:space="0" w:color="auto"/>
            <w:right w:val="none" w:sz="0" w:space="0" w:color="auto"/>
          </w:divBdr>
        </w:div>
        <w:div w:id="1591814337">
          <w:marLeft w:val="0"/>
          <w:marRight w:val="0"/>
          <w:marTop w:val="0"/>
          <w:marBottom w:val="0"/>
          <w:divBdr>
            <w:top w:val="none" w:sz="0" w:space="0" w:color="auto"/>
            <w:left w:val="none" w:sz="0" w:space="0" w:color="auto"/>
            <w:bottom w:val="none" w:sz="0" w:space="0" w:color="auto"/>
            <w:right w:val="none" w:sz="0" w:space="0" w:color="auto"/>
          </w:divBdr>
        </w:div>
        <w:div w:id="1969822792">
          <w:marLeft w:val="0"/>
          <w:marRight w:val="0"/>
          <w:marTop w:val="0"/>
          <w:marBottom w:val="0"/>
          <w:divBdr>
            <w:top w:val="none" w:sz="0" w:space="0" w:color="auto"/>
            <w:left w:val="none" w:sz="0" w:space="0" w:color="auto"/>
            <w:bottom w:val="none" w:sz="0" w:space="0" w:color="auto"/>
            <w:right w:val="none" w:sz="0" w:space="0" w:color="auto"/>
          </w:divBdr>
        </w:div>
        <w:div w:id="392774868">
          <w:marLeft w:val="0"/>
          <w:marRight w:val="0"/>
          <w:marTop w:val="0"/>
          <w:marBottom w:val="0"/>
          <w:divBdr>
            <w:top w:val="none" w:sz="0" w:space="0" w:color="auto"/>
            <w:left w:val="none" w:sz="0" w:space="0" w:color="auto"/>
            <w:bottom w:val="none" w:sz="0" w:space="0" w:color="auto"/>
            <w:right w:val="none" w:sz="0" w:space="0" w:color="auto"/>
          </w:divBdr>
        </w:div>
        <w:div w:id="107551843">
          <w:marLeft w:val="0"/>
          <w:marRight w:val="0"/>
          <w:marTop w:val="0"/>
          <w:marBottom w:val="0"/>
          <w:divBdr>
            <w:top w:val="none" w:sz="0" w:space="0" w:color="auto"/>
            <w:left w:val="none" w:sz="0" w:space="0" w:color="auto"/>
            <w:bottom w:val="none" w:sz="0" w:space="0" w:color="auto"/>
            <w:right w:val="none" w:sz="0" w:space="0" w:color="auto"/>
          </w:divBdr>
        </w:div>
        <w:div w:id="582691533">
          <w:marLeft w:val="0"/>
          <w:marRight w:val="0"/>
          <w:marTop w:val="0"/>
          <w:marBottom w:val="0"/>
          <w:divBdr>
            <w:top w:val="none" w:sz="0" w:space="0" w:color="auto"/>
            <w:left w:val="none" w:sz="0" w:space="0" w:color="auto"/>
            <w:bottom w:val="none" w:sz="0" w:space="0" w:color="auto"/>
            <w:right w:val="none" w:sz="0" w:space="0" w:color="auto"/>
          </w:divBdr>
        </w:div>
        <w:div w:id="91124645">
          <w:marLeft w:val="0"/>
          <w:marRight w:val="0"/>
          <w:marTop w:val="0"/>
          <w:marBottom w:val="0"/>
          <w:divBdr>
            <w:top w:val="none" w:sz="0" w:space="0" w:color="auto"/>
            <w:left w:val="none" w:sz="0" w:space="0" w:color="auto"/>
            <w:bottom w:val="none" w:sz="0" w:space="0" w:color="auto"/>
            <w:right w:val="none" w:sz="0" w:space="0" w:color="auto"/>
          </w:divBdr>
        </w:div>
        <w:div w:id="592012525">
          <w:marLeft w:val="0"/>
          <w:marRight w:val="0"/>
          <w:marTop w:val="0"/>
          <w:marBottom w:val="0"/>
          <w:divBdr>
            <w:top w:val="none" w:sz="0" w:space="0" w:color="auto"/>
            <w:left w:val="none" w:sz="0" w:space="0" w:color="auto"/>
            <w:bottom w:val="none" w:sz="0" w:space="0" w:color="auto"/>
            <w:right w:val="none" w:sz="0" w:space="0" w:color="auto"/>
          </w:divBdr>
        </w:div>
        <w:div w:id="31686461">
          <w:marLeft w:val="0"/>
          <w:marRight w:val="0"/>
          <w:marTop w:val="0"/>
          <w:marBottom w:val="0"/>
          <w:divBdr>
            <w:top w:val="none" w:sz="0" w:space="0" w:color="auto"/>
            <w:left w:val="none" w:sz="0" w:space="0" w:color="auto"/>
            <w:bottom w:val="none" w:sz="0" w:space="0" w:color="auto"/>
            <w:right w:val="none" w:sz="0" w:space="0" w:color="auto"/>
          </w:divBdr>
        </w:div>
        <w:div w:id="1766728011">
          <w:marLeft w:val="0"/>
          <w:marRight w:val="0"/>
          <w:marTop w:val="0"/>
          <w:marBottom w:val="0"/>
          <w:divBdr>
            <w:top w:val="none" w:sz="0" w:space="0" w:color="auto"/>
            <w:left w:val="none" w:sz="0" w:space="0" w:color="auto"/>
            <w:bottom w:val="none" w:sz="0" w:space="0" w:color="auto"/>
            <w:right w:val="none" w:sz="0" w:space="0" w:color="auto"/>
          </w:divBdr>
        </w:div>
        <w:div w:id="1250964298">
          <w:marLeft w:val="0"/>
          <w:marRight w:val="0"/>
          <w:marTop w:val="0"/>
          <w:marBottom w:val="0"/>
          <w:divBdr>
            <w:top w:val="none" w:sz="0" w:space="0" w:color="auto"/>
            <w:left w:val="none" w:sz="0" w:space="0" w:color="auto"/>
            <w:bottom w:val="none" w:sz="0" w:space="0" w:color="auto"/>
            <w:right w:val="none" w:sz="0" w:space="0" w:color="auto"/>
          </w:divBdr>
        </w:div>
        <w:div w:id="952983369">
          <w:marLeft w:val="0"/>
          <w:marRight w:val="0"/>
          <w:marTop w:val="0"/>
          <w:marBottom w:val="0"/>
          <w:divBdr>
            <w:top w:val="none" w:sz="0" w:space="0" w:color="auto"/>
            <w:left w:val="none" w:sz="0" w:space="0" w:color="auto"/>
            <w:bottom w:val="none" w:sz="0" w:space="0" w:color="auto"/>
            <w:right w:val="none" w:sz="0" w:space="0" w:color="auto"/>
          </w:divBdr>
        </w:div>
        <w:div w:id="625938395">
          <w:marLeft w:val="0"/>
          <w:marRight w:val="0"/>
          <w:marTop w:val="0"/>
          <w:marBottom w:val="0"/>
          <w:divBdr>
            <w:top w:val="none" w:sz="0" w:space="0" w:color="auto"/>
            <w:left w:val="none" w:sz="0" w:space="0" w:color="auto"/>
            <w:bottom w:val="none" w:sz="0" w:space="0" w:color="auto"/>
            <w:right w:val="none" w:sz="0" w:space="0" w:color="auto"/>
          </w:divBdr>
        </w:div>
        <w:div w:id="1565291451">
          <w:marLeft w:val="0"/>
          <w:marRight w:val="0"/>
          <w:marTop w:val="0"/>
          <w:marBottom w:val="0"/>
          <w:divBdr>
            <w:top w:val="none" w:sz="0" w:space="0" w:color="auto"/>
            <w:left w:val="none" w:sz="0" w:space="0" w:color="auto"/>
            <w:bottom w:val="none" w:sz="0" w:space="0" w:color="auto"/>
            <w:right w:val="none" w:sz="0" w:space="0" w:color="auto"/>
          </w:divBdr>
        </w:div>
        <w:div w:id="2094812854">
          <w:marLeft w:val="0"/>
          <w:marRight w:val="0"/>
          <w:marTop w:val="0"/>
          <w:marBottom w:val="0"/>
          <w:divBdr>
            <w:top w:val="none" w:sz="0" w:space="0" w:color="auto"/>
            <w:left w:val="none" w:sz="0" w:space="0" w:color="auto"/>
            <w:bottom w:val="none" w:sz="0" w:space="0" w:color="auto"/>
            <w:right w:val="none" w:sz="0" w:space="0" w:color="auto"/>
          </w:divBdr>
        </w:div>
      </w:divsChild>
    </w:div>
    <w:div w:id="693533393">
      <w:bodyDiv w:val="1"/>
      <w:marLeft w:val="0"/>
      <w:marRight w:val="0"/>
      <w:marTop w:val="0"/>
      <w:marBottom w:val="0"/>
      <w:divBdr>
        <w:top w:val="none" w:sz="0" w:space="0" w:color="auto"/>
        <w:left w:val="none" w:sz="0" w:space="0" w:color="auto"/>
        <w:bottom w:val="none" w:sz="0" w:space="0" w:color="auto"/>
        <w:right w:val="none" w:sz="0" w:space="0" w:color="auto"/>
      </w:divBdr>
    </w:div>
    <w:div w:id="712121982">
      <w:bodyDiv w:val="1"/>
      <w:marLeft w:val="0"/>
      <w:marRight w:val="0"/>
      <w:marTop w:val="0"/>
      <w:marBottom w:val="0"/>
      <w:divBdr>
        <w:top w:val="none" w:sz="0" w:space="0" w:color="auto"/>
        <w:left w:val="none" w:sz="0" w:space="0" w:color="auto"/>
        <w:bottom w:val="none" w:sz="0" w:space="0" w:color="auto"/>
        <w:right w:val="none" w:sz="0" w:space="0" w:color="auto"/>
      </w:divBdr>
      <w:divsChild>
        <w:div w:id="1830558271">
          <w:marLeft w:val="0"/>
          <w:marRight w:val="0"/>
          <w:marTop w:val="0"/>
          <w:marBottom w:val="0"/>
          <w:divBdr>
            <w:top w:val="none" w:sz="0" w:space="0" w:color="auto"/>
            <w:left w:val="none" w:sz="0" w:space="0" w:color="auto"/>
            <w:bottom w:val="none" w:sz="0" w:space="0" w:color="auto"/>
            <w:right w:val="none" w:sz="0" w:space="0" w:color="auto"/>
          </w:divBdr>
        </w:div>
        <w:div w:id="1844395896">
          <w:marLeft w:val="0"/>
          <w:marRight w:val="0"/>
          <w:marTop w:val="0"/>
          <w:marBottom w:val="0"/>
          <w:divBdr>
            <w:top w:val="none" w:sz="0" w:space="0" w:color="auto"/>
            <w:left w:val="none" w:sz="0" w:space="0" w:color="auto"/>
            <w:bottom w:val="none" w:sz="0" w:space="0" w:color="auto"/>
            <w:right w:val="none" w:sz="0" w:space="0" w:color="auto"/>
          </w:divBdr>
        </w:div>
        <w:div w:id="1963262687">
          <w:marLeft w:val="0"/>
          <w:marRight w:val="0"/>
          <w:marTop w:val="0"/>
          <w:marBottom w:val="0"/>
          <w:divBdr>
            <w:top w:val="none" w:sz="0" w:space="0" w:color="auto"/>
            <w:left w:val="none" w:sz="0" w:space="0" w:color="auto"/>
            <w:bottom w:val="none" w:sz="0" w:space="0" w:color="auto"/>
            <w:right w:val="none" w:sz="0" w:space="0" w:color="auto"/>
          </w:divBdr>
        </w:div>
      </w:divsChild>
    </w:div>
    <w:div w:id="720789930">
      <w:bodyDiv w:val="1"/>
      <w:marLeft w:val="0"/>
      <w:marRight w:val="0"/>
      <w:marTop w:val="0"/>
      <w:marBottom w:val="0"/>
      <w:divBdr>
        <w:top w:val="none" w:sz="0" w:space="0" w:color="auto"/>
        <w:left w:val="none" w:sz="0" w:space="0" w:color="auto"/>
        <w:bottom w:val="none" w:sz="0" w:space="0" w:color="auto"/>
        <w:right w:val="none" w:sz="0" w:space="0" w:color="auto"/>
      </w:divBdr>
    </w:div>
    <w:div w:id="735738328">
      <w:bodyDiv w:val="1"/>
      <w:marLeft w:val="0"/>
      <w:marRight w:val="0"/>
      <w:marTop w:val="0"/>
      <w:marBottom w:val="0"/>
      <w:divBdr>
        <w:top w:val="none" w:sz="0" w:space="0" w:color="auto"/>
        <w:left w:val="none" w:sz="0" w:space="0" w:color="auto"/>
        <w:bottom w:val="none" w:sz="0" w:space="0" w:color="auto"/>
        <w:right w:val="none" w:sz="0" w:space="0" w:color="auto"/>
      </w:divBdr>
      <w:divsChild>
        <w:div w:id="1554999214">
          <w:marLeft w:val="0"/>
          <w:marRight w:val="0"/>
          <w:marTop w:val="0"/>
          <w:marBottom w:val="0"/>
          <w:divBdr>
            <w:top w:val="none" w:sz="0" w:space="0" w:color="auto"/>
            <w:left w:val="none" w:sz="0" w:space="0" w:color="auto"/>
            <w:bottom w:val="none" w:sz="0" w:space="0" w:color="auto"/>
            <w:right w:val="none" w:sz="0" w:space="0" w:color="auto"/>
          </w:divBdr>
        </w:div>
        <w:div w:id="498816641">
          <w:marLeft w:val="0"/>
          <w:marRight w:val="0"/>
          <w:marTop w:val="0"/>
          <w:marBottom w:val="0"/>
          <w:divBdr>
            <w:top w:val="none" w:sz="0" w:space="0" w:color="auto"/>
            <w:left w:val="none" w:sz="0" w:space="0" w:color="auto"/>
            <w:bottom w:val="none" w:sz="0" w:space="0" w:color="auto"/>
            <w:right w:val="none" w:sz="0" w:space="0" w:color="auto"/>
          </w:divBdr>
        </w:div>
      </w:divsChild>
    </w:div>
    <w:div w:id="768083111">
      <w:bodyDiv w:val="1"/>
      <w:marLeft w:val="0"/>
      <w:marRight w:val="0"/>
      <w:marTop w:val="0"/>
      <w:marBottom w:val="0"/>
      <w:divBdr>
        <w:top w:val="none" w:sz="0" w:space="0" w:color="auto"/>
        <w:left w:val="none" w:sz="0" w:space="0" w:color="auto"/>
        <w:bottom w:val="none" w:sz="0" w:space="0" w:color="auto"/>
        <w:right w:val="none" w:sz="0" w:space="0" w:color="auto"/>
      </w:divBdr>
    </w:div>
    <w:div w:id="768161762">
      <w:bodyDiv w:val="1"/>
      <w:marLeft w:val="0"/>
      <w:marRight w:val="0"/>
      <w:marTop w:val="0"/>
      <w:marBottom w:val="0"/>
      <w:divBdr>
        <w:top w:val="none" w:sz="0" w:space="0" w:color="auto"/>
        <w:left w:val="none" w:sz="0" w:space="0" w:color="auto"/>
        <w:bottom w:val="none" w:sz="0" w:space="0" w:color="auto"/>
        <w:right w:val="none" w:sz="0" w:space="0" w:color="auto"/>
      </w:divBdr>
    </w:div>
    <w:div w:id="783963852">
      <w:bodyDiv w:val="1"/>
      <w:marLeft w:val="0"/>
      <w:marRight w:val="0"/>
      <w:marTop w:val="0"/>
      <w:marBottom w:val="0"/>
      <w:divBdr>
        <w:top w:val="none" w:sz="0" w:space="0" w:color="auto"/>
        <w:left w:val="none" w:sz="0" w:space="0" w:color="auto"/>
        <w:bottom w:val="none" w:sz="0" w:space="0" w:color="auto"/>
        <w:right w:val="none" w:sz="0" w:space="0" w:color="auto"/>
      </w:divBdr>
    </w:div>
    <w:div w:id="816461152">
      <w:bodyDiv w:val="1"/>
      <w:marLeft w:val="0"/>
      <w:marRight w:val="0"/>
      <w:marTop w:val="0"/>
      <w:marBottom w:val="0"/>
      <w:divBdr>
        <w:top w:val="none" w:sz="0" w:space="0" w:color="auto"/>
        <w:left w:val="none" w:sz="0" w:space="0" w:color="auto"/>
        <w:bottom w:val="none" w:sz="0" w:space="0" w:color="auto"/>
        <w:right w:val="none" w:sz="0" w:space="0" w:color="auto"/>
      </w:divBdr>
    </w:div>
    <w:div w:id="846166656">
      <w:bodyDiv w:val="1"/>
      <w:marLeft w:val="0"/>
      <w:marRight w:val="0"/>
      <w:marTop w:val="0"/>
      <w:marBottom w:val="0"/>
      <w:divBdr>
        <w:top w:val="none" w:sz="0" w:space="0" w:color="auto"/>
        <w:left w:val="none" w:sz="0" w:space="0" w:color="auto"/>
        <w:bottom w:val="none" w:sz="0" w:space="0" w:color="auto"/>
        <w:right w:val="none" w:sz="0" w:space="0" w:color="auto"/>
      </w:divBdr>
      <w:divsChild>
        <w:div w:id="1832132878">
          <w:marLeft w:val="0"/>
          <w:marRight w:val="0"/>
          <w:marTop w:val="0"/>
          <w:marBottom w:val="0"/>
          <w:divBdr>
            <w:top w:val="none" w:sz="0" w:space="0" w:color="auto"/>
            <w:left w:val="none" w:sz="0" w:space="0" w:color="auto"/>
            <w:bottom w:val="none" w:sz="0" w:space="0" w:color="auto"/>
            <w:right w:val="none" w:sz="0" w:space="0" w:color="auto"/>
          </w:divBdr>
        </w:div>
        <w:div w:id="492985755">
          <w:marLeft w:val="0"/>
          <w:marRight w:val="0"/>
          <w:marTop w:val="0"/>
          <w:marBottom w:val="0"/>
          <w:divBdr>
            <w:top w:val="none" w:sz="0" w:space="0" w:color="auto"/>
            <w:left w:val="none" w:sz="0" w:space="0" w:color="auto"/>
            <w:bottom w:val="none" w:sz="0" w:space="0" w:color="auto"/>
            <w:right w:val="none" w:sz="0" w:space="0" w:color="auto"/>
          </w:divBdr>
        </w:div>
      </w:divsChild>
    </w:div>
    <w:div w:id="876043515">
      <w:bodyDiv w:val="1"/>
      <w:marLeft w:val="0"/>
      <w:marRight w:val="0"/>
      <w:marTop w:val="0"/>
      <w:marBottom w:val="0"/>
      <w:divBdr>
        <w:top w:val="none" w:sz="0" w:space="0" w:color="auto"/>
        <w:left w:val="none" w:sz="0" w:space="0" w:color="auto"/>
        <w:bottom w:val="none" w:sz="0" w:space="0" w:color="auto"/>
        <w:right w:val="none" w:sz="0" w:space="0" w:color="auto"/>
      </w:divBdr>
    </w:div>
    <w:div w:id="989746148">
      <w:bodyDiv w:val="1"/>
      <w:marLeft w:val="0"/>
      <w:marRight w:val="0"/>
      <w:marTop w:val="0"/>
      <w:marBottom w:val="0"/>
      <w:divBdr>
        <w:top w:val="none" w:sz="0" w:space="0" w:color="auto"/>
        <w:left w:val="none" w:sz="0" w:space="0" w:color="auto"/>
        <w:bottom w:val="none" w:sz="0" w:space="0" w:color="auto"/>
        <w:right w:val="none" w:sz="0" w:space="0" w:color="auto"/>
      </w:divBdr>
    </w:div>
    <w:div w:id="1091005873">
      <w:bodyDiv w:val="1"/>
      <w:marLeft w:val="0"/>
      <w:marRight w:val="0"/>
      <w:marTop w:val="0"/>
      <w:marBottom w:val="0"/>
      <w:divBdr>
        <w:top w:val="none" w:sz="0" w:space="0" w:color="auto"/>
        <w:left w:val="none" w:sz="0" w:space="0" w:color="auto"/>
        <w:bottom w:val="none" w:sz="0" w:space="0" w:color="auto"/>
        <w:right w:val="none" w:sz="0" w:space="0" w:color="auto"/>
      </w:divBdr>
      <w:divsChild>
        <w:div w:id="2005668984">
          <w:marLeft w:val="0"/>
          <w:marRight w:val="0"/>
          <w:marTop w:val="0"/>
          <w:marBottom w:val="0"/>
          <w:divBdr>
            <w:top w:val="none" w:sz="0" w:space="0" w:color="auto"/>
            <w:left w:val="none" w:sz="0" w:space="0" w:color="auto"/>
            <w:bottom w:val="none" w:sz="0" w:space="0" w:color="auto"/>
            <w:right w:val="none" w:sz="0" w:space="0" w:color="auto"/>
          </w:divBdr>
        </w:div>
        <w:div w:id="1083990013">
          <w:marLeft w:val="0"/>
          <w:marRight w:val="0"/>
          <w:marTop w:val="0"/>
          <w:marBottom w:val="0"/>
          <w:divBdr>
            <w:top w:val="none" w:sz="0" w:space="0" w:color="auto"/>
            <w:left w:val="none" w:sz="0" w:space="0" w:color="auto"/>
            <w:bottom w:val="none" w:sz="0" w:space="0" w:color="auto"/>
            <w:right w:val="none" w:sz="0" w:space="0" w:color="auto"/>
          </w:divBdr>
        </w:div>
        <w:div w:id="448864152">
          <w:marLeft w:val="0"/>
          <w:marRight w:val="0"/>
          <w:marTop w:val="0"/>
          <w:marBottom w:val="0"/>
          <w:divBdr>
            <w:top w:val="none" w:sz="0" w:space="0" w:color="auto"/>
            <w:left w:val="none" w:sz="0" w:space="0" w:color="auto"/>
            <w:bottom w:val="none" w:sz="0" w:space="0" w:color="auto"/>
            <w:right w:val="none" w:sz="0" w:space="0" w:color="auto"/>
          </w:divBdr>
        </w:div>
        <w:div w:id="380985631">
          <w:marLeft w:val="0"/>
          <w:marRight w:val="0"/>
          <w:marTop w:val="0"/>
          <w:marBottom w:val="0"/>
          <w:divBdr>
            <w:top w:val="none" w:sz="0" w:space="0" w:color="auto"/>
            <w:left w:val="none" w:sz="0" w:space="0" w:color="auto"/>
            <w:bottom w:val="none" w:sz="0" w:space="0" w:color="auto"/>
            <w:right w:val="none" w:sz="0" w:space="0" w:color="auto"/>
          </w:divBdr>
        </w:div>
        <w:div w:id="314991899">
          <w:marLeft w:val="0"/>
          <w:marRight w:val="0"/>
          <w:marTop w:val="0"/>
          <w:marBottom w:val="0"/>
          <w:divBdr>
            <w:top w:val="none" w:sz="0" w:space="0" w:color="auto"/>
            <w:left w:val="none" w:sz="0" w:space="0" w:color="auto"/>
            <w:bottom w:val="none" w:sz="0" w:space="0" w:color="auto"/>
            <w:right w:val="none" w:sz="0" w:space="0" w:color="auto"/>
          </w:divBdr>
        </w:div>
        <w:div w:id="1531407065">
          <w:marLeft w:val="0"/>
          <w:marRight w:val="0"/>
          <w:marTop w:val="0"/>
          <w:marBottom w:val="0"/>
          <w:divBdr>
            <w:top w:val="none" w:sz="0" w:space="0" w:color="auto"/>
            <w:left w:val="none" w:sz="0" w:space="0" w:color="auto"/>
            <w:bottom w:val="none" w:sz="0" w:space="0" w:color="auto"/>
            <w:right w:val="none" w:sz="0" w:space="0" w:color="auto"/>
          </w:divBdr>
        </w:div>
      </w:divsChild>
    </w:div>
    <w:div w:id="1091968050">
      <w:bodyDiv w:val="1"/>
      <w:marLeft w:val="0"/>
      <w:marRight w:val="0"/>
      <w:marTop w:val="0"/>
      <w:marBottom w:val="0"/>
      <w:divBdr>
        <w:top w:val="none" w:sz="0" w:space="0" w:color="auto"/>
        <w:left w:val="none" w:sz="0" w:space="0" w:color="auto"/>
        <w:bottom w:val="none" w:sz="0" w:space="0" w:color="auto"/>
        <w:right w:val="none" w:sz="0" w:space="0" w:color="auto"/>
      </w:divBdr>
    </w:div>
    <w:div w:id="1109469240">
      <w:bodyDiv w:val="1"/>
      <w:marLeft w:val="0"/>
      <w:marRight w:val="0"/>
      <w:marTop w:val="0"/>
      <w:marBottom w:val="0"/>
      <w:divBdr>
        <w:top w:val="none" w:sz="0" w:space="0" w:color="auto"/>
        <w:left w:val="none" w:sz="0" w:space="0" w:color="auto"/>
        <w:bottom w:val="none" w:sz="0" w:space="0" w:color="auto"/>
        <w:right w:val="none" w:sz="0" w:space="0" w:color="auto"/>
      </w:divBdr>
    </w:div>
    <w:div w:id="1194461932">
      <w:bodyDiv w:val="1"/>
      <w:marLeft w:val="0"/>
      <w:marRight w:val="0"/>
      <w:marTop w:val="0"/>
      <w:marBottom w:val="0"/>
      <w:divBdr>
        <w:top w:val="none" w:sz="0" w:space="0" w:color="auto"/>
        <w:left w:val="none" w:sz="0" w:space="0" w:color="auto"/>
        <w:bottom w:val="none" w:sz="0" w:space="0" w:color="auto"/>
        <w:right w:val="none" w:sz="0" w:space="0" w:color="auto"/>
      </w:divBdr>
      <w:divsChild>
        <w:div w:id="1008827508">
          <w:marLeft w:val="0"/>
          <w:marRight w:val="0"/>
          <w:marTop w:val="0"/>
          <w:marBottom w:val="0"/>
          <w:divBdr>
            <w:top w:val="none" w:sz="0" w:space="0" w:color="auto"/>
            <w:left w:val="none" w:sz="0" w:space="0" w:color="auto"/>
            <w:bottom w:val="none" w:sz="0" w:space="0" w:color="auto"/>
            <w:right w:val="none" w:sz="0" w:space="0" w:color="auto"/>
          </w:divBdr>
        </w:div>
        <w:div w:id="243489851">
          <w:marLeft w:val="0"/>
          <w:marRight w:val="0"/>
          <w:marTop w:val="0"/>
          <w:marBottom w:val="0"/>
          <w:divBdr>
            <w:top w:val="none" w:sz="0" w:space="0" w:color="auto"/>
            <w:left w:val="none" w:sz="0" w:space="0" w:color="auto"/>
            <w:bottom w:val="none" w:sz="0" w:space="0" w:color="auto"/>
            <w:right w:val="none" w:sz="0" w:space="0" w:color="auto"/>
          </w:divBdr>
        </w:div>
        <w:div w:id="1424763842">
          <w:marLeft w:val="0"/>
          <w:marRight w:val="0"/>
          <w:marTop w:val="0"/>
          <w:marBottom w:val="0"/>
          <w:divBdr>
            <w:top w:val="none" w:sz="0" w:space="0" w:color="auto"/>
            <w:left w:val="none" w:sz="0" w:space="0" w:color="auto"/>
            <w:bottom w:val="none" w:sz="0" w:space="0" w:color="auto"/>
            <w:right w:val="none" w:sz="0" w:space="0" w:color="auto"/>
          </w:divBdr>
        </w:div>
      </w:divsChild>
    </w:div>
    <w:div w:id="1240212774">
      <w:bodyDiv w:val="1"/>
      <w:marLeft w:val="0"/>
      <w:marRight w:val="0"/>
      <w:marTop w:val="0"/>
      <w:marBottom w:val="0"/>
      <w:divBdr>
        <w:top w:val="none" w:sz="0" w:space="0" w:color="auto"/>
        <w:left w:val="none" w:sz="0" w:space="0" w:color="auto"/>
        <w:bottom w:val="none" w:sz="0" w:space="0" w:color="auto"/>
        <w:right w:val="none" w:sz="0" w:space="0" w:color="auto"/>
      </w:divBdr>
    </w:div>
    <w:div w:id="1242713137">
      <w:bodyDiv w:val="1"/>
      <w:marLeft w:val="0"/>
      <w:marRight w:val="0"/>
      <w:marTop w:val="0"/>
      <w:marBottom w:val="0"/>
      <w:divBdr>
        <w:top w:val="none" w:sz="0" w:space="0" w:color="auto"/>
        <w:left w:val="none" w:sz="0" w:space="0" w:color="auto"/>
        <w:bottom w:val="none" w:sz="0" w:space="0" w:color="auto"/>
        <w:right w:val="none" w:sz="0" w:space="0" w:color="auto"/>
      </w:divBdr>
      <w:divsChild>
        <w:div w:id="1970625698">
          <w:marLeft w:val="0"/>
          <w:marRight w:val="0"/>
          <w:marTop w:val="0"/>
          <w:marBottom w:val="0"/>
          <w:divBdr>
            <w:top w:val="none" w:sz="0" w:space="0" w:color="auto"/>
            <w:left w:val="none" w:sz="0" w:space="0" w:color="auto"/>
            <w:bottom w:val="none" w:sz="0" w:space="0" w:color="auto"/>
            <w:right w:val="none" w:sz="0" w:space="0" w:color="auto"/>
          </w:divBdr>
        </w:div>
        <w:div w:id="1723793731">
          <w:marLeft w:val="0"/>
          <w:marRight w:val="0"/>
          <w:marTop w:val="0"/>
          <w:marBottom w:val="0"/>
          <w:divBdr>
            <w:top w:val="none" w:sz="0" w:space="0" w:color="auto"/>
            <w:left w:val="none" w:sz="0" w:space="0" w:color="auto"/>
            <w:bottom w:val="none" w:sz="0" w:space="0" w:color="auto"/>
            <w:right w:val="none" w:sz="0" w:space="0" w:color="auto"/>
          </w:divBdr>
        </w:div>
        <w:div w:id="1689522062">
          <w:marLeft w:val="0"/>
          <w:marRight w:val="0"/>
          <w:marTop w:val="0"/>
          <w:marBottom w:val="0"/>
          <w:divBdr>
            <w:top w:val="none" w:sz="0" w:space="0" w:color="auto"/>
            <w:left w:val="none" w:sz="0" w:space="0" w:color="auto"/>
            <w:bottom w:val="none" w:sz="0" w:space="0" w:color="auto"/>
            <w:right w:val="none" w:sz="0" w:space="0" w:color="auto"/>
          </w:divBdr>
        </w:div>
        <w:div w:id="1222786200">
          <w:marLeft w:val="0"/>
          <w:marRight w:val="0"/>
          <w:marTop w:val="0"/>
          <w:marBottom w:val="0"/>
          <w:divBdr>
            <w:top w:val="none" w:sz="0" w:space="0" w:color="auto"/>
            <w:left w:val="none" w:sz="0" w:space="0" w:color="auto"/>
            <w:bottom w:val="none" w:sz="0" w:space="0" w:color="auto"/>
            <w:right w:val="none" w:sz="0" w:space="0" w:color="auto"/>
          </w:divBdr>
        </w:div>
        <w:div w:id="536821846">
          <w:marLeft w:val="0"/>
          <w:marRight w:val="0"/>
          <w:marTop w:val="0"/>
          <w:marBottom w:val="0"/>
          <w:divBdr>
            <w:top w:val="none" w:sz="0" w:space="0" w:color="auto"/>
            <w:left w:val="none" w:sz="0" w:space="0" w:color="auto"/>
            <w:bottom w:val="none" w:sz="0" w:space="0" w:color="auto"/>
            <w:right w:val="none" w:sz="0" w:space="0" w:color="auto"/>
          </w:divBdr>
        </w:div>
        <w:div w:id="1084301661">
          <w:marLeft w:val="0"/>
          <w:marRight w:val="0"/>
          <w:marTop w:val="0"/>
          <w:marBottom w:val="0"/>
          <w:divBdr>
            <w:top w:val="none" w:sz="0" w:space="0" w:color="auto"/>
            <w:left w:val="none" w:sz="0" w:space="0" w:color="auto"/>
            <w:bottom w:val="none" w:sz="0" w:space="0" w:color="auto"/>
            <w:right w:val="none" w:sz="0" w:space="0" w:color="auto"/>
          </w:divBdr>
        </w:div>
        <w:div w:id="222109891">
          <w:marLeft w:val="0"/>
          <w:marRight w:val="0"/>
          <w:marTop w:val="0"/>
          <w:marBottom w:val="0"/>
          <w:divBdr>
            <w:top w:val="none" w:sz="0" w:space="0" w:color="auto"/>
            <w:left w:val="none" w:sz="0" w:space="0" w:color="auto"/>
            <w:bottom w:val="none" w:sz="0" w:space="0" w:color="auto"/>
            <w:right w:val="none" w:sz="0" w:space="0" w:color="auto"/>
          </w:divBdr>
        </w:div>
        <w:div w:id="1855417633">
          <w:marLeft w:val="0"/>
          <w:marRight w:val="0"/>
          <w:marTop w:val="0"/>
          <w:marBottom w:val="0"/>
          <w:divBdr>
            <w:top w:val="none" w:sz="0" w:space="0" w:color="auto"/>
            <w:left w:val="none" w:sz="0" w:space="0" w:color="auto"/>
            <w:bottom w:val="none" w:sz="0" w:space="0" w:color="auto"/>
            <w:right w:val="none" w:sz="0" w:space="0" w:color="auto"/>
          </w:divBdr>
        </w:div>
        <w:div w:id="637536188">
          <w:marLeft w:val="0"/>
          <w:marRight w:val="0"/>
          <w:marTop w:val="0"/>
          <w:marBottom w:val="0"/>
          <w:divBdr>
            <w:top w:val="none" w:sz="0" w:space="0" w:color="auto"/>
            <w:left w:val="none" w:sz="0" w:space="0" w:color="auto"/>
            <w:bottom w:val="none" w:sz="0" w:space="0" w:color="auto"/>
            <w:right w:val="none" w:sz="0" w:space="0" w:color="auto"/>
          </w:divBdr>
        </w:div>
        <w:div w:id="1376808609">
          <w:marLeft w:val="0"/>
          <w:marRight w:val="0"/>
          <w:marTop w:val="0"/>
          <w:marBottom w:val="0"/>
          <w:divBdr>
            <w:top w:val="none" w:sz="0" w:space="0" w:color="auto"/>
            <w:left w:val="none" w:sz="0" w:space="0" w:color="auto"/>
            <w:bottom w:val="none" w:sz="0" w:space="0" w:color="auto"/>
            <w:right w:val="none" w:sz="0" w:space="0" w:color="auto"/>
          </w:divBdr>
        </w:div>
        <w:div w:id="1234197853">
          <w:marLeft w:val="0"/>
          <w:marRight w:val="0"/>
          <w:marTop w:val="0"/>
          <w:marBottom w:val="0"/>
          <w:divBdr>
            <w:top w:val="none" w:sz="0" w:space="0" w:color="auto"/>
            <w:left w:val="none" w:sz="0" w:space="0" w:color="auto"/>
            <w:bottom w:val="none" w:sz="0" w:space="0" w:color="auto"/>
            <w:right w:val="none" w:sz="0" w:space="0" w:color="auto"/>
          </w:divBdr>
        </w:div>
        <w:div w:id="1581526785">
          <w:marLeft w:val="0"/>
          <w:marRight w:val="0"/>
          <w:marTop w:val="0"/>
          <w:marBottom w:val="0"/>
          <w:divBdr>
            <w:top w:val="none" w:sz="0" w:space="0" w:color="auto"/>
            <w:left w:val="none" w:sz="0" w:space="0" w:color="auto"/>
            <w:bottom w:val="none" w:sz="0" w:space="0" w:color="auto"/>
            <w:right w:val="none" w:sz="0" w:space="0" w:color="auto"/>
          </w:divBdr>
        </w:div>
        <w:div w:id="1142502431">
          <w:marLeft w:val="0"/>
          <w:marRight w:val="0"/>
          <w:marTop w:val="0"/>
          <w:marBottom w:val="0"/>
          <w:divBdr>
            <w:top w:val="none" w:sz="0" w:space="0" w:color="auto"/>
            <w:left w:val="none" w:sz="0" w:space="0" w:color="auto"/>
            <w:bottom w:val="none" w:sz="0" w:space="0" w:color="auto"/>
            <w:right w:val="none" w:sz="0" w:space="0" w:color="auto"/>
          </w:divBdr>
        </w:div>
        <w:div w:id="777259129">
          <w:marLeft w:val="0"/>
          <w:marRight w:val="0"/>
          <w:marTop w:val="0"/>
          <w:marBottom w:val="0"/>
          <w:divBdr>
            <w:top w:val="none" w:sz="0" w:space="0" w:color="auto"/>
            <w:left w:val="none" w:sz="0" w:space="0" w:color="auto"/>
            <w:bottom w:val="none" w:sz="0" w:space="0" w:color="auto"/>
            <w:right w:val="none" w:sz="0" w:space="0" w:color="auto"/>
          </w:divBdr>
        </w:div>
        <w:div w:id="173886117">
          <w:marLeft w:val="0"/>
          <w:marRight w:val="0"/>
          <w:marTop w:val="0"/>
          <w:marBottom w:val="0"/>
          <w:divBdr>
            <w:top w:val="none" w:sz="0" w:space="0" w:color="auto"/>
            <w:left w:val="none" w:sz="0" w:space="0" w:color="auto"/>
            <w:bottom w:val="none" w:sz="0" w:space="0" w:color="auto"/>
            <w:right w:val="none" w:sz="0" w:space="0" w:color="auto"/>
          </w:divBdr>
        </w:div>
        <w:div w:id="704329043">
          <w:marLeft w:val="0"/>
          <w:marRight w:val="0"/>
          <w:marTop w:val="0"/>
          <w:marBottom w:val="0"/>
          <w:divBdr>
            <w:top w:val="none" w:sz="0" w:space="0" w:color="auto"/>
            <w:left w:val="none" w:sz="0" w:space="0" w:color="auto"/>
            <w:bottom w:val="none" w:sz="0" w:space="0" w:color="auto"/>
            <w:right w:val="none" w:sz="0" w:space="0" w:color="auto"/>
          </w:divBdr>
        </w:div>
      </w:divsChild>
    </w:div>
    <w:div w:id="1258169626">
      <w:bodyDiv w:val="1"/>
      <w:marLeft w:val="0"/>
      <w:marRight w:val="0"/>
      <w:marTop w:val="0"/>
      <w:marBottom w:val="0"/>
      <w:divBdr>
        <w:top w:val="none" w:sz="0" w:space="0" w:color="auto"/>
        <w:left w:val="none" w:sz="0" w:space="0" w:color="auto"/>
        <w:bottom w:val="none" w:sz="0" w:space="0" w:color="auto"/>
        <w:right w:val="none" w:sz="0" w:space="0" w:color="auto"/>
      </w:divBdr>
    </w:div>
    <w:div w:id="1338117034">
      <w:bodyDiv w:val="1"/>
      <w:marLeft w:val="0"/>
      <w:marRight w:val="0"/>
      <w:marTop w:val="0"/>
      <w:marBottom w:val="0"/>
      <w:divBdr>
        <w:top w:val="none" w:sz="0" w:space="0" w:color="auto"/>
        <w:left w:val="none" w:sz="0" w:space="0" w:color="auto"/>
        <w:bottom w:val="none" w:sz="0" w:space="0" w:color="auto"/>
        <w:right w:val="none" w:sz="0" w:space="0" w:color="auto"/>
      </w:divBdr>
      <w:divsChild>
        <w:div w:id="1273443145">
          <w:marLeft w:val="0"/>
          <w:marRight w:val="0"/>
          <w:marTop w:val="0"/>
          <w:marBottom w:val="0"/>
          <w:divBdr>
            <w:top w:val="none" w:sz="0" w:space="0" w:color="auto"/>
            <w:left w:val="none" w:sz="0" w:space="0" w:color="auto"/>
            <w:bottom w:val="none" w:sz="0" w:space="0" w:color="auto"/>
            <w:right w:val="none" w:sz="0" w:space="0" w:color="auto"/>
          </w:divBdr>
        </w:div>
        <w:div w:id="269558238">
          <w:marLeft w:val="0"/>
          <w:marRight w:val="0"/>
          <w:marTop w:val="0"/>
          <w:marBottom w:val="0"/>
          <w:divBdr>
            <w:top w:val="none" w:sz="0" w:space="0" w:color="auto"/>
            <w:left w:val="none" w:sz="0" w:space="0" w:color="auto"/>
            <w:bottom w:val="none" w:sz="0" w:space="0" w:color="auto"/>
            <w:right w:val="none" w:sz="0" w:space="0" w:color="auto"/>
          </w:divBdr>
        </w:div>
        <w:div w:id="1431242431">
          <w:marLeft w:val="0"/>
          <w:marRight w:val="0"/>
          <w:marTop w:val="0"/>
          <w:marBottom w:val="0"/>
          <w:divBdr>
            <w:top w:val="none" w:sz="0" w:space="0" w:color="auto"/>
            <w:left w:val="none" w:sz="0" w:space="0" w:color="auto"/>
            <w:bottom w:val="none" w:sz="0" w:space="0" w:color="auto"/>
            <w:right w:val="none" w:sz="0" w:space="0" w:color="auto"/>
          </w:divBdr>
        </w:div>
      </w:divsChild>
    </w:div>
    <w:div w:id="1344623101">
      <w:bodyDiv w:val="1"/>
      <w:marLeft w:val="0"/>
      <w:marRight w:val="0"/>
      <w:marTop w:val="0"/>
      <w:marBottom w:val="0"/>
      <w:divBdr>
        <w:top w:val="none" w:sz="0" w:space="0" w:color="auto"/>
        <w:left w:val="none" w:sz="0" w:space="0" w:color="auto"/>
        <w:bottom w:val="none" w:sz="0" w:space="0" w:color="auto"/>
        <w:right w:val="none" w:sz="0" w:space="0" w:color="auto"/>
      </w:divBdr>
      <w:divsChild>
        <w:div w:id="130636988">
          <w:marLeft w:val="0"/>
          <w:marRight w:val="0"/>
          <w:marTop w:val="0"/>
          <w:marBottom w:val="0"/>
          <w:divBdr>
            <w:top w:val="none" w:sz="0" w:space="0" w:color="auto"/>
            <w:left w:val="none" w:sz="0" w:space="0" w:color="auto"/>
            <w:bottom w:val="none" w:sz="0" w:space="0" w:color="auto"/>
            <w:right w:val="none" w:sz="0" w:space="0" w:color="auto"/>
          </w:divBdr>
        </w:div>
        <w:div w:id="1297294686">
          <w:marLeft w:val="0"/>
          <w:marRight w:val="0"/>
          <w:marTop w:val="0"/>
          <w:marBottom w:val="0"/>
          <w:divBdr>
            <w:top w:val="none" w:sz="0" w:space="0" w:color="auto"/>
            <w:left w:val="none" w:sz="0" w:space="0" w:color="auto"/>
            <w:bottom w:val="none" w:sz="0" w:space="0" w:color="auto"/>
            <w:right w:val="none" w:sz="0" w:space="0" w:color="auto"/>
          </w:divBdr>
        </w:div>
      </w:divsChild>
    </w:div>
    <w:div w:id="1452045277">
      <w:bodyDiv w:val="1"/>
      <w:marLeft w:val="0"/>
      <w:marRight w:val="0"/>
      <w:marTop w:val="0"/>
      <w:marBottom w:val="0"/>
      <w:divBdr>
        <w:top w:val="none" w:sz="0" w:space="0" w:color="auto"/>
        <w:left w:val="none" w:sz="0" w:space="0" w:color="auto"/>
        <w:bottom w:val="none" w:sz="0" w:space="0" w:color="auto"/>
        <w:right w:val="none" w:sz="0" w:space="0" w:color="auto"/>
      </w:divBdr>
      <w:divsChild>
        <w:div w:id="1431461900">
          <w:marLeft w:val="0"/>
          <w:marRight w:val="0"/>
          <w:marTop w:val="0"/>
          <w:marBottom w:val="0"/>
          <w:divBdr>
            <w:top w:val="none" w:sz="0" w:space="0" w:color="auto"/>
            <w:left w:val="none" w:sz="0" w:space="0" w:color="auto"/>
            <w:bottom w:val="none" w:sz="0" w:space="0" w:color="auto"/>
            <w:right w:val="none" w:sz="0" w:space="0" w:color="auto"/>
          </w:divBdr>
        </w:div>
        <w:div w:id="1220819262">
          <w:marLeft w:val="0"/>
          <w:marRight w:val="0"/>
          <w:marTop w:val="0"/>
          <w:marBottom w:val="0"/>
          <w:divBdr>
            <w:top w:val="none" w:sz="0" w:space="0" w:color="auto"/>
            <w:left w:val="none" w:sz="0" w:space="0" w:color="auto"/>
            <w:bottom w:val="none" w:sz="0" w:space="0" w:color="auto"/>
            <w:right w:val="none" w:sz="0" w:space="0" w:color="auto"/>
          </w:divBdr>
        </w:div>
        <w:div w:id="467207391">
          <w:marLeft w:val="0"/>
          <w:marRight w:val="0"/>
          <w:marTop w:val="0"/>
          <w:marBottom w:val="0"/>
          <w:divBdr>
            <w:top w:val="none" w:sz="0" w:space="0" w:color="auto"/>
            <w:left w:val="none" w:sz="0" w:space="0" w:color="auto"/>
            <w:bottom w:val="none" w:sz="0" w:space="0" w:color="auto"/>
            <w:right w:val="none" w:sz="0" w:space="0" w:color="auto"/>
          </w:divBdr>
        </w:div>
      </w:divsChild>
    </w:div>
    <w:div w:id="1474374272">
      <w:bodyDiv w:val="1"/>
      <w:marLeft w:val="0"/>
      <w:marRight w:val="0"/>
      <w:marTop w:val="0"/>
      <w:marBottom w:val="0"/>
      <w:divBdr>
        <w:top w:val="none" w:sz="0" w:space="0" w:color="auto"/>
        <w:left w:val="none" w:sz="0" w:space="0" w:color="auto"/>
        <w:bottom w:val="none" w:sz="0" w:space="0" w:color="auto"/>
        <w:right w:val="none" w:sz="0" w:space="0" w:color="auto"/>
      </w:divBdr>
      <w:divsChild>
        <w:div w:id="1812479125">
          <w:marLeft w:val="0"/>
          <w:marRight w:val="0"/>
          <w:marTop w:val="0"/>
          <w:marBottom w:val="0"/>
          <w:divBdr>
            <w:top w:val="none" w:sz="0" w:space="0" w:color="auto"/>
            <w:left w:val="none" w:sz="0" w:space="0" w:color="auto"/>
            <w:bottom w:val="none" w:sz="0" w:space="0" w:color="auto"/>
            <w:right w:val="none" w:sz="0" w:space="0" w:color="auto"/>
          </w:divBdr>
        </w:div>
        <w:div w:id="750010368">
          <w:marLeft w:val="0"/>
          <w:marRight w:val="0"/>
          <w:marTop w:val="0"/>
          <w:marBottom w:val="0"/>
          <w:divBdr>
            <w:top w:val="none" w:sz="0" w:space="0" w:color="auto"/>
            <w:left w:val="none" w:sz="0" w:space="0" w:color="auto"/>
            <w:bottom w:val="none" w:sz="0" w:space="0" w:color="auto"/>
            <w:right w:val="none" w:sz="0" w:space="0" w:color="auto"/>
          </w:divBdr>
        </w:div>
        <w:div w:id="1535117191">
          <w:marLeft w:val="0"/>
          <w:marRight w:val="0"/>
          <w:marTop w:val="0"/>
          <w:marBottom w:val="0"/>
          <w:divBdr>
            <w:top w:val="none" w:sz="0" w:space="0" w:color="auto"/>
            <w:left w:val="none" w:sz="0" w:space="0" w:color="auto"/>
            <w:bottom w:val="none" w:sz="0" w:space="0" w:color="auto"/>
            <w:right w:val="none" w:sz="0" w:space="0" w:color="auto"/>
          </w:divBdr>
        </w:div>
      </w:divsChild>
    </w:div>
    <w:div w:id="1556504361">
      <w:bodyDiv w:val="1"/>
      <w:marLeft w:val="0"/>
      <w:marRight w:val="0"/>
      <w:marTop w:val="0"/>
      <w:marBottom w:val="0"/>
      <w:divBdr>
        <w:top w:val="none" w:sz="0" w:space="0" w:color="auto"/>
        <w:left w:val="none" w:sz="0" w:space="0" w:color="auto"/>
        <w:bottom w:val="none" w:sz="0" w:space="0" w:color="auto"/>
        <w:right w:val="none" w:sz="0" w:space="0" w:color="auto"/>
      </w:divBdr>
    </w:div>
    <w:div w:id="1627391550">
      <w:bodyDiv w:val="1"/>
      <w:marLeft w:val="0"/>
      <w:marRight w:val="0"/>
      <w:marTop w:val="0"/>
      <w:marBottom w:val="0"/>
      <w:divBdr>
        <w:top w:val="none" w:sz="0" w:space="0" w:color="auto"/>
        <w:left w:val="none" w:sz="0" w:space="0" w:color="auto"/>
        <w:bottom w:val="none" w:sz="0" w:space="0" w:color="auto"/>
        <w:right w:val="none" w:sz="0" w:space="0" w:color="auto"/>
      </w:divBdr>
      <w:divsChild>
        <w:div w:id="27683574">
          <w:marLeft w:val="0"/>
          <w:marRight w:val="0"/>
          <w:marTop w:val="0"/>
          <w:marBottom w:val="0"/>
          <w:divBdr>
            <w:top w:val="none" w:sz="0" w:space="0" w:color="auto"/>
            <w:left w:val="none" w:sz="0" w:space="0" w:color="auto"/>
            <w:bottom w:val="none" w:sz="0" w:space="0" w:color="auto"/>
            <w:right w:val="none" w:sz="0" w:space="0" w:color="auto"/>
          </w:divBdr>
        </w:div>
        <w:div w:id="231283798">
          <w:marLeft w:val="0"/>
          <w:marRight w:val="0"/>
          <w:marTop w:val="0"/>
          <w:marBottom w:val="0"/>
          <w:divBdr>
            <w:top w:val="none" w:sz="0" w:space="0" w:color="auto"/>
            <w:left w:val="none" w:sz="0" w:space="0" w:color="auto"/>
            <w:bottom w:val="none" w:sz="0" w:space="0" w:color="auto"/>
            <w:right w:val="none" w:sz="0" w:space="0" w:color="auto"/>
          </w:divBdr>
        </w:div>
        <w:div w:id="832836436">
          <w:marLeft w:val="0"/>
          <w:marRight w:val="0"/>
          <w:marTop w:val="0"/>
          <w:marBottom w:val="0"/>
          <w:divBdr>
            <w:top w:val="none" w:sz="0" w:space="0" w:color="auto"/>
            <w:left w:val="none" w:sz="0" w:space="0" w:color="auto"/>
            <w:bottom w:val="none" w:sz="0" w:space="0" w:color="auto"/>
            <w:right w:val="none" w:sz="0" w:space="0" w:color="auto"/>
          </w:divBdr>
        </w:div>
        <w:div w:id="2124808508">
          <w:marLeft w:val="0"/>
          <w:marRight w:val="0"/>
          <w:marTop w:val="0"/>
          <w:marBottom w:val="0"/>
          <w:divBdr>
            <w:top w:val="none" w:sz="0" w:space="0" w:color="auto"/>
            <w:left w:val="none" w:sz="0" w:space="0" w:color="auto"/>
            <w:bottom w:val="none" w:sz="0" w:space="0" w:color="auto"/>
            <w:right w:val="none" w:sz="0" w:space="0" w:color="auto"/>
          </w:divBdr>
        </w:div>
        <w:div w:id="1875993540">
          <w:marLeft w:val="0"/>
          <w:marRight w:val="0"/>
          <w:marTop w:val="0"/>
          <w:marBottom w:val="0"/>
          <w:divBdr>
            <w:top w:val="none" w:sz="0" w:space="0" w:color="auto"/>
            <w:left w:val="none" w:sz="0" w:space="0" w:color="auto"/>
            <w:bottom w:val="none" w:sz="0" w:space="0" w:color="auto"/>
            <w:right w:val="none" w:sz="0" w:space="0" w:color="auto"/>
          </w:divBdr>
        </w:div>
        <w:div w:id="196310935">
          <w:marLeft w:val="0"/>
          <w:marRight w:val="0"/>
          <w:marTop w:val="0"/>
          <w:marBottom w:val="0"/>
          <w:divBdr>
            <w:top w:val="none" w:sz="0" w:space="0" w:color="auto"/>
            <w:left w:val="none" w:sz="0" w:space="0" w:color="auto"/>
            <w:bottom w:val="none" w:sz="0" w:space="0" w:color="auto"/>
            <w:right w:val="none" w:sz="0" w:space="0" w:color="auto"/>
          </w:divBdr>
        </w:div>
        <w:div w:id="105925513">
          <w:marLeft w:val="0"/>
          <w:marRight w:val="0"/>
          <w:marTop w:val="0"/>
          <w:marBottom w:val="0"/>
          <w:divBdr>
            <w:top w:val="none" w:sz="0" w:space="0" w:color="auto"/>
            <w:left w:val="none" w:sz="0" w:space="0" w:color="auto"/>
            <w:bottom w:val="none" w:sz="0" w:space="0" w:color="auto"/>
            <w:right w:val="none" w:sz="0" w:space="0" w:color="auto"/>
          </w:divBdr>
        </w:div>
        <w:div w:id="1669212120">
          <w:marLeft w:val="0"/>
          <w:marRight w:val="0"/>
          <w:marTop w:val="0"/>
          <w:marBottom w:val="0"/>
          <w:divBdr>
            <w:top w:val="none" w:sz="0" w:space="0" w:color="auto"/>
            <w:left w:val="none" w:sz="0" w:space="0" w:color="auto"/>
            <w:bottom w:val="none" w:sz="0" w:space="0" w:color="auto"/>
            <w:right w:val="none" w:sz="0" w:space="0" w:color="auto"/>
          </w:divBdr>
        </w:div>
        <w:div w:id="401291995">
          <w:marLeft w:val="0"/>
          <w:marRight w:val="0"/>
          <w:marTop w:val="0"/>
          <w:marBottom w:val="0"/>
          <w:divBdr>
            <w:top w:val="none" w:sz="0" w:space="0" w:color="auto"/>
            <w:left w:val="none" w:sz="0" w:space="0" w:color="auto"/>
            <w:bottom w:val="none" w:sz="0" w:space="0" w:color="auto"/>
            <w:right w:val="none" w:sz="0" w:space="0" w:color="auto"/>
          </w:divBdr>
        </w:div>
        <w:div w:id="2088333258">
          <w:marLeft w:val="0"/>
          <w:marRight w:val="0"/>
          <w:marTop w:val="0"/>
          <w:marBottom w:val="0"/>
          <w:divBdr>
            <w:top w:val="none" w:sz="0" w:space="0" w:color="auto"/>
            <w:left w:val="none" w:sz="0" w:space="0" w:color="auto"/>
            <w:bottom w:val="none" w:sz="0" w:space="0" w:color="auto"/>
            <w:right w:val="none" w:sz="0" w:space="0" w:color="auto"/>
          </w:divBdr>
        </w:div>
        <w:div w:id="1257052445">
          <w:marLeft w:val="0"/>
          <w:marRight w:val="0"/>
          <w:marTop w:val="0"/>
          <w:marBottom w:val="0"/>
          <w:divBdr>
            <w:top w:val="none" w:sz="0" w:space="0" w:color="auto"/>
            <w:left w:val="none" w:sz="0" w:space="0" w:color="auto"/>
            <w:bottom w:val="none" w:sz="0" w:space="0" w:color="auto"/>
            <w:right w:val="none" w:sz="0" w:space="0" w:color="auto"/>
          </w:divBdr>
        </w:div>
        <w:div w:id="2065709963">
          <w:marLeft w:val="0"/>
          <w:marRight w:val="0"/>
          <w:marTop w:val="0"/>
          <w:marBottom w:val="0"/>
          <w:divBdr>
            <w:top w:val="none" w:sz="0" w:space="0" w:color="auto"/>
            <w:left w:val="none" w:sz="0" w:space="0" w:color="auto"/>
            <w:bottom w:val="none" w:sz="0" w:space="0" w:color="auto"/>
            <w:right w:val="none" w:sz="0" w:space="0" w:color="auto"/>
          </w:divBdr>
        </w:div>
      </w:divsChild>
    </w:div>
    <w:div w:id="1640501116">
      <w:bodyDiv w:val="1"/>
      <w:marLeft w:val="0"/>
      <w:marRight w:val="0"/>
      <w:marTop w:val="0"/>
      <w:marBottom w:val="0"/>
      <w:divBdr>
        <w:top w:val="none" w:sz="0" w:space="0" w:color="auto"/>
        <w:left w:val="none" w:sz="0" w:space="0" w:color="auto"/>
        <w:bottom w:val="none" w:sz="0" w:space="0" w:color="auto"/>
        <w:right w:val="none" w:sz="0" w:space="0" w:color="auto"/>
      </w:divBdr>
    </w:div>
    <w:div w:id="1666979653">
      <w:bodyDiv w:val="1"/>
      <w:marLeft w:val="0"/>
      <w:marRight w:val="0"/>
      <w:marTop w:val="0"/>
      <w:marBottom w:val="0"/>
      <w:divBdr>
        <w:top w:val="none" w:sz="0" w:space="0" w:color="auto"/>
        <w:left w:val="none" w:sz="0" w:space="0" w:color="auto"/>
        <w:bottom w:val="none" w:sz="0" w:space="0" w:color="auto"/>
        <w:right w:val="none" w:sz="0" w:space="0" w:color="auto"/>
      </w:divBdr>
    </w:div>
    <w:div w:id="1758211202">
      <w:bodyDiv w:val="1"/>
      <w:marLeft w:val="0"/>
      <w:marRight w:val="0"/>
      <w:marTop w:val="0"/>
      <w:marBottom w:val="0"/>
      <w:divBdr>
        <w:top w:val="none" w:sz="0" w:space="0" w:color="auto"/>
        <w:left w:val="none" w:sz="0" w:space="0" w:color="auto"/>
        <w:bottom w:val="none" w:sz="0" w:space="0" w:color="auto"/>
        <w:right w:val="none" w:sz="0" w:space="0" w:color="auto"/>
      </w:divBdr>
    </w:div>
    <w:div w:id="1777678059">
      <w:bodyDiv w:val="1"/>
      <w:marLeft w:val="0"/>
      <w:marRight w:val="0"/>
      <w:marTop w:val="0"/>
      <w:marBottom w:val="0"/>
      <w:divBdr>
        <w:top w:val="none" w:sz="0" w:space="0" w:color="auto"/>
        <w:left w:val="none" w:sz="0" w:space="0" w:color="auto"/>
        <w:bottom w:val="none" w:sz="0" w:space="0" w:color="auto"/>
        <w:right w:val="none" w:sz="0" w:space="0" w:color="auto"/>
      </w:divBdr>
    </w:div>
    <w:div w:id="1823112051">
      <w:bodyDiv w:val="1"/>
      <w:marLeft w:val="0"/>
      <w:marRight w:val="0"/>
      <w:marTop w:val="0"/>
      <w:marBottom w:val="0"/>
      <w:divBdr>
        <w:top w:val="none" w:sz="0" w:space="0" w:color="auto"/>
        <w:left w:val="none" w:sz="0" w:space="0" w:color="auto"/>
        <w:bottom w:val="none" w:sz="0" w:space="0" w:color="auto"/>
        <w:right w:val="none" w:sz="0" w:space="0" w:color="auto"/>
      </w:divBdr>
      <w:divsChild>
        <w:div w:id="1284577645">
          <w:marLeft w:val="0"/>
          <w:marRight w:val="0"/>
          <w:marTop w:val="0"/>
          <w:marBottom w:val="0"/>
          <w:divBdr>
            <w:top w:val="none" w:sz="0" w:space="0" w:color="auto"/>
            <w:left w:val="none" w:sz="0" w:space="0" w:color="auto"/>
            <w:bottom w:val="none" w:sz="0" w:space="0" w:color="auto"/>
            <w:right w:val="none" w:sz="0" w:space="0" w:color="auto"/>
          </w:divBdr>
        </w:div>
        <w:div w:id="1925918946">
          <w:marLeft w:val="0"/>
          <w:marRight w:val="0"/>
          <w:marTop w:val="0"/>
          <w:marBottom w:val="0"/>
          <w:divBdr>
            <w:top w:val="none" w:sz="0" w:space="0" w:color="auto"/>
            <w:left w:val="none" w:sz="0" w:space="0" w:color="auto"/>
            <w:bottom w:val="none" w:sz="0" w:space="0" w:color="auto"/>
            <w:right w:val="none" w:sz="0" w:space="0" w:color="auto"/>
          </w:divBdr>
        </w:div>
        <w:div w:id="1914662555">
          <w:marLeft w:val="0"/>
          <w:marRight w:val="0"/>
          <w:marTop w:val="0"/>
          <w:marBottom w:val="0"/>
          <w:divBdr>
            <w:top w:val="none" w:sz="0" w:space="0" w:color="auto"/>
            <w:left w:val="none" w:sz="0" w:space="0" w:color="auto"/>
            <w:bottom w:val="none" w:sz="0" w:space="0" w:color="auto"/>
            <w:right w:val="none" w:sz="0" w:space="0" w:color="auto"/>
          </w:divBdr>
        </w:div>
        <w:div w:id="1524971926">
          <w:marLeft w:val="0"/>
          <w:marRight w:val="0"/>
          <w:marTop w:val="0"/>
          <w:marBottom w:val="0"/>
          <w:divBdr>
            <w:top w:val="none" w:sz="0" w:space="0" w:color="auto"/>
            <w:left w:val="none" w:sz="0" w:space="0" w:color="auto"/>
            <w:bottom w:val="none" w:sz="0" w:space="0" w:color="auto"/>
            <w:right w:val="none" w:sz="0" w:space="0" w:color="auto"/>
          </w:divBdr>
        </w:div>
        <w:div w:id="992879115">
          <w:marLeft w:val="0"/>
          <w:marRight w:val="0"/>
          <w:marTop w:val="0"/>
          <w:marBottom w:val="0"/>
          <w:divBdr>
            <w:top w:val="none" w:sz="0" w:space="0" w:color="auto"/>
            <w:left w:val="none" w:sz="0" w:space="0" w:color="auto"/>
            <w:bottom w:val="none" w:sz="0" w:space="0" w:color="auto"/>
            <w:right w:val="none" w:sz="0" w:space="0" w:color="auto"/>
          </w:divBdr>
        </w:div>
        <w:div w:id="2131588128">
          <w:marLeft w:val="0"/>
          <w:marRight w:val="0"/>
          <w:marTop w:val="0"/>
          <w:marBottom w:val="0"/>
          <w:divBdr>
            <w:top w:val="none" w:sz="0" w:space="0" w:color="auto"/>
            <w:left w:val="none" w:sz="0" w:space="0" w:color="auto"/>
            <w:bottom w:val="none" w:sz="0" w:space="0" w:color="auto"/>
            <w:right w:val="none" w:sz="0" w:space="0" w:color="auto"/>
          </w:divBdr>
        </w:div>
        <w:div w:id="286006443">
          <w:marLeft w:val="0"/>
          <w:marRight w:val="0"/>
          <w:marTop w:val="0"/>
          <w:marBottom w:val="0"/>
          <w:divBdr>
            <w:top w:val="none" w:sz="0" w:space="0" w:color="auto"/>
            <w:left w:val="none" w:sz="0" w:space="0" w:color="auto"/>
            <w:bottom w:val="none" w:sz="0" w:space="0" w:color="auto"/>
            <w:right w:val="none" w:sz="0" w:space="0" w:color="auto"/>
          </w:divBdr>
        </w:div>
      </w:divsChild>
    </w:div>
    <w:div w:id="1868177259">
      <w:bodyDiv w:val="1"/>
      <w:marLeft w:val="0"/>
      <w:marRight w:val="0"/>
      <w:marTop w:val="0"/>
      <w:marBottom w:val="0"/>
      <w:divBdr>
        <w:top w:val="none" w:sz="0" w:space="0" w:color="auto"/>
        <w:left w:val="none" w:sz="0" w:space="0" w:color="auto"/>
        <w:bottom w:val="none" w:sz="0" w:space="0" w:color="auto"/>
        <w:right w:val="none" w:sz="0" w:space="0" w:color="auto"/>
      </w:divBdr>
      <w:divsChild>
        <w:div w:id="228075712">
          <w:marLeft w:val="0"/>
          <w:marRight w:val="0"/>
          <w:marTop w:val="0"/>
          <w:marBottom w:val="0"/>
          <w:divBdr>
            <w:top w:val="none" w:sz="0" w:space="0" w:color="auto"/>
            <w:left w:val="none" w:sz="0" w:space="0" w:color="auto"/>
            <w:bottom w:val="none" w:sz="0" w:space="0" w:color="auto"/>
            <w:right w:val="none" w:sz="0" w:space="0" w:color="auto"/>
          </w:divBdr>
          <w:divsChild>
            <w:div w:id="718668337">
              <w:marLeft w:val="0"/>
              <w:marRight w:val="0"/>
              <w:marTop w:val="0"/>
              <w:marBottom w:val="0"/>
              <w:divBdr>
                <w:top w:val="none" w:sz="0" w:space="0" w:color="auto"/>
                <w:left w:val="none" w:sz="0" w:space="0" w:color="auto"/>
                <w:bottom w:val="none" w:sz="0" w:space="0" w:color="auto"/>
                <w:right w:val="none" w:sz="0" w:space="0" w:color="auto"/>
              </w:divBdr>
              <w:divsChild>
                <w:div w:id="781270238">
                  <w:marLeft w:val="0"/>
                  <w:marRight w:val="0"/>
                  <w:marTop w:val="0"/>
                  <w:marBottom w:val="0"/>
                  <w:divBdr>
                    <w:top w:val="none" w:sz="0" w:space="0" w:color="auto"/>
                    <w:left w:val="none" w:sz="0" w:space="0" w:color="auto"/>
                    <w:bottom w:val="none" w:sz="0" w:space="0" w:color="auto"/>
                    <w:right w:val="none" w:sz="0" w:space="0" w:color="auto"/>
                  </w:divBdr>
                  <w:divsChild>
                    <w:div w:id="1584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29920">
      <w:bodyDiv w:val="1"/>
      <w:marLeft w:val="0"/>
      <w:marRight w:val="0"/>
      <w:marTop w:val="0"/>
      <w:marBottom w:val="0"/>
      <w:divBdr>
        <w:top w:val="none" w:sz="0" w:space="0" w:color="auto"/>
        <w:left w:val="none" w:sz="0" w:space="0" w:color="auto"/>
        <w:bottom w:val="none" w:sz="0" w:space="0" w:color="auto"/>
        <w:right w:val="none" w:sz="0" w:space="0" w:color="auto"/>
      </w:divBdr>
    </w:div>
    <w:div w:id="1998848148">
      <w:bodyDiv w:val="1"/>
      <w:marLeft w:val="0"/>
      <w:marRight w:val="0"/>
      <w:marTop w:val="0"/>
      <w:marBottom w:val="0"/>
      <w:divBdr>
        <w:top w:val="none" w:sz="0" w:space="0" w:color="auto"/>
        <w:left w:val="none" w:sz="0" w:space="0" w:color="auto"/>
        <w:bottom w:val="none" w:sz="0" w:space="0" w:color="auto"/>
        <w:right w:val="none" w:sz="0" w:space="0" w:color="auto"/>
      </w:divBdr>
    </w:div>
    <w:div w:id="21184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ec.europa.eu/environment/nature/biodiversity/nnl/pdf/NNL_impact_assessment_support_study.pdf" TargetMode="External"/><Relationship Id="rId3" Type="http://schemas.openxmlformats.org/officeDocument/2006/relationships/hyperlink" Target="https://www.gov.uk/government/publications/technical-paper-the-metric-for-the-biodiversity-offsetting-pilot-in-england" TargetMode="External"/><Relationship Id="rId7" Type="http://schemas.openxmlformats.org/officeDocument/2006/relationships/hyperlink" Target="http://www.environmentbank.com/files/the-value-of-habitat-banking-jan19.pptx.pdf." TargetMode="External"/><Relationship Id="rId2" Type="http://schemas.openxmlformats.org/officeDocument/2006/relationships/hyperlink" Target="https://consult.defra.gov.uk/land-use/net-gain/supporting_documents/netgainconsultationdocument.pdf" TargetMode="External"/><Relationship Id="rId1" Type="http://schemas.openxmlformats.org/officeDocument/2006/relationships/hyperlink" Target="http://www.environmentbank.com/files/eb-planning-toolkit-england-march2017.pdf" TargetMode="External"/><Relationship Id="rId6" Type="http://schemas.openxmlformats.org/officeDocument/2006/relationships/hyperlink" Target="http://www.environmentbank.com/news/post.php?s=2016-05-24-spring-newsletter" TargetMode="External"/><Relationship Id="rId5" Type="http://schemas.openxmlformats.org/officeDocument/2006/relationships/hyperlink" Target="http://www.environmentbank.com/files/pesenvironmentalmarketsforbes.pdf" TargetMode="External"/><Relationship Id="rId4" Type="http://schemas.openxmlformats.org/officeDocument/2006/relationships/hyperlink" Target="http://publications.naturalengland.org.uk/publication/6020204538888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UKG13</b:Tag>
    <b:SourceType>InternetSite</b:SourceType>
    <b:Guid>{9744746C-91C2-48FA-A417-D2681991F011}</b:Guid>
    <b:Title>Biodiversity Offsetting</b:Title>
    <b:Year>2013</b:Year>
    <b:Author>
      <b:Author>
        <b:Corporate>UK Government</b:Corporate>
      </b:Author>
    </b:Author>
    <b:InternetSiteTitle>Gov.uk</b:InternetSiteTitle>
    <b:URL>https://www.gov.uk/government/collections/biodiversity-offsetting</b:URL>
    <b:RefOrder>1</b:RefOrder>
  </b:Source>
</b:Sources>
</file>

<file path=customXml/itemProps1.xml><?xml version="1.0" encoding="utf-8"?>
<ds:datastoreItem xmlns:ds="http://schemas.openxmlformats.org/officeDocument/2006/customXml" ds:itemID="{18BF3DFE-DF8D-3B4E-BF96-E2C68023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8936</Words>
  <Characters>49596</Characters>
  <Application>Microsoft Office Word</Application>
  <DocSecurity>0</DocSecurity>
  <Lines>953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Bowsher</dc:creator>
  <cp:keywords/>
  <dc:description/>
  <cp:lastModifiedBy>Theo Reeves-Evison</cp:lastModifiedBy>
  <cp:revision>6</cp:revision>
  <cp:lastPrinted>2019-03-13T12:16:00Z</cp:lastPrinted>
  <dcterms:created xsi:type="dcterms:W3CDTF">2020-04-30T12:08:00Z</dcterms:created>
  <dcterms:modified xsi:type="dcterms:W3CDTF">2020-04-30T12:38:00Z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68775820-9206-36c5-ae3c-fe45ef70f3f2</vt:lpwstr>
  </property>
  <property fmtid="{D5CDD505-2E9C-101B-9397-08002B2CF9AE}" pid="24" name="Mendeley Citation Style_1">
    <vt:lpwstr>http://www.zotero.org/styles/chicago-fullnote-bibliography</vt:lpwstr>
  </property>
</Properties>
</file>